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8.png" ContentType="image/png"/>
  <Override PartName="/word/media/rId4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flexible modelling framework for estimating thermal tolerance and sensitivity</w:t>
      </w:r>
    </w:p>
    <w:p>
      <w:pPr>
        <w:pStyle w:val="Abstract"/>
      </w:pP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Patrice Pottier</w:t>
      </w:r>
      <w:r>
        <w:rPr>
          <w:vertAlign w:val="superscript"/>
        </w:rPr>
        <w:t xml:space="preserve">2,3</w:t>
      </w:r>
    </w:p>
    <w:p>
      <w:pPr>
        <w:pStyle w:val="BodyText"/>
      </w:pPr>
      <w:r>
        <w:rPr>
          <w:vertAlign w:val="superscript"/>
        </w:rPr>
        <w:t xml:space="preserve">1</w:t>
      </w:r>
      <w:r>
        <w:t xml:space="preserve">Division of Ecology and Evolution, Research School of Biology, Australian National University, Canberra, Australia.</w:t>
      </w:r>
      <w:r>
        <w:t xml:space="preserve"> </w:t>
      </w:r>
      <w:r>
        <w:rPr>
          <w:vertAlign w:val="superscript"/>
        </w:rPr>
        <w:t xml:space="preserve">2</w:t>
      </w:r>
      <w:r>
        <w:t xml:space="preserve">Department of Biological and Environmental Sciences, University of Gothenburg, Gothenburg, Sweden.</w:t>
      </w:r>
      <w:r>
        <w:t xml:space="preserve"> </w:t>
      </w:r>
      <w:r>
        <w:rPr>
          <w:vertAlign w:val="superscript"/>
        </w:rPr>
        <w:t xml:space="preserve">3</w:t>
      </w:r>
      <w:r>
        <w:t xml:space="preserve">Evolution &amp; Ecology Research Centre, School of Biological, Earth and Environmental Sciences, University of New South Wales, Sydney, New South Wales, Australia.</w:t>
      </w:r>
      <w:r>
        <w:t xml:space="preserve"> </w:t>
      </w:r>
      <w:r>
        <w:rPr>
          <w:vertAlign w:val="superscript"/>
        </w:rPr>
        <w:t xml:space="preserve">*</w:t>
      </w:r>
      <w:r>
        <w:t xml:space="preserve">Corresponding author: daniel.noble@anu.edu.au</w:t>
      </w:r>
    </w:p>
    <w:p>
      <w:pPr>
        <w:pStyle w:val="BodyText"/>
      </w:pPr>
      <w:r>
        <w:rPr>
          <w:b/>
          <w:bCs/>
        </w:rPr>
        <w:t xml:space="preserve">Abstract</w:t>
      </w:r>
    </w:p>
    <w:p>
      <w:pPr>
        <w:pStyle w:val="BodyText"/>
      </w:pPr>
      <w:r>
        <w:t xml:space="preserve">The thermal load sensitivity (TLS) and thermal death time (TDT) frameworks are gold standard approaches for estimating thermal tolerance and predict organismal vulnerability under natural thermal regimes. However, these frameworks are usually implemented through a two-step pipeline. Median times to lethal or sublethal endpoints (</w:t>
      </w:r>
      <m:oMath>
        <m:sSub>
          <m:e>
            <m:r>
              <m:t>t</m:t>
            </m:r>
          </m:e>
          <m:sub>
            <m:r>
              <m:t>50</m:t>
            </m:r>
          </m:sub>
        </m:sSub>
      </m:oMath>
      <w:r>
        <w:t xml:space="preserve">) are first estimated independently across a range of assay temperatures, and these</w:t>
      </w:r>
      <w:r>
        <w:t xml:space="preserve"> </w:t>
      </w:r>
      <m:oMath>
        <m:sSub>
          <m:e>
            <m:r>
              <m:rPr>
                <m:sty m:val="p"/>
              </m:rPr>
              <m:t>log</m:t>
            </m:r>
          </m:e>
          <m:sub>
            <m:r>
              <m:t>10</m:t>
            </m:r>
          </m:sub>
        </m:sSub>
        <m:d>
          <m:dPr>
            <m:begChr m:val="("/>
            <m:sepChr m:val=""/>
            <m:endChr m:val=")"/>
            <m:grow/>
          </m:dPr>
          <m:e>
            <m:sSub>
              <m:e>
                <m:r>
                  <m:t>t</m:t>
                </m:r>
              </m:e>
              <m:sub>
                <m:r>
                  <m:t>50</m:t>
                </m:r>
              </m:sub>
            </m:sSub>
          </m:e>
        </m:d>
      </m:oMath>
      <w:r>
        <w:t xml:space="preserve"> </w:t>
      </w:r>
      <w:r>
        <w:t xml:space="preserve">estimates are then regressed against temperature. This two-step approach violates key statistical assumptions that are likely to bias the mean and variance in derived quantities such as thermal sensitivity (</w:t>
      </w:r>
      <m:oMath>
        <m:r>
          <m:t>z</m:t>
        </m:r>
      </m:oMath>
      <w:r>
        <w:t xml:space="preserve">), critical thermal limits (</w:t>
      </w:r>
      <m:oMath>
        <m:r>
          <m:t>C</m:t>
        </m:r>
        <m:sSub>
          <m:e>
            <m:r>
              <m:t>T</m:t>
            </m:r>
          </m:e>
          <m:sub>
            <m:r>
              <m:t>m</m:t>
            </m:r>
            <m:r>
              <m:t>a</m:t>
            </m:r>
            <m:r>
              <m:t>x</m:t>
            </m:r>
          </m:sub>
        </m:sSub>
      </m:oMath>
      <w:r>
        <w:t xml:space="preserve">), heat-injury predictions, and survival probabilities.</w:t>
      </w:r>
    </w:p>
    <w:p>
      <w:pPr>
        <w:pStyle w:val="BodyText"/>
      </w:pPr>
      <w:r>
        <w:t xml:space="preserve">We present a flexible Bayesian four-parameter logistic (4PL) model that estimates survival or sublethal responses as a joint function of temperature and exposure duration. We demonstrate how such an approach recovers all the classical outputs of the two-stage modelling framework (i.e.,</w:t>
      </w:r>
      <w:r>
        <w:t xml:space="preserve"> </w:t>
      </w:r>
      <m:oMath>
        <m:r>
          <m:t>z</m:t>
        </m:r>
      </m:oMath>
      <w:r>
        <w:t xml:space="preserve">,</w:t>
      </w:r>
      <w:r>
        <w:t xml:space="preserve"> </w:t>
      </w:r>
      <m:oMath>
        <m:r>
          <m:t>C</m:t>
        </m:r>
        <m:sSub>
          <m:e>
            <m:r>
              <m:t>T</m:t>
            </m:r>
          </m:e>
          <m:sub>
            <m:r>
              <m:t>m</m:t>
            </m:r>
            <m:r>
              <m:t>a</m:t>
            </m:r>
            <m:r>
              <m:t>x</m:t>
            </m:r>
          </m:sub>
        </m:sSub>
      </m:oMath>
      <w:r>
        <w:t xml:space="preserve">, heat-injury accumulation, survival probabilities), while propagating uncertainty through all derived quantities. Using simulated data and empirical case studies in brown shrimp (</w:t>
      </w:r>
      <w:r>
        <w:rPr>
          <w:i/>
          <w:iCs/>
        </w:rPr>
        <w:t xml:space="preserve">Crangon crangon</w:t>
      </w:r>
      <w:r>
        <w:t xml:space="preserve">), zebrafish (</w:t>
      </w:r>
      <w:r>
        <w:rPr>
          <w:i/>
          <w:iCs/>
        </w:rPr>
        <w:t xml:space="preserve">Danio rerio</w:t>
      </w:r>
      <w:r>
        <w:t xml:space="preserve">), and XXX (</w:t>
      </w:r>
      <w:r>
        <w:rPr>
          <w:i/>
          <w:iCs/>
        </w:rPr>
        <w:t xml:space="preserve">XXX</w:t>
      </w:r>
      <w:r>
        <w:t xml:space="preserve">), we demonstrate the benefits of this new modelling framework.</w:t>
      </w:r>
    </w:p>
    <w:p>
      <w:pPr>
        <w:pStyle w:val="BodyText"/>
      </w:pPr>
      <w:r>
        <w:t xml:space="preserve">We show that the classical and Bayesian frameworks are equivalent, but that the Bayesian approach delivers properly propagated uncertainty, can account for complex hierarchical data (i.e., random effects), can accommodate censoring and overdispersion, and unlocks outputs the two-step pipeline cannot provide, including survival landscape surfaces, between-group contrasts, and inference about the variation in the shape of thermal dose-response curves among groups. We provide a new</w:t>
      </w:r>
      <w:r>
        <w:t xml:space="preserve"> </w:t>
      </w:r>
      <w:r>
        <w:rPr>
          <w:i/>
          <w:iCs/>
        </w:rPr>
        <w:t xml:space="preserve">R</w:t>
      </w:r>
      <w:r>
        <w:t xml:space="preserve"> </w:t>
      </w:r>
      <w:r>
        <w:t xml:space="preserve">package (</w:t>
      </w:r>
      <m:oMath>
        <m:r>
          <m:t>b</m:t>
        </m:r>
        <m:r>
          <m:t>a</m:t>
        </m:r>
        <m:r>
          <m:t>y</m:t>
        </m:r>
        <m:r>
          <m:t>e</m:t>
        </m:r>
        <m:r>
          <m:t>s</m:t>
        </m:r>
        <m:r>
          <m:t>T</m:t>
        </m:r>
        <m:r>
          <m:t>L</m:t>
        </m:r>
        <m:r>
          <m:t>S</m:t>
        </m:r>
      </m:oMath>
      <w:r>
        <w:t xml:space="preserve">) and recommend the Bayesian four-parameter logistic model as the default approach for analysing TDT and TLS data, particularly when the goal is to make accurate predictions of survival under natural thermal regimes.</w:t>
      </w:r>
    </w:p>
    <w:p>
      <w:pPr>
        <w:pStyle w:val="BodyText"/>
      </w:pPr>
      <w:r>
        <w:rPr>
          <w:b/>
          <w:bCs/>
        </w:rPr>
        <w:t xml:space="preserve">Keywords:</w:t>
      </w:r>
      <w:r>
        <w:t xml:space="preserve"> </w:t>
      </w:r>
      <w:r>
        <w:t xml:space="preserve">thermal-death-time; thermal tolerance landscape; multilevel model; 4-parameter logistic; heat injury; heat tolerance; critical thermal maximum; ectotherm</w:t>
      </w:r>
    </w:p>
    <w:bookmarkStart w:id="24" w:name="introduction"/>
    <w:p>
      <w:pPr>
        <w:pStyle w:val="Heading1"/>
      </w:pPr>
      <w:r>
        <w:t xml:space="preserve">Introduction</w:t>
      </w:r>
    </w:p>
    <w:p>
      <w:pPr>
        <w:pStyle w:val="FirstParagraph"/>
      </w:pPr>
      <w:r>
        <w:t xml:space="preserve">Climate change is increasing the frequency, intensity, and duration of extreme heat events globally, with cascading consequences for organismal fitness, population persistence, and biodiversity</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smale_marine_2019">
        <w:r>
          <w:rPr>
            <w:rStyle w:val="Hyperlink"/>
          </w:rPr>
          <w:t xml:space="preserve">Smale</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nook_fertility_2026">
        <w:r>
          <w:rPr>
            <w:rStyle w:val="Hyperlink"/>
          </w:rPr>
          <w:t xml:space="preserve">Snook</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wiens_localextinctions_2016">
        <w:r>
          <w:rPr>
            <w:rStyle w:val="Hyperlink"/>
          </w:rPr>
          <w:t xml:space="preserve">Wiens 2016</w:t>
        </w:r>
      </w:hyperlink>
      <w:r>
        <w:t xml:space="preserve">)</w:t>
      </w:r>
      <w:r>
        <w:t xml:space="preserve">. Quantifying variation in thermal tolerance within and among species is therefore central to forecasting biological responses to climate change in nature</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jorgensen_nature_2022">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Threshold-based measures of heat tolerance, such as the critical thermal maximum (</w:t>
      </w:r>
      <m:oMath>
        <m:r>
          <m:t>C</m:t>
        </m:r>
        <m:sSub>
          <m:e>
            <m:r>
              <m:t>T</m:t>
            </m:r>
          </m:e>
          <m:sub>
            <m:r>
              <m:t>m</m:t>
            </m:r>
            <m:r>
              <m:t>a</m:t>
            </m:r>
            <m:r>
              <m:t>x</m:t>
            </m:r>
          </m:sub>
        </m:sSub>
      </m:oMath>
      <w:r>
        <w:t xml:space="preserve">), have long been used to establish differences in climate vulnerability among taxa and predicting vulnerability to climate change</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pottier_amphibians_2025">
        <w:r>
          <w:rPr>
            <w:rStyle w:val="Hyperlink"/>
          </w:rPr>
          <w:t xml:space="preserve">Pottier</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While useful, threshold-based metrics do not capture how the biological effects of extreme heat on fitness depend on both the duration and intensity of heat stress, limiting our ability to make realistic predictions of the impacts of climate change in nature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w:t>
      </w:r>
    </w:p>
    <w:p>
      <w:pPr>
        <w:pStyle w:val="BodyText"/>
      </w:pPr>
      <w:r>
        <w:t xml:space="preserve">The Thermal Death Time (TDT) / Thermal Load Sensitivity (TLS) models address this limitation by quantifying how the intensity and duration of heat exposure jointly determine survival responses to heat stress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jorgensen_nature_2022">
        <w:r>
          <w:rPr>
            <w:rStyle w:val="Hyperlink"/>
          </w:rPr>
          <w:t xml:space="preserve">2022</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Recently, the TDT framework was expanded to include sublethal (e.g., fertility, heat coma) responses to heat stress, providing a flexible framework to broadly explain variation in biological responses to heat stress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These models capture how heat injury accumulates in a dose-dependent manner above a certain threshold (</w:t>
      </w:r>
      <m:oMath>
        <m:sSub>
          <m:e>
            <m:r>
              <m:t>T</m:t>
            </m:r>
          </m:e>
          <m:sub>
            <m:r>
              <m:t>c</m:t>
            </m:r>
            <m:r>
              <m:t>r</m:t>
            </m:r>
            <m:r>
              <m:t>i</m:t>
            </m:r>
            <m:r>
              <m:t>t</m:t>
            </m:r>
          </m:sub>
        </m:sSub>
      </m:oMath>
      <w:r>
        <w:t xml:space="preserve">), with injury accumulating more rapidly at higher temperatures and over longer exposures. As a result, organisms may eventually reach a thermal load that leads to compromised physiological function that negatively impacts growth, reproduction and survival</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r>
        <w:t xml:space="preserve">if injury cannot be repaired</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By linking biological responses to the intensity and duration of heat stress, the TLS and TDT frameworks allow for more realistic predictions of the impacts of fluctuating thermal regimes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and have shown promise in predicting observed mortality rates in nature</w:t>
      </w:r>
      <w:r>
        <w:t xml:space="preserve"> </w:t>
      </w:r>
      <w:r>
        <w:t xml:space="preserve">(</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zamora2026">
        <w:r>
          <w:rPr>
            <w:rStyle w:val="Hyperlink"/>
          </w:rPr>
          <w:t xml:space="preserve">Zamora</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w:t>
      </w:r>
    </w:p>
    <w:p>
      <w:pPr>
        <w:pStyle w:val="BodyText"/>
      </w:pPr>
      <w:r>
        <w:t xml:space="preserve">Despite their predictive power, TDT/TLS analyses traditionally involves a two-step modelling approach</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truebano2018">
        <w:r>
          <w:rPr>
            <w:rStyle w:val="Hyperlink"/>
          </w:rPr>
          <w:t xml:space="preserve">Truebano</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First, organisms are exposed to multiple temperatures for different durations, and the proportion of individuals that are dead, infertile, knocked down, or otherwise affected is modelled as a function of exposure duration. This is typically done by fitting independent dose-response curves at each assay temperature. From these curves, the exposure duration required to reach a specified response threshold is estimated, most often</w:t>
      </w:r>
      <w:r>
        <w:t xml:space="preserve"> </w:t>
      </w:r>
      <m:oMath>
        <m:sSub>
          <m:e>
            <m:r>
              <m:t>t</m:t>
            </m:r>
          </m:e>
          <m:sub>
            <m:r>
              <m:t>50</m:t>
            </m:r>
          </m:sub>
        </m:sSub>
      </m:oMath>
      <w:r>
        <w:t xml:space="preserve">, the time required to reach 50% mortality, infertility, knockdown, or other endpoints. Second, the resulting</w:t>
      </w:r>
      <w:r>
        <w:t xml:space="preserve"> </w:t>
      </w:r>
      <m:oMath>
        <m:sSub>
          <m:e>
            <m:r>
              <m:rPr>
                <m:sty m:val="p"/>
              </m:rPr>
              <m:t>log</m:t>
            </m:r>
          </m:e>
          <m:sub>
            <m:r>
              <m:t>10</m:t>
            </m:r>
          </m:sub>
        </m:sSub>
        <m:d>
          <m:dPr>
            <m:begChr m:val="("/>
            <m:sepChr m:val=""/>
            <m:endChr m:val=")"/>
            <m:grow/>
          </m:dPr>
          <m:e>
            <m:sSub>
              <m:e>
                <m:r>
                  <m:t>t</m:t>
                </m:r>
              </m:e>
              <m:sub>
                <m:r>
                  <m:t>50</m:t>
                </m:r>
              </m:sub>
            </m:sSub>
          </m:e>
        </m:d>
      </m:oMath>
      <w:r>
        <w:t xml:space="preserve"> </w:t>
      </w:r>
      <w:r>
        <w:t xml:space="preserve">estimates are regressed against assay temperature. Thermal sensitivity (i.e., the inverse of the slope of this regression,</w:t>
      </w:r>
      <w:r>
        <w:t xml:space="preserve"> </w:t>
      </w:r>
      <m:oMath>
        <m:r>
          <m:t>z</m:t>
        </m:r>
      </m:oMath>
      <w:r>
        <w:t xml:space="preserve">) and static critical thermal maximum (i.e., the intercept of the regression,</w:t>
      </w:r>
      <w:r>
        <w:t xml:space="preserve"> </w:t>
      </w:r>
      <m:oMath>
        <m:r>
          <m:t>s</m:t>
        </m:r>
        <m:r>
          <m:t>C</m:t>
        </m:r>
        <m:sSub>
          <m:e>
            <m:r>
              <m:t>T</m:t>
            </m:r>
          </m:e>
          <m:sub>
            <m:r>
              <m:t>m</m:t>
            </m:r>
            <m:r>
              <m:t>a</m:t>
            </m:r>
            <m:sSub>
              <m:e>
                <m:r>
                  <m:t>x</m:t>
                </m:r>
              </m:e>
              <m:sub>
                <m:r>
                  <m:t>t</m:t>
                </m:r>
                <m:r>
                  <m:t>i</m:t>
                </m:r>
                <m:r>
                  <m:t>m</m:t>
                </m:r>
                <m:r>
                  <m:t>e</m:t>
                </m:r>
              </m:sub>
            </m:sSub>
          </m:sub>
        </m:sSub>
      </m:oMath>
      <w:r>
        <w:t xml:space="preserve">) are then derived from this linear model</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Thermal sensitivity (</w:t>
      </w:r>
      <m:oMath>
        <m:r>
          <m:t>z</m:t>
        </m:r>
      </m:oMath>
      <w:r>
        <w:t xml:space="preserve">) is interpreted as the temperature increase required to reduce</w:t>
      </w:r>
      <w:r>
        <w:t xml:space="preserve"> </w:t>
      </w:r>
      <m:oMath>
        <m:sSub>
          <m:e>
            <m:r>
              <m:t>t</m:t>
            </m:r>
          </m:e>
          <m:sub>
            <m:r>
              <m:t>50</m:t>
            </m:r>
          </m:sub>
        </m:sSub>
      </m:oMath>
      <w:r>
        <w:t xml:space="preserve"> </w:t>
      </w:r>
      <w:r>
        <w:t xml:space="preserve">by a factor of 10, while</w:t>
      </w:r>
      <w:r>
        <w:t xml:space="preserve"> </w:t>
      </w:r>
      <m:oMath>
        <m:r>
          <m:t>s</m:t>
        </m:r>
        <m:r>
          <m:t>C</m:t>
        </m:r>
        <m:sSub>
          <m:e>
            <m:r>
              <m:t>T</m:t>
            </m:r>
          </m:e>
          <m:sub>
            <m:r>
              <m:t>m</m:t>
            </m:r>
            <m:r>
              <m:t>a</m:t>
            </m:r>
            <m:sSub>
              <m:e>
                <m:r>
                  <m:t>x</m:t>
                </m:r>
              </m:e>
              <m:sub>
                <m:r>
                  <m:t>t</m:t>
                </m:r>
                <m:r>
                  <m:t>i</m:t>
                </m:r>
                <m:r>
                  <m:t>m</m:t>
                </m:r>
                <m:r>
                  <m:t>e</m:t>
                </m:r>
              </m:sub>
            </m:sSub>
          </m:sub>
        </m:sSub>
      </m:oMath>
      <w:r>
        <w:t xml:space="preserve"> </w:t>
      </w:r>
      <w:r>
        <w:t xml:space="preserve">is usually arbitrarily computed for a 1 min</w:t>
      </w:r>
      <w:r>
        <w:t xml:space="preserve"> </w:t>
      </w:r>
      <w:r>
        <w:t xml:space="preserve">(</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1 hour</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or 4 hour</w:t>
      </w:r>
      <w:r>
        <w:t xml:space="preserve"> </w:t>
      </w:r>
      <w:r>
        <w:t xml:space="preserve">(</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r>
        <w:t xml:space="preserve">duration of heat stress exposure. These quantities can then be used to estimate cumulative Heat Injury (HI) under realistic temperature-time series, where injury accumulates as a function of the exposure duration relative to the predicted tolerance time at each temperature</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villeneuve_dynamic_2024">
        <w:r>
          <w:rPr>
            <w:rStyle w:val="Hyperlink"/>
          </w:rPr>
          <w:t xml:space="preserve">Villeneuve &amp; White 2024</w:t>
        </w:r>
      </w:hyperlink>
      <w:r>
        <w:t xml:space="preserve">)</w:t>
      </w:r>
      <w:r>
        <w:t xml:space="preserve">. Recent extensions have emphasized that injury accumulation may also be partly offset by repair or acclimation mechanisms, motivating the emergence of new models that incorporate damage-repair dynamics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w:t>
      </w:r>
    </w:p>
    <w:p>
      <w:pPr>
        <w:pStyle w:val="BodyText"/>
      </w:pPr>
      <w:r>
        <w:t xml:space="preserve">The two-step pipeline is intuitive and easy to implement, yet it has several practical and statistical limitations. First, the two-step pipeline does not typically allow proper uncertainty propagation. The</w:t>
      </w:r>
      <w:r>
        <w:t xml:space="preserve"> </w:t>
      </w:r>
      <m:oMath>
        <m:sSub>
          <m:e>
            <m:r>
              <m:t>t</m:t>
            </m:r>
          </m:e>
          <m:sub>
            <m:r>
              <m:t>50</m:t>
            </m:r>
          </m:sub>
        </m:sSub>
      </m:oMath>
      <w:r>
        <w:t xml:space="preserve"> </w:t>
      </w:r>
      <w:r>
        <w:t xml:space="preserve">estimates derived in the first step have non-negligible sampling variance, but they are commonly treated as fixed point estimates in the second-step regression. Neglecting sampling variance can bias or miscalibrate inference on (</w:t>
      </w:r>
      <m:oMath>
        <m:r>
          <m:t>z</m:t>
        </m:r>
      </m:oMath>
      <w:r>
        <w:t xml:space="preserve">) and (</w:t>
      </w:r>
      <m:oMath>
        <m:r>
          <m:t>C</m:t>
        </m:r>
        <m:sSub>
          <m:e>
            <m:r>
              <m:t>T</m:t>
            </m:r>
          </m:e>
          <m:sub>
            <m:r>
              <m:t>m</m:t>
            </m:r>
            <m:r>
              <m:t>a</m:t>
            </m:r>
            <m:r>
              <m:t>x</m:t>
            </m:r>
          </m:sub>
        </m:sSub>
      </m:oMath>
      <w:r>
        <w:t xml:space="preserve">), and lead to inflated</w:t>
      </w:r>
      <w:r>
        <w:t xml:space="preserve"> </w:t>
      </w:r>
      <m:oMath>
        <m:sSup>
          <m:e>
            <m:r>
              <m:t>R</m:t>
            </m:r>
          </m:e>
          <m:sup>
            <m:r>
              <m:t>2</m:t>
            </m:r>
          </m:sup>
        </m:sSup>
      </m:oMath>
      <w:r>
        <w:t xml:space="preserve"> </w:t>
      </w:r>
      <w:r>
        <w:t xml:space="preserve">values - a known issue in the statistical literature</w:t>
      </w:r>
      <w:r>
        <w:t xml:space="preserve"> </w:t>
      </w:r>
      <w:r>
        <w:t xml:space="preserve">(</w:t>
      </w:r>
      <w:hyperlink w:anchor="ref-burke_ipd_2017">
        <w:r>
          <w:rPr>
            <w:rStyle w:val="Hyperlink"/>
          </w:rPr>
          <w:t xml:space="preserve">Burke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carroll_measurement_2006">
        <w:r>
          <w:rPr>
            <w:rStyle w:val="Hyperlink"/>
          </w:rPr>
          <w:t xml:space="preserve">Carroll</w:t>
        </w:r>
        <w:r>
          <w:rPr>
            <w:rStyle w:val="Hyperlink"/>
          </w:rPr>
          <w:t xml:space="preserve"> </w:t>
        </w:r>
        <w:r>
          <w:rPr>
            <w:rStyle w:val="Hyperlink"/>
            <w:i/>
            <w:iCs/>
          </w:rPr>
          <w:t xml:space="preserve">et al.</w:t>
        </w:r>
        <w:r>
          <w:rPr>
            <w:rStyle w:val="Hyperlink"/>
          </w:rPr>
          <w:t xml:space="preserve"> </w:t>
        </w:r>
        <w:r>
          <w:rPr>
            <w:rStyle w:val="Hyperlink"/>
          </w:rPr>
          <w:t xml:space="preserve">2006</w:t>
        </w:r>
      </w:hyperlink>
      <w:r>
        <w:t xml:space="preserve">)</w:t>
      </w:r>
      <w:r>
        <w:t xml:space="preserve">. Second, estimating</w:t>
      </w:r>
      <w:r>
        <w:t xml:space="preserve"> </w:t>
      </w:r>
      <m:oMath>
        <m:sSub>
          <m:e>
            <m:r>
              <m:t>t</m:t>
            </m:r>
          </m:e>
          <m:sub>
            <m:r>
              <m:t>50</m:t>
            </m:r>
          </m:sub>
        </m:sSub>
      </m:oMath>
      <w:r>
        <w:t xml:space="preserve"> </w:t>
      </w:r>
      <w:r>
        <w:t xml:space="preserve">from dose-response models requires empirical data spanning a large mortality range (preferably ranging from 0 to 100% mortality) at every assayed temperature to anchor the upper and lower asymptotes of the dose-response curve. When data are sparse or do not span the full mortality range,</w:t>
      </w:r>
      <w:r>
        <w:t xml:space="preserve"> </w:t>
      </w:r>
      <m:oMath>
        <m:sSub>
          <m:e>
            <m:r>
              <m:t>t</m:t>
            </m:r>
          </m:e>
          <m:sub>
            <m:r>
              <m:t>50</m:t>
            </m:r>
          </m:sub>
        </m:sSub>
      </m:oMath>
      <w:r>
        <w:t xml:space="preserve"> </w:t>
      </w:r>
      <w:r>
        <w:t xml:space="preserve">estimates can be incorrectly or impossible to estimate, which is then propagated to bias and miscalibrate downstream estimates of</w:t>
      </w:r>
      <w:r>
        <w:t xml:space="preserve"> </w:t>
      </w:r>
      <m:oMath>
        <m:r>
          <m:t>z</m:t>
        </m:r>
      </m:oMath>
      <w:r>
        <w:t xml:space="preserve"> </w:t>
      </w:r>
      <w:r>
        <w:t xml:space="preserve">and</w:t>
      </w:r>
      <w:r>
        <w:t xml:space="preserve"> </w:t>
      </w:r>
      <m:oMath>
        <m:r>
          <m:t>C</m:t>
        </m:r>
        <m:sSub>
          <m:e>
            <m:r>
              <m:t>T</m:t>
            </m:r>
          </m:e>
          <m:sub>
            <m:r>
              <m:t>m</m:t>
            </m:r>
            <m:r>
              <m:t>a</m:t>
            </m:r>
            <m:r>
              <m:t>x</m:t>
            </m:r>
          </m:sub>
        </m:sSub>
      </m:oMath>
      <w:r>
        <w:t xml:space="preserve">. Third, group comparisons (between species, sexes, or life stages) inherit this miscalibrated uncertainty. Reducing each dose-response curve to a fixed</w:t>
      </w:r>
      <w:r>
        <w:t xml:space="preserve"> </w:t>
      </w:r>
      <m:oMath>
        <m:sSub>
          <m:e>
            <m:r>
              <m:t>t</m:t>
            </m:r>
          </m:e>
          <m:sub>
            <m:r>
              <m:t>50</m:t>
            </m:r>
          </m:sub>
        </m:sSub>
      </m:oMath>
      <w:r>
        <w:t xml:space="preserve"> </w:t>
      </w:r>
      <w:r>
        <w:t xml:space="preserve">estimate makes it difficult to determine if differences in thermal tolerance and sensitivity between groups can be attributed to differences in the upper asymptote, lower asymptote, or curve steepness of the dose-response curve. Fourth, fitting separate dose-response models for each assay temperature and subsequently regressing</w:t>
      </w:r>
      <w:r>
        <w:t xml:space="preserve"> </w:t>
      </w:r>
      <m:oMath>
        <m:sSub>
          <m:e>
            <m:r>
              <m:t>t</m:t>
            </m:r>
          </m:e>
          <m:sub>
            <m:r>
              <m:t>50</m:t>
            </m:r>
          </m:sub>
        </m:sSub>
      </m:oMath>
      <w:r>
        <w:t xml:space="preserve"> </w:t>
      </w:r>
      <w:r>
        <w:t xml:space="preserve">estimates against temperature assumes that these estimates are independent, and typically ignores the hierarchical structure of experimental data (e.g., individuals nested within vials, plates, tanks, clutches, batches, populations, or experimental days). Ignoring this nesting structure prevents the decomposition of variance among nesting groups, and can lead to pseudoreplication and anticonservative uncertainty estimates, particularly when replicate-level variation affects the shape or position of the dose-response curve</w:t>
      </w:r>
      <w:r>
        <w:t xml:space="preserve"> </w:t>
      </w:r>
      <w:r>
        <w:t xml:space="preserve">(</w:t>
      </w:r>
      <w:hyperlink w:anchor="ref-harrison_olre_2014">
        <w:r>
          <w:rPr>
            <w:rStyle w:val="Hyperlink"/>
          </w:rPr>
          <w:t xml:space="preserve">Harrison 2014</w:t>
        </w:r>
      </w:hyperlink>
      <w:r>
        <w:t xml:space="preserve">;</w:t>
      </w:r>
      <w:r>
        <w:t xml:space="preserve"> </w:t>
      </w:r>
      <w:hyperlink w:anchor="ref-harrison_mixed_2018">
        <w:r>
          <w:rPr>
            <w:rStyle w:val="Hyperlink"/>
          </w:rPr>
          <w:t xml:space="preserve">Harrison</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w:t>
      </w:r>
      <w:hyperlink w:anchor="ref-nakagawa_santos_2012">
        <w:r>
          <w:rPr>
            <w:rStyle w:val="Hyperlink"/>
          </w:rPr>
          <w:t xml:space="preserve">Nakagawa &amp; Santos 2012</w:t>
        </w:r>
      </w:hyperlink>
      <w:r>
        <w:t xml:space="preserve">)</w:t>
      </w:r>
      <w:r>
        <w:t xml:space="preserve">. Finally, the two-step pipeline does not allow downstream predictions of heat injury and survival under fluctuating thermal regimes with uncertainty, which is key to inferring the confidence in our predictions of the impacts of extreme heat impacts.</w:t>
      </w:r>
    </w:p>
    <w:p>
      <w:pPr>
        <w:pStyle w:val="BodyText"/>
      </w:pPr>
      <w:r>
        <w:t xml:space="preserve">Here, we present a single-stage alternative to the classical two-step pipeline: a hierarchical Bayesian four-parameter logistic model fitted jointly to all temperature-by-duration response data. In this framework, survival or sublethal response probabilities are estimated directly as a function of exposure duration and assay temperature, while allowing the parameters of the dose-response curve to vary among groups and hierarchical levels. The four-parameter logistic model provides a flexible sigmoidal description of thermal dose responses, with interpretable parameters for the lower asymptote, upper asymptote, curve steepness, and midpoint</w:t>
      </w:r>
      <w:r>
        <w:t xml:space="preserve"> </w:t>
      </w:r>
      <w:r>
        <w:t xml:space="preserve">(</w:t>
      </w:r>
      <w:hyperlink w:anchor="ref-nielsen_nlmm_2004">
        <w:r>
          <w:rPr>
            <w:rStyle w:val="Hyperlink"/>
          </w:rPr>
          <w:t xml:space="preserve">Nielsen</w:t>
        </w:r>
        <w:r>
          <w:rPr>
            <w:rStyle w:val="Hyperlink"/>
          </w:rPr>
          <w:t xml:space="preserve"> </w:t>
        </w:r>
        <w:r>
          <w:rPr>
            <w:rStyle w:val="Hyperlink"/>
            <w:i/>
            <w:iCs/>
          </w:rPr>
          <w:t xml:space="preserve">et al.</w:t>
        </w:r>
        <w:r>
          <w:rPr>
            <w:rStyle w:val="Hyperlink"/>
          </w:rPr>
          <w:t xml:space="preserve"> </w:t>
        </w:r>
        <w:r>
          <w:rPr>
            <w:rStyle w:val="Hyperlink"/>
          </w:rPr>
          <w:t xml:space="preserve">2004</w:t>
        </w:r>
      </w:hyperlink>
      <w:r>
        <w:t xml:space="preserve">;</w:t>
      </w:r>
      <w:r>
        <w:t xml:space="preserve"> </w:t>
      </w:r>
      <w:hyperlink w:anchor="ref-ritz_ecotox_2010">
        <w:r>
          <w:rPr>
            <w:rStyle w:val="Hyperlink"/>
          </w:rPr>
          <w:t xml:space="preserve">Ritz 2010</w:t>
        </w:r>
      </w:hyperlink>
      <w:r>
        <w:t xml:space="preserve">;</w:t>
      </w:r>
      <w:r>
        <w:t xml:space="preserve"> </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t>
      </w:r>
      <w:hyperlink w:anchor="ref-rudemo_random_1989">
        <w:r>
          <w:rPr>
            <w:rStyle w:val="Hyperlink"/>
          </w:rPr>
          <w:t xml:space="preserve">Rudemo</w:t>
        </w:r>
        <w:r>
          <w:rPr>
            <w:rStyle w:val="Hyperlink"/>
          </w:rPr>
          <w:t xml:space="preserve"> </w:t>
        </w:r>
        <w:r>
          <w:rPr>
            <w:rStyle w:val="Hyperlink"/>
            <w:i/>
            <w:iCs/>
          </w:rPr>
          <w:t xml:space="preserve">et al.</w:t>
        </w:r>
        <w:r>
          <w:rPr>
            <w:rStyle w:val="Hyperlink"/>
          </w:rPr>
          <w:t xml:space="preserve"> </w:t>
        </w:r>
        <w:r>
          <w:rPr>
            <w:rStyle w:val="Hyperlink"/>
          </w:rPr>
          <w:t xml:space="preserve">1989</w:t>
        </w:r>
      </w:hyperlink>
      <w:r>
        <w:t xml:space="preserve">)</w:t>
      </w:r>
      <w:r>
        <w:t xml:space="preserve">. We focus on binomial and beta-binomial outcomes because count data dominate TDT/TLS studies, but the same modelling logic can be extended to other response types using appropriate likelihoods, including continuous performance traits, or latency data. Similarly, although we use the four-parameter log-logistic form for its flexibility, simpler nested models (3PL, with one asymptote fixed; 2PL, with both fixed at 0 and 1) or alternative monotonic dose-response functions (e.g., Weibull, log-normal) can be implemented within the same general framework</w:t>
      </w:r>
      <w:r>
        <w:t xml:space="preserve"> </w:t>
      </w:r>
      <w:r>
        <w:t xml:space="preserve">(</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w:t>
      </w:r>
    </w:p>
    <w:p>
      <w:pPr>
        <w:pStyle w:val="BodyText"/>
      </w:pPr>
      <w:r>
        <w:t xml:space="preserve">We show how classical TLS quantities, such as thermal sensitivity (</w:t>
      </w:r>
      <m:oMath>
        <m:r>
          <m:t>z</m:t>
        </m:r>
      </m:oMath>
      <w:r>
        <w:t xml:space="preserve">), thermal tolerance (</w:t>
      </w:r>
      <m:oMath>
        <m:r>
          <m:t>C</m:t>
        </m:r>
        <m:sSub>
          <m:e>
            <m:r>
              <m:t>T</m:t>
            </m:r>
          </m:e>
          <m:sub>
            <m:r>
              <m:t>m</m:t>
            </m:r>
            <m:r>
              <m:t>a</m:t>
            </m:r>
            <m:r>
              <m:t>x</m:t>
            </m:r>
          </m:sub>
        </m:sSub>
      </m:oMath>
      <w:r>
        <w:t xml:space="preserve">), heat injury accumulation, survival under fluctuating thermal regimes, and their uncertainty, can be derived from this single Bayesian model. We implement these tools in the R package</w:t>
      </w:r>
      <w:r>
        <w:t xml:space="preserve"> </w:t>
      </w:r>
      <m:oMath>
        <m:r>
          <m:t>b</m:t>
        </m:r>
        <m:r>
          <m:t>a</m:t>
        </m:r>
        <m:r>
          <m:t>y</m:t>
        </m:r>
        <m:r>
          <m:t>e</m:t>
        </m:r>
        <m:r>
          <m:t>s</m:t>
        </m:r>
        <m:r>
          <m:t>T</m:t>
        </m:r>
        <m:r>
          <m:t>L</m:t>
        </m:r>
        <m:r>
          <m:t>S</m:t>
        </m:r>
      </m:oMath>
      <w:r>
        <w:t xml:space="preserve"> </w:t>
      </w:r>
      <w:r>
        <w:t xml:space="preserve">and recommend this new modelling approach as the default approach for analysing organismal responses to varying thermal loads. Using simulations and empirical case studies in brown shrimp (</w:t>
      </w:r>
      <w:r>
        <w:rPr>
          <w:i/>
          <w:iCs/>
        </w:rPr>
        <w:t xml:space="preserve">Crangon crangon</w:t>
      </w:r>
      <w:r>
        <w:t xml:space="preserve">), zebrafish (</w:t>
      </w:r>
      <w:r>
        <w:rPr>
          <w:i/>
          <w:iCs/>
        </w:rPr>
        <w:t xml:space="preserve">Danio rerio</w:t>
      </w:r>
      <w:r>
        <w:t xml:space="preserve">), and XXX (XXX), we demonstrate how to implement, validate, and expand this new modelling approach.</w:t>
      </w:r>
    </w:p>
    <w:tbl>
      <w:tblPr>
        <w:tblStyle w:val="Table"/>
        <w:tblW w:type="pct" w:w="5000"/>
        <w:tblLayout w:type="fixed"/>
        <w:tblLook w:firstRow="0" w:lastRow="0" w:firstColumn="0" w:lastColumn="0" w:noHBand="0" w:noVBand="0" w:val="0000"/>
      </w:tblPr>
      <w:tblGrid>
        <w:gridCol w:w="7920"/>
      </w:tblGrid>
      <w:tr>
        <w:tc>
          <w:tcPr/>
          <w:bookmarkStart w:id="23" w:name="fig-joint-4pl-conceptual"/>
          <w:p>
            <w:pPr>
              <w:pStyle w:val="Compact"/>
              <w:jc w:val="center"/>
            </w:pPr>
            <w:r>
              <w:drawing>
                <wp:inline>
                  <wp:extent cx="5943600" cy="7868496"/>
                  <wp:effectExtent b="0" l="0" r="0" t="0"/>
                  <wp:docPr descr="" title="" id="21" name="Picture"/>
                  <a:graphic>
                    <a:graphicData uri="http://schemas.openxmlformats.org/drawingml/2006/picture">
                      <pic:pic>
                        <pic:nvPicPr>
                          <pic:cNvPr descr="../../../CloudStorage/Dropbox/1_Research/1_Manuscripts/In_Preparation/tls_model_equivalence/output/figs/fig1.png" id="22" name="Picture"/>
                          <pic:cNvPicPr>
                            <a:picLocks noChangeArrowheads="1" noChangeAspect="1"/>
                          </pic:cNvPicPr>
                        </pic:nvPicPr>
                        <pic:blipFill>
                          <a:blip r:embed="rId20"/>
                          <a:stretch>
                            <a:fillRect/>
                          </a:stretch>
                        </pic:blipFill>
                        <pic:spPr bwMode="auto">
                          <a:xfrm>
                            <a:off x="0" y="0"/>
                            <a:ext cx="5943600" cy="78684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Conceptual comparison of the classical two-stage TDT/TLS workflow and the joint Bayesian four-parameter logistic (4PL) model. (a) In the two-stage workflow, separate dose-response curves are fit at each assay temperature and the resulting</w:t>
            </w:r>
            <w:r>
              <w:t xml:space="preserve"> </w:t>
            </w:r>
            <m:oMath>
              <m:sSub>
                <m:e>
                  <m:r>
                    <m:t>t</m:t>
                  </m:r>
                </m:e>
                <m:sub>
                  <m:r>
                    <m:t>50</m:t>
                  </m:r>
                </m:sub>
              </m:sSub>
            </m:oMath>
            <w:r>
              <w:t xml:space="preserve"> </w:t>
            </w:r>
            <w:r>
              <w:t xml:space="preserve">estimates are regressed against temperature. This can fail when assays do not bracket</w:t>
            </w:r>
            <w:r>
              <w:t xml:space="preserve"> </w:t>
            </w:r>
            <m:oMath>
              <m:sSub>
                <m:e>
                  <m:r>
                    <m:t>t</m:t>
                  </m:r>
                </m:e>
                <m:sub>
                  <m:r>
                    <m:t>50</m:t>
                  </m:r>
                </m:sub>
              </m:sSub>
            </m:oMath>
            <w:r>
              <w:t xml:space="preserve">, treats first-stage estimates as fixed and independent, and does not naturally propagate uncertainty, covariates, or hierarchical structure into</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(b) The joint 4PL model estimates the full survival surface in one model. Coloured curves show posterior median survival probabilities at assay temperatures, with shaded pointwise 95% credible intervals. Filled circles mark the model midpoint,</w:t>
            </w:r>
            <w:r>
              <w:t xml:space="preserve"> </w:t>
            </w:r>
            <w:r>
              <w:rPr>
                <w:rStyle w:val="VerbatimChar"/>
              </w:rPr>
              <w:t xml:space="preserve">mid(T)</w:t>
            </w:r>
            <w:r>
              <w:t xml:space="preserve">, defining relative</w:t>
            </w:r>
            <w:r>
              <w:t xml:space="preserve"> </w:t>
            </w:r>
            <m:oMath>
              <m:sSub>
                <m:e>
                  <m:r>
                    <m:rPr>
                      <m:sty m:val="p"/>
                    </m:rPr>
                    <m:t>log</m:t>
                  </m:r>
                </m:e>
                <m:sub>
                  <m:r>
                    <m:t>10</m:t>
                  </m:r>
                </m:sub>
              </m:sSub>
              <m:sSub>
                <m:e>
                  <m:r>
                    <m:t>t</m:t>
                  </m:r>
                </m:e>
                <m:sub>
                  <m:r>
                    <m:t>50</m:t>
                  </m:r>
                </m:sub>
              </m:sSub>
            </m:oMath>
            <w:r>
              <w:t xml:space="preserve">; open triangles mark the absolute 50% survival crossing. The black and steelblue trajectories give the relative and absolute</w:t>
            </w:r>
            <w:r>
              <w:t xml:space="preserve"> </w:t>
            </w:r>
            <m:oMath>
              <m:sSub>
                <m:e>
                  <m:r>
                    <m:t>t</m:t>
                  </m:r>
                </m:e>
                <m:sub>
                  <m:r>
                    <m:t>50</m:t>
                  </m:r>
                </m:sub>
              </m:sSub>
            </m:oMath>
            <w:r>
              <w:t xml:space="preserve"> </w:t>
            </w:r>
            <w:r>
              <w:t xml:space="preserve">relationships used to derive</w:t>
            </w:r>
            <w:r>
              <w:t xml:space="preserve"> </w:t>
            </w:r>
            <m:oMath>
              <m:sSub>
                <m:e>
                  <m:r>
                    <m:t>z</m:t>
                  </m:r>
                </m:e>
                <m:sub>
                  <m:r>
                    <m:t>r</m:t>
                  </m:r>
                  <m:r>
                    <m:t>e</m:t>
                  </m:r>
                  <m:r>
                    <m:t>l</m:t>
                  </m:r>
                </m:sub>
              </m:sSub>
            </m:oMath>
            <w:r>
              <w:t xml:space="preserve">,</w:t>
            </w:r>
            <w:r>
              <w:t xml:space="preserve"> </w:t>
            </w:r>
            <m:oMath>
              <m:sSub>
                <m:e>
                  <m:r>
                    <m:t>z</m:t>
                  </m:r>
                </m:e>
                <m:sub>
                  <m:r>
                    <m:t>a</m:t>
                  </m:r>
                  <m:r>
                    <m:t>b</m:t>
                  </m:r>
                  <m:r>
                    <m:t>s</m:t>
                  </m:r>
                </m:sub>
              </m:sSub>
            </m:oMath>
            <w:r>
              <w:t xml:space="preserve">, and</w:t>
            </w:r>
            <w:r>
              <w:t xml:space="preserve"> </w:t>
            </w:r>
            <m:oMath>
              <m:r>
                <m:t>C</m:t>
              </m:r>
              <m:sSub>
                <m:e>
                  <m:r>
                    <m:t>T</m:t>
                  </m:r>
                </m:e>
                <m:sub>
                  <m:r>
                    <m:t>m</m:t>
                  </m:r>
                  <m:r>
                    <m:t>a</m:t>
                  </m:r>
                  <m:r>
                    <m:t>x</m:t>
                  </m:r>
                  <m:r>
                    <m:rPr>
                      <m:sty m:val="p"/>
                    </m:rPr>
                    <m:t>,</m:t>
                  </m:r>
                  <m:r>
                    <m:t>1</m:t>
                  </m:r>
                  <m:r>
                    <m:t>h</m:t>
                  </m:r>
                </m:sub>
              </m:sSub>
            </m:oMath>
            <w:r>
              <w:t xml:space="preserve"> </w:t>
            </w:r>
            <w:r>
              <w:t xml:space="preserve">at the 60-min reference. Dashed ghost curves show the fitted dose response at the corresponding relative and absolute</w:t>
            </w:r>
            <w:r>
              <w:t xml:space="preserve"> </w:t>
            </w:r>
            <m:oMath>
              <m:r>
                <m:t>C</m:t>
              </m:r>
              <m:sSub>
                <m:e>
                  <m:r>
                    <m:t>T</m:t>
                  </m:r>
                </m:e>
                <m:sub>
                  <m:r>
                    <m:t>m</m:t>
                  </m:r>
                  <m:r>
                    <m:t>a</m:t>
                  </m:r>
                  <m:r>
                    <m:t>x</m:t>
                  </m:r>
                  <m:r>
                    <m:rPr>
                      <m:sty m:val="p"/>
                    </m:rPr>
                    <m:t>,</m:t>
                  </m:r>
                  <m:r>
                    <m:t>1</m:t>
                  </m:r>
                  <m:r>
                    <m:t>h</m:t>
                  </m:r>
                </m:sub>
              </m:sSub>
            </m:oMath>
            <w:r>
              <w:t xml:space="preserve"> </w:t>
            </w:r>
            <w:r>
              <w:t xml:space="preserve">values. Inset: the 4PL parameters</w:t>
            </w:r>
            <w:r>
              <w:t xml:space="preserve"> </w:t>
            </w:r>
            <w:r>
              <w:rPr>
                <w:rStyle w:val="VerbatimChar"/>
              </w:rPr>
              <w:t xml:space="preserve">low</w:t>
            </w:r>
            <w:r>
              <w:t xml:space="preserve">,</w:t>
            </w:r>
            <w:r>
              <w:t xml:space="preserve"> </w:t>
            </w:r>
            <w:r>
              <w:rPr>
                <w:rStyle w:val="VerbatimChar"/>
              </w:rPr>
              <w:t xml:space="preserve">up</w:t>
            </w:r>
            <w:r>
              <w:t xml:space="preserve">,</w:t>
            </w:r>
            <w:r>
              <w:t xml:space="preserve"> </w:t>
            </w:r>
            <w:r>
              <w:rPr>
                <w:rStyle w:val="VerbatimChar"/>
              </w:rPr>
              <w:t xml:space="preserve">mid</w:t>
            </w:r>
            <w:r>
              <w:t xml:space="preserve">, and</w:t>
            </w:r>
            <w:r>
              <w:t xml:space="preserve"> </w:t>
            </w:r>
            <w:r>
              <w:rPr>
                <w:rStyle w:val="VerbatimChar"/>
              </w:rPr>
              <w:t xml:space="preserve">k</w:t>
            </w:r>
            <w:r>
              <w:t xml:space="preserve">. Values are illustrative.</w:t>
            </w:r>
          </w:p>
          <w:bookmarkEnd w:id="23"/>
        </w:tc>
      </w:tr>
    </w:tbl>
    <w:bookmarkEnd w:id="24"/>
    <w:bookmarkStart w:id="28" w:name="X4ae69e6473582f743e31b9e3b0100c4bac3c9f9"/>
    <w:p>
      <w:pPr>
        <w:pStyle w:val="Heading1"/>
      </w:pPr>
      <w:r>
        <w:t xml:space="preserve">A non-linear Bayesian hierarchical model for characterizing thermal load sensitivity</w:t>
      </w:r>
    </w:p>
    <w:bookmarkStart w:id="27" w:name="model-specification"/>
    <w:p>
      <w:pPr>
        <w:pStyle w:val="Heading2"/>
      </w:pPr>
      <w:r>
        <w:t xml:space="preserve">Model specification</w:t>
      </w:r>
    </w:p>
    <w:p>
      <w:pPr>
        <w:pStyle w:val="FirstParagraph"/>
      </w:pPr>
      <w:r>
        <w:t xml:space="preserve">Assuming we have mortality data for different times and temperatures, let</w:t>
      </w:r>
      <w:r>
        <w:t xml:space="preserve"> </w:t>
      </w:r>
      <m:oMath>
        <m:r>
          <m:t>y</m:t>
        </m:r>
      </m:oMath>
      <w:r>
        <w:t xml:space="preserve"> </w:t>
      </w:r>
      <w:r>
        <w:t xml:space="preserve">denote the number of survivors out of</w:t>
      </w:r>
      <w:r>
        <w:t xml:space="preserve"> </w:t>
      </w:r>
      <m:oMath>
        <m:r>
          <m:t>n</m:t>
        </m:r>
      </m:oMath>
      <w:r>
        <w:t xml:space="preserve"> </w:t>
      </w:r>
      <w:r>
        <w:t xml:space="preserve">individuals exposed for time</w:t>
      </w:r>
      <w:r>
        <w:t xml:space="preserve"> </w:t>
      </w:r>
      <m:oMath>
        <m:r>
          <m:t>t</m:t>
        </m:r>
      </m:oMath>
      <w:r>
        <w:t xml:space="preserve"> </w:t>
      </w:r>
      <w:r>
        <w:t xml:space="preserve">(e.g., minutes) at assay temperature</w:t>
      </w:r>
      <w:r>
        <w:t xml:space="preserve"> </w:t>
      </w:r>
      <m:oMath>
        <m:r>
          <m:t>T</m:t>
        </m:r>
      </m:oMath>
      <w:r>
        <w:t xml:space="preserve"> </w:t>
      </w:r>
      <w:r>
        <w:t xml:space="preserve">(°C). We can model the counts directly with a binomial likelihood (but a beta-binomial likelihood function can also be used and controls for overdispersion):</w:t>
      </w:r>
    </w:p>
    <w:p>
      <w:pPr>
        <w:pStyle w:val="BodyText"/>
      </w:pPr>
      <w:bookmarkStart w:id="25" w:name="eq-likelihood"/>
      <m:oMathPara>
        <m:oMathParaPr>
          <m:jc m:val="center"/>
        </m:oMathParaPr>
        <m:oMath>
          <m:r>
            <m:t>y</m:t>
          </m:r>
          <m:r>
            <m:rPr>
              <m:sty m:val="p"/>
            </m:rPr>
            <m:t>∣</m:t>
          </m:r>
          <m:r>
            <m:t>n</m:t>
          </m:r>
          <m:r>
            <m:rPr>
              <m:sty m:val="p"/>
            </m:rPr>
            <m:t>,</m:t>
          </m:r>
          <m:r>
            <m:t>p</m:t>
          </m:r>
          <m:r>
            <m:t> </m:t>
          </m:r>
          <m:r>
            <m:rPr>
              <m:sty m:val="p"/>
            </m:rPr>
            <m:t>∼</m:t>
          </m:r>
          <m:r>
            <m:t> </m:t>
          </m:r>
          <m:r>
            <m:rPr>
              <m:nor/>
              <m:sty m:val="p"/>
            </m:rPr>
            <m:t>Binomial</m:t>
          </m:r>
          <m:d>
            <m:dPr>
              <m:begChr m:val="("/>
              <m:sepChr m:val=""/>
              <m:endChr m:val=")"/>
              <m:grow/>
            </m:dPr>
            <m:e>
              <m:r>
                <m:t>n</m:t>
              </m:r>
              <m:r>
                <m:rPr>
                  <m:sty m:val="p"/>
                </m:rPr>
                <m:t>,</m:t>
              </m:r>
              <m:r>
                <m:t> </m:t>
              </m:r>
              <m:r>
                <m:t>p</m:t>
              </m:r>
            </m:e>
          </m:d>
          <m:r>
            <m:rPr>
              <m:sty m:val="p"/>
            </m:rPr>
            <m:t>,</m:t>
          </m:r>
          <m:r>
            <m:t>  </m:t>
          </m:r>
          <m:d>
            <m:dPr>
              <m:begChr m:val="("/>
              <m:sepChr m:val=""/>
              <m:endChr m:val=")"/>
              <m:grow/>
            </m:dPr>
            <m:e>
              <m:r>
                <m:t>1</m:t>
              </m:r>
            </m:e>
          </m:d>
        </m:oMath>
      </m:oMathPara>
      <w:bookmarkEnd w:id="25"/>
    </w:p>
    <w:p>
      <w:pPr>
        <w:pStyle w:val="FirstParagraph"/>
      </w:pPr>
      <w:r>
        <w:t xml:space="preserve">with survival probability</w:t>
      </w:r>
      <w:r>
        <w:t xml:space="preserve"> </w:t>
      </w:r>
      <m:oMath>
        <m:r>
          <m:t>p</m:t>
        </m:r>
      </m:oMath>
      <w:r>
        <w:t xml:space="preserve"> </w:t>
      </w:r>
      <w:r>
        <w:t xml:space="preserve">given by a four-parameter logistic (4PL) function of</w:t>
      </w:r>
      <w:r>
        <w:t xml:space="preserve"> </w:t>
      </w:r>
      <m:oMath>
        <m:sSub>
          <m:e>
            <m:r>
              <m:rPr>
                <m:sty m:val="p"/>
              </m:rPr>
              <m:t>log</m:t>
            </m:r>
          </m:e>
          <m:sub>
            <m:r>
              <m:t>10</m:t>
            </m:r>
          </m:sub>
        </m:sSub>
      </m:oMath>
      <w:r>
        <w:t xml:space="preserve">-exposure time,</w:t>
      </w:r>
    </w:p>
    <w:p>
      <w:pPr>
        <w:pStyle w:val="BodyText"/>
      </w:pPr>
      <w:bookmarkStart w:id="26" w:name="eq-4pl"/>
      <m:oMathPara>
        <m:oMathParaPr>
          <m:jc m:val="center"/>
        </m:oMathParaPr>
        <m:oMath>
          <m:r>
            <m:t>p</m:t>
          </m:r>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r>
                        <m:t>t</m:t>
                      </m:r>
                      <m:r>
                        <m:rPr>
                          <m:sty m:val="p"/>
                        </m:rPr>
                        <m:t>−</m:t>
                      </m:r>
                      <m:r>
                        <m:rPr>
                          <m:nor/>
                          <m:sty m:val="p"/>
                        </m:rPr>
                        <m:t>mid</m:t>
                      </m:r>
                    </m:e>
                  </m:d>
                </m:e>
              </m:d>
            </m:den>
          </m:f>
          <m:r>
            <m:rPr>
              <m:sty m:val="p"/>
            </m:rPr>
            <m:t>.</m:t>
          </m:r>
          <m:r>
            <m:t>  </m:t>
          </m:r>
          <m:d>
            <m:dPr>
              <m:begChr m:val="("/>
              <m:sepChr m:val=""/>
              <m:endChr m:val=")"/>
              <m:grow/>
            </m:dPr>
            <m:e>
              <m:r>
                <m:t>2</m:t>
              </m:r>
            </m:e>
          </m:d>
        </m:oMath>
      </m:oMathPara>
      <w:bookmarkEnd w:id="26"/>
    </w:p>
    <w:p>
      <w:pPr>
        <w:pStyle w:val="FirstParagraph"/>
      </w:pPr>
      <w:r>
        <w:t xml:space="preserve">where</w:t>
      </w:r>
      <w:r>
        <w:t xml:space="preserve"> </w:t>
      </w:r>
      <m:oMath>
        <m:r>
          <m:rPr>
            <m:nor/>
            <m:sty m:val="p"/>
          </m:rPr>
          <m:t>low</m:t>
        </m:r>
      </m:oMath>
      <w:r>
        <w:t xml:space="preserve"> </w:t>
      </w:r>
      <w:r>
        <w:t xml:space="preserve">is the lower survival probability asymptote,</w:t>
      </w:r>
      <w:r>
        <w:t xml:space="preserve"> </w:t>
      </w:r>
      <m:oMath>
        <m:r>
          <m:rPr>
            <m:nor/>
            <m:sty m:val="p"/>
          </m:rPr>
          <m:t>up</m:t>
        </m:r>
      </m:oMath>
      <w:r>
        <w:t xml:space="preserve"> </w:t>
      </w:r>
      <w:r>
        <w:t xml:space="preserve">is the upper survival probability asymptote, and</w:t>
      </w:r>
      <w:r>
        <w:t xml:space="preserve"> </w:t>
      </w:r>
      <m:oMath>
        <m:r>
          <m:t>k</m:t>
        </m:r>
      </m:oMath>
      <w:r>
        <w:t xml:space="preserve"> </w:t>
      </w:r>
      <w:r>
        <w:t xml:space="preserve">is the slope defining the change in survival probability on the</w:t>
      </w:r>
      <w:r>
        <w:t xml:space="preserve"> </w:t>
      </w:r>
      <m:oMath>
        <m:sSub>
          <m:e>
            <m:r>
              <m:rPr>
                <m:sty m:val="p"/>
              </m:rPr>
              <m:t>log</m:t>
            </m:r>
          </m:e>
          <m:sub>
            <m:r>
              <m:t>10</m:t>
            </m:r>
          </m:sub>
        </m:sSub>
        <m:r>
          <m:t>t</m:t>
        </m:r>
      </m:oMath>
      <w:r>
        <w:t xml:space="preserve"> </w:t>
      </w:r>
      <w:r>
        <w:t xml:space="preserve">axis. Larger</w:t>
      </w:r>
      <w:r>
        <w:t xml:space="preserve"> </w:t>
      </w:r>
      <m:oMath>
        <m:r>
          <m:t>k</m:t>
        </m:r>
      </m:oMath>
      <w:r>
        <w:t xml:space="preserve"> </w:t>
      </w:r>
      <w:r>
        <w:t xml:space="preserve">gives a sharper decline in survival probability with</w:t>
      </w:r>
      <w:r>
        <w:t xml:space="preserve"> </w:t>
      </w:r>
      <m:oMath>
        <m:sSub>
          <m:e>
            <m:r>
              <m:rPr>
                <m:sty m:val="p"/>
              </m:rPr>
              <m:t>log</m:t>
            </m:r>
          </m:e>
          <m:sub>
            <m:r>
              <m:t>10</m:t>
            </m:r>
          </m:sub>
        </m:sSub>
        <m:r>
          <m:t>t</m:t>
        </m:r>
      </m:oMath>
      <w:r>
        <w:t xml:space="preserve">.</w:t>
      </w:r>
      <w:r>
        <w:t xml:space="preserve"> </w:t>
      </w:r>
      <m:oMath>
        <m:r>
          <m:rPr>
            <m:nor/>
            <m:sty m:val="p"/>
          </m:rPr>
          <m:t>mid</m:t>
        </m:r>
      </m:oMath>
      <w:r>
        <w:t xml:space="preserve"> </w:t>
      </w:r>
      <w:r>
        <w:t xml:space="preserve">is the value of</w:t>
      </w:r>
      <w:r>
        <w:t xml:space="preserve"> </w:t>
      </w:r>
      <m:oMath>
        <m:sSub>
          <m:e>
            <m:r>
              <m:rPr>
                <m:sty m:val="p"/>
              </m:rPr>
              <m:t>log</m:t>
            </m:r>
          </m:e>
          <m:sub>
            <m:r>
              <m:t>10</m:t>
            </m:r>
          </m:sub>
        </m:sSub>
        <m:r>
          <m:t>t</m:t>
        </m:r>
      </m:oMath>
      <w:r>
        <w:t xml:space="preserve"> </w:t>
      </w:r>
      <w:r>
        <w:t xml:space="preserve">at which</w:t>
      </w:r>
      <w:r>
        <w:t xml:space="preserve"> </w:t>
      </w:r>
      <m:oMath>
        <m:r>
          <m:t>p</m:t>
        </m:r>
      </m:oMath>
      <w:r>
        <w:t xml:space="preserve"> </w:t>
      </w:r>
      <w:r>
        <w:t xml:space="preserve">falls to the midpoint between</w:t>
      </w:r>
      <w:r>
        <w:t xml:space="preserve"> </w:t>
      </w:r>
      <m:oMath>
        <m:r>
          <m:rPr>
            <m:nor/>
            <m:sty m:val="p"/>
          </m:rPr>
          <m:t>low</m:t>
        </m:r>
      </m:oMath>
      <w:r>
        <w:t xml:space="preserve"> </w:t>
      </w:r>
      <w:r>
        <w:t xml:space="preserve">and</w:t>
      </w:r>
      <w:r>
        <w:t xml:space="preserve"> </w:t>
      </w:r>
      <m:oMath>
        <m:r>
          <m:rPr>
            <m:nor/>
            <m:sty m:val="p"/>
          </m:rPr>
          <m:t>up</m:t>
        </m:r>
      </m:oMath>
      <w:r>
        <w:t xml:space="preserve">. When asymptotes are near 0 and 1,</w:t>
      </w:r>
      <w:r>
        <w:t xml:space="preserve"> </w:t>
      </w:r>
      <m:oMath>
        <m:r>
          <m:rPr>
            <m:nor/>
            <m:sty m:val="p"/>
          </m:rPr>
          <m:t>mid</m:t>
        </m:r>
      </m:oMath>
      <w:r>
        <w:t xml:space="preserve"> </w:t>
      </w:r>
      <w:r>
        <w:t xml:space="preserve">coincides with</w:t>
      </w:r>
      <w:r>
        <w:t xml:space="preserve"> </w:t>
      </w:r>
      <m:oMath>
        <m:sSub>
          <m:e>
            <m:r>
              <m:rPr>
                <m:sty m:val="p"/>
              </m:rPr>
              <m:t>log</m:t>
            </m:r>
          </m:e>
          <m:sub>
            <m:r>
              <m:t>10</m:t>
            </m:r>
          </m:sub>
        </m:sSub>
        <m:sSub>
          <m:e>
            <m:r>
              <m:t>t</m:t>
            </m:r>
          </m:e>
          <m:sub>
            <m:r>
              <m:t>50</m:t>
            </m:r>
          </m:sub>
        </m:sSub>
      </m:oMath>
      <w:r>
        <w:t xml:space="preserve">. While other logistic forms can be used (e.g., two or 3 parameter logistics),</w:t>
      </w:r>
      <w:r>
        <w:t xml:space="preserve"> </w:t>
      </w:r>
      <w:hyperlink w:anchor="eq-4pl">
        <w:r>
          <w:rPr>
            <w:rStyle w:val="Hyperlink"/>
          </w:rPr>
          <w:t xml:space="preserve">Equation 2</w:t>
        </w:r>
      </w:hyperlink>
      <w:r>
        <w:t xml:space="preserve"> </w:t>
      </w:r>
      <w:r>
        <w:t xml:space="preserve">is the most flexible model that can account for different asymptotic survival probabilities.</w:t>
      </w:r>
    </w:p>
    <w:p>
      <w:pPr>
        <w:pStyle w:val="BodyText"/>
      </w:pPr>
      <w:r>
        <w:t xml:space="preserve">The key parameters of</w:t>
      </w:r>
      <w:r>
        <w:t xml:space="preserve"> </w:t>
      </w:r>
      <w:hyperlink w:anchor="eq-4pl">
        <w:r>
          <w:rPr>
            <w:rStyle w:val="Hyperlink"/>
          </w:rPr>
          <w:t xml:space="preserve">Equation 2</w:t>
        </w:r>
      </w:hyperlink>
      <w:r>
        <w:t xml:space="preserve"> </w:t>
      </w:r>
      <w:r>
        <w:t xml:space="preserve">(i.e.,</w:t>
      </w:r>
      <w:r>
        <w:t xml:space="preserve"> </w:t>
      </w:r>
      <m:oMath>
        <m:r>
          <m:rPr>
            <m:nor/>
            <m:sty m:val="p"/>
          </m:rPr>
          <m:t>low</m:t>
        </m:r>
      </m:oMath>
      <w:r>
        <w:t xml:space="preserve">,</w:t>
      </w:r>
      <w:r>
        <w:t xml:space="preserve"> </w:t>
      </w:r>
      <m:oMath>
        <m:r>
          <m:rPr>
            <m:nor/>
            <m:sty m:val="p"/>
          </m:rPr>
          <m:t>up</m:t>
        </m:r>
      </m:oMath>
      <w:r>
        <w:t xml:space="preserve">,</w:t>
      </w:r>
      <w:r>
        <w:t xml:space="preserve"> </w:t>
      </w:r>
      <m:oMath>
        <m:r>
          <m:t>k</m:t>
        </m:r>
      </m:oMath>
      <w:r>
        <w:t xml:space="preserve">,</w:t>
      </w:r>
      <w:r>
        <w:t xml:space="preserve"> </w:t>
      </w:r>
      <m:oMath>
        <m:r>
          <m:rPr>
            <m:nor/>
            <m:sty m:val="p"/>
          </m:rPr>
          <m:t>mid</m:t>
        </m:r>
      </m:oMath>
      <w:r>
        <w:t xml:space="preserve">), can be fit as a non-linear function within a likelihood or Bayesian framework, which estimates their correlation and allows for fixed or random effects to be estimated to explain variation in these parameters. Such an approach allows for</w:t>
      </w:r>
      <w:r>
        <w:t xml:space="preserve"> </w:t>
      </w:r>
      <w:r>
        <w:rPr>
          <w:i/>
          <w:iCs/>
        </w:rPr>
        <w:t xml:space="preserve">a priori</w:t>
      </w:r>
      <w:r>
        <w:t xml:space="preserve"> </w:t>
      </w:r>
      <w:r>
        <w:t xml:space="preserve">comparisons (e.g., do sexes or species differ in midpoints?), with correct inference (e.g., do species differ significantly from each other?) and allows for variance decomposition to help identify key sources of variance in the data (e.g., estimating variances explained across individuals, species, trials etc.). Such models are most flexibly fit within a Bayesian framework with intuitive interpretation of these parameters and a highly flexible path for error propagation. We show below how such a model can be used to derive all thermal load sensitivity parameters of interest to ecophysiologists.</w:t>
      </w:r>
    </w:p>
    <w:bookmarkEnd w:id="27"/>
    <w:bookmarkEnd w:id="28"/>
    <w:bookmarkStart w:id="33" w:name="X46eb6268dcffa0b752ad63ad3dfd63180af2bd8"/>
    <w:p>
      <w:pPr>
        <w:pStyle w:val="Heading1"/>
      </w:pPr>
      <w:r>
        <w:t xml:space="preserve">Deriving key thermal load sensitivity parameters</w:t>
      </w:r>
    </w:p>
    <w:p>
      <w:pPr>
        <w:pStyle w:val="FirstParagraph"/>
      </w:pPr>
      <w:r>
        <w:t xml:space="preserve">The TDT/TLS frameworks are elegant in that they derive metrics with clear biological interpretation that can be compared across populations and species (e.g.,</w:t>
      </w:r>
      <w:r>
        <w:t xml:space="preserve"> </w:t>
      </w:r>
      <w:r>
        <w:rPr>
          <w:i/>
          <w:iCs/>
        </w:rPr>
        <w:t xml:space="preserve">z</w:t>
      </w:r>
      <w:r>
        <w:t xml:space="preserve">,</w:t>
      </w:r>
      <w:r>
        <w:t xml:space="preserve"> </w:t>
      </w:r>
      <m:oMath>
        <m:r>
          <m:t>C</m:t>
        </m:r>
        <m:sSub>
          <m:e>
            <m:r>
              <m:t>T</m:t>
            </m:r>
          </m:e>
          <m:sub>
            <m:r>
              <m:t>m</m:t>
            </m:r>
            <m:r>
              <m:t>a</m:t>
            </m:r>
            <m:sSub>
              <m:e>
                <m:r>
                  <m:t>x</m:t>
                </m:r>
              </m:e>
              <m:sub>
                <m:r>
                  <m:t>1</m:t>
                </m:r>
                <m:r>
                  <m:t>h</m:t>
                </m:r>
                <m:r>
                  <m:t>r</m:t>
                </m:r>
              </m:sub>
            </m:sSub>
          </m:sub>
        </m:sSub>
      </m:oMath>
      <w:r>
        <w:t xml:space="preserve">). Here, we show that we can derive these same metrics directly from</w:t>
      </w:r>
      <w:r>
        <w:t xml:space="preserve"> </w:t>
      </w:r>
      <w:hyperlink w:anchor="eq-4pl">
        <w:r>
          <w:rPr>
            <w:rStyle w:val="Hyperlink"/>
          </w:rPr>
          <w:t xml:space="preserve">Equation 2</w:t>
        </w:r>
      </w:hyperlink>
      <w:r>
        <w:t xml:space="preserve">.</w:t>
      </w:r>
    </w:p>
    <w:p>
      <w:pPr>
        <w:pStyle w:val="BodyText"/>
      </w:pPr>
      <w:r>
        <w:t xml:space="preserve">As indicated above, we can model changes in the mean of any of the four parameters in</w:t>
      </w:r>
      <w:r>
        <w:t xml:space="preserve"> </w:t>
      </w:r>
      <w:hyperlink w:anchor="eq-4pl">
        <w:r>
          <w:rPr>
            <w:rStyle w:val="Hyperlink"/>
          </w:rPr>
          <w:t xml:space="preserve">Equation 2</w:t>
        </w:r>
      </w:hyperlink>
      <w:r>
        <w:t xml:space="preserve">. Thermal sensitivity (</w:t>
      </w:r>
      <w:r>
        <w:rPr>
          <w:i/>
          <w:iCs/>
        </w:rPr>
        <w:t xml:space="preserve">z</w:t>
      </w:r>
      <w:r>
        <w:t xml:space="preserve">) and</w:t>
      </w:r>
      <w:r>
        <w:t xml:space="preserve"> </w:t>
      </w:r>
      <m:oMath>
        <m:r>
          <m:t>C</m:t>
        </m:r>
        <m:sSub>
          <m:e>
            <m:r>
              <m:t>T</m:t>
            </m:r>
          </m:e>
          <m:sub>
            <m:r>
              <m:t>m</m:t>
            </m:r>
            <m:r>
              <m:t>a</m:t>
            </m:r>
            <m:sSub>
              <m:e>
                <m:r>
                  <m:t>x</m:t>
                </m:r>
              </m:e>
              <m:sub>
                <m:r>
                  <m:t>1</m:t>
                </m:r>
                <m:r>
                  <m:t>h</m:t>
                </m:r>
                <m:r>
                  <m:t>r</m:t>
                </m:r>
              </m:sub>
            </m:sSub>
          </m:sub>
        </m:sSub>
      </m:oMath>
      <w:r>
        <w:t xml:space="preserve"> </w:t>
      </w:r>
      <w:r>
        <w:t xml:space="preserve">can be derived by modelling the effect of temperature on midpoints specifically as follows:</w:t>
      </w:r>
    </w:p>
    <w:p>
      <w:pPr>
        <w:pStyle w:val="BodyText"/>
      </w:pPr>
      <w:bookmarkStart w:id="29" w:name="eq-mid-temp"/>
      <m:oMathPara>
        <m:oMathParaPr>
          <m:jc m:val="center"/>
        </m:oMathParaPr>
        <m:oMath>
          <m:r>
            <m:rPr>
              <m:nor/>
              <m:sty m:val="p"/>
            </m:rPr>
            <m:t>mid</m:t>
          </m:r>
          <m:r>
            <m:rPr>
              <m:sty m:val="p"/>
            </m:rPr>
            <m:t>=</m:t>
          </m:r>
          <m:sSub>
            <m:e>
              <m:r>
                <m:t>β</m:t>
              </m:r>
            </m:e>
            <m:sub>
              <m:r>
                <m:t>0</m:t>
              </m:r>
            </m:sub>
          </m:sSub>
          <m:r>
            <m:rPr>
              <m:sty m:val="p"/>
            </m:rPr>
            <m:t>+</m:t>
          </m:r>
          <m:sSub>
            <m:e>
              <m:r>
                <m:t>β</m:t>
              </m:r>
            </m:e>
            <m:sub>
              <m:r>
                <m:t>1</m:t>
              </m:r>
            </m:sub>
          </m:sSub>
          <m:r>
            <m:t> </m:t>
          </m:r>
          <m:d>
            <m:dPr>
              <m:begChr m:val="("/>
              <m:sepChr m:val=""/>
              <m:endChr m:val=")"/>
              <m:grow/>
            </m:dPr>
            <m:e>
              <m:r>
                <m:t>T</m:t>
              </m:r>
              <m:r>
                <m:rPr>
                  <m:sty m:val="p"/>
                </m:rPr>
                <m:t>−</m:t>
              </m:r>
              <m:acc>
                <m:accPr>
                  <m:chr m:val="‾"/>
                </m:accPr>
                <m:e>
                  <m:r>
                    <m:t>T</m:t>
                  </m:r>
                </m:e>
              </m:acc>
            </m:e>
          </m:d>
          <m:r>
            <m:rPr>
              <m:sty m:val="p"/>
            </m:rPr>
            <m:t>,</m:t>
          </m:r>
          <m:r>
            <m:t>  </m:t>
          </m:r>
          <m:d>
            <m:dPr>
              <m:begChr m:val="("/>
              <m:sepChr m:val=""/>
              <m:endChr m:val=")"/>
              <m:grow/>
            </m:dPr>
            <m:e>
              <m:r>
                <m:t>3</m:t>
              </m:r>
            </m:e>
          </m:d>
        </m:oMath>
      </m:oMathPara>
      <w:bookmarkEnd w:id="29"/>
    </w:p>
    <w:p>
      <w:pPr>
        <w:pStyle w:val="FirstParagraph"/>
      </w:pPr>
      <w:r>
        <w:t xml:space="preserve">where</w:t>
      </w:r>
      <w:r>
        <w:t xml:space="preserve"> </w:t>
      </w:r>
      <m:oMath>
        <m:r>
          <m:rPr>
            <m:nor/>
            <m:sty m:val="p"/>
          </m:rPr>
          <m:t>mid</m:t>
        </m:r>
      </m:oMath>
      <w:r>
        <w:t xml:space="preserve"> </w:t>
      </w:r>
      <w:r>
        <w:t xml:space="preserve">is the</w:t>
      </w:r>
      <w:r>
        <w:t xml:space="preserve"> </w:t>
      </w:r>
      <m:oMath>
        <m:sSub>
          <m:e>
            <m:r>
              <m:rPr>
                <m:sty m:val="p"/>
              </m:rPr>
              <m:t>log</m:t>
            </m:r>
          </m:e>
          <m:sub>
            <m:r>
              <m:t>10</m:t>
            </m:r>
          </m:sub>
        </m:sSub>
      </m:oMath>
      <w:r>
        <w:t xml:space="preserve">-time at which survival equals the midpoint between the lower and upper asymptotes at assay temperature</w:t>
      </w:r>
      <w:r>
        <w:t xml:space="preserve"> </w:t>
      </w:r>
      <m:oMath>
        <m:r>
          <m:t>T</m:t>
        </m:r>
      </m:oMath>
      <w:r>
        <w:t xml:space="preserve"> </w:t>
      </w:r>
      <w:r>
        <w:t xml:space="preserve">(°C);</w:t>
      </w:r>
      <w:r>
        <w:t xml:space="preserve"> </w:t>
      </w:r>
      <m:oMath>
        <m:sSub>
          <m:e>
            <m:r>
              <m:t>β</m:t>
            </m:r>
          </m:e>
          <m:sub>
            <m:r>
              <m:t>0</m:t>
            </m:r>
          </m:sub>
        </m:sSub>
      </m:oMath>
      <w:r>
        <w:t xml:space="preserve"> </w:t>
      </w:r>
      <w:r>
        <w:t xml:space="preserve">is the intercept giving the midpoint at the grand mean temperature</w:t>
      </w:r>
      <w:r>
        <w:t xml:space="preserve"> </w:t>
      </w:r>
      <m:oMath>
        <m:acc>
          <m:accPr>
            <m:chr m:val="‾"/>
          </m:accPr>
          <m:e>
            <m:r>
              <m:t>T</m:t>
            </m:r>
          </m:e>
        </m:acc>
      </m:oMath>
      <w:r>
        <w:t xml:space="preserve">;</w:t>
      </w:r>
      <w:r>
        <w:t xml:space="preserve"> </w:t>
      </w:r>
      <m:oMath>
        <m:sSub>
          <m:e>
            <m:r>
              <m:t>β</m:t>
            </m:r>
          </m:e>
          <m:sub>
            <m:r>
              <m:t>1</m:t>
            </m:r>
          </m:sub>
        </m:sSub>
      </m:oMath>
      <w:r>
        <w:t xml:space="preserve"> </w:t>
      </w:r>
      <w:r>
        <w:t xml:space="preserve">is the slope describing how the midpoint changes per °C increase in</w:t>
      </w:r>
      <w:r>
        <w:t xml:space="preserve"> </w:t>
      </w:r>
      <m:oMath>
        <m:r>
          <m:t>T</m:t>
        </m:r>
      </m:oMath>
      <w:r>
        <w:t xml:space="preserve">; and</w:t>
      </w:r>
      <w:r>
        <w:t xml:space="preserve"> </w:t>
      </w:r>
      <m:oMath>
        <m:acc>
          <m:accPr>
            <m:chr m:val="‾"/>
          </m:accPr>
          <m:e>
            <m:r>
              <m:t>T</m:t>
            </m:r>
          </m:e>
        </m:acc>
      </m:oMath>
      <w:r>
        <w:t xml:space="preserve"> </w:t>
      </w:r>
      <w:r>
        <w:t xml:space="preserve">is the grand mean of assay temperatures used to mean-centre</w:t>
      </w:r>
      <w:r>
        <w:t xml:space="preserve"> </w:t>
      </w:r>
      <m:oMath>
        <m:r>
          <m:t>T</m:t>
        </m:r>
      </m:oMath>
      <w:r>
        <w:t xml:space="preserve">, which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 </w:t>
      </w:r>
      <w:r>
        <w:t xml:space="preserve">and improves parameter estimation and interpretation</w:t>
      </w:r>
      <w:r>
        <w:t xml:space="preserve"> </w:t>
      </w:r>
      <w:r>
        <w:t xml:space="preserve">(</w:t>
      </w:r>
      <w:hyperlink w:anchor="ref-schielzeth_centering_2010">
        <w:r>
          <w:rPr>
            <w:rStyle w:val="Hyperlink"/>
          </w:rPr>
          <w:t xml:space="preserve">Schielzeth 2010</w:t>
        </w:r>
      </w:hyperlink>
      <w:r>
        <w:t xml:space="preserve">)</w:t>
      </w:r>
      <w:r>
        <w:t xml:space="preserve">.</w:t>
      </w:r>
    </w:p>
    <w:p>
      <w:pPr>
        <w:pStyle w:val="BodyText"/>
      </w:pPr>
      <w:r>
        <w:t xml:space="preserve">When the experimental design estimates upper and lower limits of the response (i.e.,</w:t>
      </w:r>
      <w:r>
        <w:t xml:space="preserve"> </w:t>
      </w:r>
      <m:oMath>
        <m:r>
          <m:rPr>
            <m:nor/>
            <m:sty m:val="p"/>
          </m:rPr>
          <m:t>low</m:t>
        </m:r>
      </m:oMath>
      <w:r>
        <w:t xml:space="preserve"> </w:t>
      </w:r>
      <w:r>
        <w:t xml:space="preserve">and</w:t>
      </w:r>
      <w:r>
        <w:t xml:space="preserve"> </w:t>
      </w:r>
      <m:oMath>
        <m:r>
          <m:rPr>
            <m:nor/>
            <m:sty m:val="p"/>
          </m:rPr>
          <m:t>up</m:t>
        </m:r>
      </m:oMath>
      <w:r>
        <w:t xml:space="preserve">) near 0 and 1, the midpoint coincides with the classical</w:t>
      </w:r>
      <w:r>
        <w:t xml:space="preserve"> </w:t>
      </w:r>
      <m:oMath>
        <m:sSub>
          <m:e>
            <m:r>
              <m:t>t</m:t>
            </m:r>
          </m:e>
          <m:sub>
            <m:r>
              <m:t>50</m:t>
            </m:r>
          </m:sub>
        </m:sSub>
      </m:oMath>
      <w:r>
        <w:t xml:space="preserve"> </w:t>
      </w:r>
      <w:r>
        <w:t xml:space="preserve">(time to reach 50% survival). Therefore, the regression in</w:t>
      </w:r>
      <w:r>
        <w:t xml:space="preserve"> </w:t>
      </w:r>
      <w:hyperlink w:anchor="eq-mid-temp">
        <w:r>
          <w:rPr>
            <w:rStyle w:val="Hyperlink"/>
          </w:rPr>
          <w:t xml:space="preserve">Equation 3</w:t>
        </w:r>
      </w:hyperlink>
      <w:r>
        <w:t xml:space="preserve"> </w:t>
      </w:r>
      <w:r>
        <w:t xml:space="preserve">directly provides thermal sensitivity as</w:t>
      </w:r>
      <w:r>
        <w:t xml:space="preserve"> </w:t>
      </w:r>
      <m:oMath>
        <m:r>
          <m:t>z</m:t>
        </m:r>
        <m:r>
          <m:rPr>
            <m:sty m:val="p"/>
          </m:rPr>
          <m:t>=</m:t>
        </m:r>
        <m:r>
          <m:rPr>
            <m:sty m:val="p"/>
          </m:rPr>
          <m:t>−</m:t>
        </m:r>
        <m:r>
          <m:t>1</m:t>
        </m:r>
        <m:r>
          <m:rPr>
            <m:sty m:val="p"/>
          </m:rPr>
          <m:t>/</m:t>
        </m:r>
        <m:sSub>
          <m:e>
            <m:r>
              <m:t>β</m:t>
            </m:r>
          </m:e>
          <m:sub>
            <m:r>
              <m:t>1</m:t>
            </m:r>
          </m:sub>
        </m:sSub>
      </m:oMath>
      <w:r>
        <w:t xml:space="preserve">, and the critical thermal limit at any reference time</w:t>
      </w:r>
      <w:r>
        <w:t xml:space="preserve"> </w:t>
      </w:r>
      <m:oMath>
        <m:sSub>
          <m:e>
            <m:r>
              <m:t>t</m:t>
            </m:r>
          </m:e>
          <m:sub>
            <m:r>
              <m:rPr>
                <m:nor/>
                <m:sty m:val="p"/>
              </m:rPr>
              <m:t>ref</m:t>
            </m:r>
          </m:sub>
        </m:sSub>
      </m:oMath>
      <w:r>
        <w:t xml:space="preserve"> </w:t>
      </w:r>
      <w:r>
        <w:t xml:space="preserve">is</w:t>
      </w:r>
      <w:r>
        <w:t xml:space="preserve"> </w:t>
      </w:r>
      <m:oMath>
        <m:r>
          <m:t>C</m:t>
        </m:r>
        <m:sSub>
          <m:e>
            <m:r>
              <m:t>T</m:t>
            </m:r>
          </m:e>
          <m:sub>
            <m:r>
              <m:t>m</m:t>
            </m:r>
            <m:r>
              <m:t>a</m:t>
            </m:r>
            <m:r>
              <m:t>x</m:t>
            </m:r>
          </m:sub>
        </m:sSub>
        <m:d>
          <m:dPr>
            <m:begChr m:val="("/>
            <m:sepChr m:val=""/>
            <m:endChr m:val=")"/>
            <m:grow/>
          </m:dPr>
          <m:e>
            <m:sSub>
              <m:e>
                <m:r>
                  <m:t>t</m:t>
                </m:r>
              </m:e>
              <m:sub>
                <m:r>
                  <m:rPr>
                    <m:nor/>
                    <m:sty m:val="p"/>
                  </m:rPr>
                  <m:t>ref</m:t>
                </m:r>
              </m:sub>
            </m:sSub>
          </m:e>
        </m:d>
        <m:r>
          <m:rPr>
            <m:sty m:val="p"/>
          </m:rPr>
          <m:t>=</m:t>
        </m:r>
        <m:acc>
          <m:accPr>
            <m:chr m:val="‾"/>
          </m:accPr>
          <m:e>
            <m:r>
              <m:t>T</m:t>
            </m:r>
          </m:e>
        </m:acc>
        <m:r>
          <m:rPr>
            <m:sty m:val="p"/>
          </m:rPr>
          <m:t>+</m:t>
        </m:r>
        <m:d>
          <m:dPr>
            <m:begChr m:val="("/>
            <m:sepChr m:val=""/>
            <m:endChr m:val=")"/>
            <m:grow/>
          </m:dPr>
          <m:e>
            <m:sSub>
              <m:e>
                <m:r>
                  <m:rPr>
                    <m:sty m:val="p"/>
                  </m:rPr>
                  <m:t>log</m:t>
                </m:r>
              </m:e>
              <m:sub>
                <m:r>
                  <m:t>10</m:t>
                </m:r>
              </m:sub>
            </m:sSub>
            <m:sSub>
              <m:e>
                <m:r>
                  <m:t>t</m:t>
                </m:r>
              </m:e>
              <m:sub>
                <m:r>
                  <m:rPr>
                    <m:nor/>
                    <m:sty m:val="p"/>
                  </m:rPr>
                  <m:t>ref</m:t>
                </m:r>
              </m:sub>
            </m:sSub>
            <m:r>
              <m:rPr>
                <m:sty m:val="p"/>
              </m:rPr>
              <m:t>−</m:t>
            </m:r>
            <m:sSub>
              <m:e>
                <m:r>
                  <m:t>β</m:t>
                </m:r>
              </m:e>
              <m:sub>
                <m:r>
                  <m:t>0</m:t>
                </m:r>
              </m:sub>
            </m:sSub>
          </m:e>
        </m:d>
        <m:r>
          <m:rPr>
            <m:sty m:val="p"/>
          </m:rPr>
          <m:t>/</m:t>
        </m:r>
        <m:sSub>
          <m:e>
            <m:r>
              <m:t>β</m:t>
            </m:r>
          </m:e>
          <m:sub>
            <m:r>
              <m:t>1</m:t>
            </m:r>
          </m:sub>
        </m:sSub>
      </m:oMath>
      <w:r>
        <w:t xml:space="preserve"> </w:t>
      </w:r>
      <w:r>
        <w:t xml:space="preserve">(with</w:t>
      </w:r>
      <w:r>
        <w:t xml:space="preserve"> </w:t>
      </w:r>
      <m:oMath>
        <m:sSub>
          <m:e>
            <m:r>
              <m:t>t</m:t>
            </m:r>
          </m:e>
          <m:sub>
            <m:r>
              <m:rPr>
                <m:nor/>
                <m:sty m:val="p"/>
              </m:rPr>
              <m:t>ref</m:t>
            </m:r>
          </m:sub>
        </m:sSub>
        <m:r>
          <m:rPr>
            <m:sty m:val="p"/>
          </m:rPr>
          <m:t>=</m:t>
        </m:r>
        <m:r>
          <m:t>60</m:t>
        </m:r>
      </m:oMath>
      <w:r>
        <w:t xml:space="preserve"> </w:t>
      </w:r>
      <w:r>
        <w:t xml:space="preserve">min for</w:t>
      </w:r>
      <w:r>
        <w:t xml:space="preserve"> </w:t>
      </w:r>
      <m:oMath>
        <m:r>
          <m:t>C</m:t>
        </m:r>
        <m:sSub>
          <m:e>
            <m:r>
              <m:t>T</m:t>
            </m:r>
          </m:e>
          <m:sub>
            <m:r>
              <m:t>m</m:t>
            </m:r>
            <m:r>
              <m:t>a</m:t>
            </m:r>
            <m:sSub>
              <m:e>
                <m:r>
                  <m:t>x</m:t>
                </m:r>
              </m:e>
              <m:sub>
                <m:r>
                  <m:t>1</m:t>
                </m:r>
                <m:r>
                  <m:t>h</m:t>
                </m:r>
                <m:r>
                  <m:t>r</m:t>
                </m:r>
              </m:sub>
            </m:sSub>
          </m:sub>
        </m:sSub>
      </m:oMath>
      <w:r>
        <w:t xml:space="preserve">).</w:t>
      </w:r>
    </w:p>
    <w:p>
      <w:pPr>
        <w:pStyle w:val="BodyText"/>
      </w:pPr>
      <w:r>
        <w:t xml:space="preserve">The slope</w:t>
      </w:r>
      <w:r>
        <w:t xml:space="preserve"> </w:t>
      </w:r>
      <m:oMath>
        <m:sSub>
          <m:e>
            <m:r>
              <m:t>β</m:t>
            </m:r>
          </m:e>
          <m:sub>
            <m:r>
              <m:t>1</m:t>
            </m:r>
          </m:sub>
        </m:sSub>
      </m:oMath>
      <w:r>
        <w:t xml:space="preserve"> </w:t>
      </w:r>
      <w:r>
        <w:t xml:space="preserve">— and hence</w:t>
      </w:r>
      <w:r>
        <w:t xml:space="preserve"> </w:t>
      </w:r>
      <m:oMath>
        <m:r>
          <m:t>z</m:t>
        </m:r>
      </m:oMath>
      <w:r>
        <w:t xml:space="preserve"> </w:t>
      </w:r>
      <w:r>
        <w:t xml:space="preserve">— is robust to changes in asymptotes. However, threshold summaries, such as</w:t>
      </w:r>
      <w:r>
        <w:t xml:space="preserve"> </w:t>
      </w:r>
      <m:oMath>
        <m:r>
          <m:t>C</m:t>
        </m:r>
        <m:sSub>
          <m:e>
            <m:r>
              <m:t>T</m:t>
            </m:r>
          </m:e>
          <m:sub>
            <m:r>
              <m:t>m</m:t>
            </m:r>
            <m:r>
              <m:t>a</m:t>
            </m:r>
            <m:r>
              <m:t>x</m:t>
            </m:r>
          </m:sub>
        </m:sSub>
      </m:oMath>
      <w:r>
        <w:t xml:space="preserve"> </w:t>
      </w:r>
      <w:r>
        <w:t xml:space="preserve">and</w:t>
      </w:r>
      <w:r>
        <w:t xml:space="preserve"> </w:t>
      </w:r>
      <m:oMath>
        <m:sSub>
          <m:e>
            <m:r>
              <m:rPr>
                <m:sty m:val="p"/>
              </m:rPr>
              <m:t>log</m:t>
            </m:r>
          </m:e>
          <m:sub>
            <m:r>
              <m:t>10</m:t>
            </m:r>
          </m:sub>
        </m:sSub>
        <m:sSub>
          <m:e>
            <m:r>
              <m:t>t</m:t>
            </m:r>
          </m:e>
          <m:sub>
            <m:r>
              <m:t>50</m:t>
            </m:r>
          </m:sub>
        </m:sSub>
      </m:oMath>
      <w:r>
        <w:t xml:space="preserve">, are not. When partial mortality or sparse data do not estimate the asymptotes to be around 0 and 1, an asymmetry correction must be added to estimate these threshold summaries when using survival thresholds. For</w:t>
      </w:r>
      <w:r>
        <w:t xml:space="preserve"> </w:t>
      </w:r>
      <m:oMath>
        <m:sSub>
          <m:e>
            <m:r>
              <m:rPr>
                <m:sty m:val="p"/>
              </m:rPr>
              <m:t>log</m:t>
            </m:r>
          </m:e>
          <m:sub>
            <m:r>
              <m:t>10</m:t>
            </m:r>
          </m:sub>
        </m:sSub>
        <m:sSub>
          <m:e>
            <m:r>
              <m:t>t</m:t>
            </m:r>
          </m:e>
          <m:sub>
            <m:r>
              <m:t>50</m:t>
            </m:r>
          </m:sub>
        </m:sSub>
      </m:oMath>
      <w:r>
        <w:t xml:space="preserve"> </w:t>
      </w:r>
      <w:r>
        <w:t xml:space="preserve">this involves adding the following correction factor (</w:t>
      </w:r>
      <w:hyperlink w:anchor="eq-t50">
        <w:r>
          <w:rPr>
            <w:rStyle w:val="Hyperlink"/>
          </w:rPr>
          <w:t xml:space="preserve">Equation 4</w:t>
        </w:r>
      </w:hyperlink>
      <w:r>
        <w:t xml:space="preserve">):</w:t>
      </w:r>
    </w:p>
    <w:p>
      <w:pPr>
        <w:pStyle w:val="BodyText"/>
      </w:pPr>
      <w:bookmarkStart w:id="30" w:name="eq-t50"/>
      <m:oMathPara>
        <m:oMathParaPr>
          <m:jc m:val="center"/>
        </m:oMathParaPr>
        <m:oMath>
          <m:sSub>
            <m:e>
              <m:r>
                <m:rPr>
                  <m:sty m:val="p"/>
                </m:rPr>
                <m:t>log</m:t>
              </m:r>
            </m:e>
            <m:sub>
              <m:r>
                <m:t>10</m:t>
              </m:r>
            </m:sub>
          </m:sSub>
          <m:sSub>
            <m:e>
              <m:r>
                <m:t>t</m:t>
              </m:r>
            </m:e>
            <m:sub>
              <m:r>
                <m:t>50</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lin"/>
            </m:fPr>
            <m:num>
              <m:r>
                <m:t>1</m:t>
              </m:r>
            </m:num>
            <m:den>
              <m:r>
                <m:t>k</m:t>
              </m:r>
            </m:den>
          </m:f>
          <m:r>
            <m:rPr>
              <m:sty m:val="p"/>
            </m:rPr>
            <m:t>log</m:t>
          </m:r>
          <m:r>
            <m:t>​</m:t>
          </m:r>
          <m:f>
            <m:fPr>
              <m:type m:val="lin"/>
            </m:fPr>
            <m:num>
              <m:r>
                <m:rPr>
                  <m:nor/>
                  <m:sty m:val="p"/>
                </m:rPr>
                <m:t>up</m:t>
              </m:r>
              <m:r>
                <m:rPr>
                  <m:sty m:val="p"/>
                </m:rPr>
                <m:t>−</m:t>
              </m:r>
              <m:r>
                <m:t>0.5</m:t>
              </m:r>
            </m:num>
            <m:den>
              <m:r>
                <m:t>0.5</m:t>
              </m:r>
              <m:r>
                <m:rPr>
                  <m:sty m:val="p"/>
                </m:rPr>
                <m:t>−</m:t>
              </m:r>
              <m:r>
                <m:rPr>
                  <m:nor/>
                  <m:sty m:val="p"/>
                </m:rPr>
                <m:t>low</m:t>
              </m:r>
            </m:den>
          </m:f>
          <m:r>
            <m:rPr>
              <m:sty m:val="p"/>
            </m:rPr>
            <m:t>,</m:t>
          </m:r>
          <m:r>
            <m:t>  </m:t>
          </m:r>
          <m:d>
            <m:dPr>
              <m:begChr m:val="("/>
              <m:sepChr m:val=""/>
              <m:endChr m:val=")"/>
              <m:grow/>
            </m:dPr>
            <m:e>
              <m:r>
                <m:t>4</m:t>
              </m:r>
            </m:e>
          </m:d>
        </m:oMath>
      </m:oMathPara>
      <w:bookmarkEnd w:id="30"/>
    </w:p>
    <w:p>
      <w:pPr>
        <w:pStyle w:val="FirstParagraph"/>
      </w:pPr>
      <w:r>
        <w:t xml:space="preserve">For</w:t>
      </w:r>
      <w:r>
        <w:t xml:space="preserve"> </w:t>
      </w:r>
      <m:oMath>
        <m:r>
          <m:t>C</m:t>
        </m:r>
        <m:sSub>
          <m:e>
            <m:r>
              <m:t>T</m:t>
            </m:r>
          </m:e>
          <m:sub>
            <m:r>
              <m:t>m</m:t>
            </m:r>
            <m:r>
              <m:t>a</m:t>
            </m:r>
            <m:r>
              <m:t>x</m:t>
            </m:r>
          </m:sub>
        </m:sSub>
      </m:oMath>
      <w:r>
        <w:t xml:space="preserve">, the correction factor must be subtracted, after division by the slope (to convert the vertical shift in</w:t>
      </w:r>
      <w:r>
        <w:t xml:space="preserve"> </w:t>
      </w:r>
      <m:oMath>
        <m:sSub>
          <m:e>
            <m:r>
              <m:rPr>
                <m:sty m:val="p"/>
              </m:rPr>
              <m:t>log</m:t>
            </m:r>
          </m:e>
          <m:sub>
            <m:r>
              <m:t>10</m:t>
            </m:r>
          </m:sub>
        </m:sSub>
        <m:sSub>
          <m:e>
            <m:r>
              <m:t>t</m:t>
            </m:r>
          </m:e>
          <m:sub>
            <m:r>
              <m:t>50</m:t>
            </m:r>
          </m:sub>
        </m:sSub>
      </m:oMath>
      <w:r>
        <w:t xml:space="preserve"> </w:t>
      </w:r>
      <w:r>
        <w:t xml:space="preserve">into the corresponding shift in temperature), from the naive</w:t>
      </w:r>
      <w:r>
        <w:t xml:space="preserve"> </w:t>
      </w:r>
      <m:oMath>
        <m:r>
          <m:t>C</m:t>
        </m:r>
        <m:sSub>
          <m:e>
            <m:r>
              <m:t>T</m:t>
            </m:r>
          </m:e>
          <m:sub>
            <m:r>
              <m:t>m</m:t>
            </m:r>
            <m:r>
              <m:t>a</m:t>
            </m:r>
            <m:r>
              <m:t>x</m:t>
            </m:r>
          </m:sub>
        </m:sSub>
      </m:oMath>
      <w:r>
        <w:t xml:space="preserve"> </w:t>
      </w:r>
      <w:r>
        <w:t xml:space="preserve">(</w:t>
      </w:r>
      <w:hyperlink w:anchor="eq-ctmax-corrected">
        <w:r>
          <w:rPr>
            <w:rStyle w:val="Hyperlink"/>
          </w:rPr>
          <w:t xml:space="preserve">Equation 5</w:t>
        </w:r>
      </w:hyperlink>
      <w:r>
        <w:t xml:space="preserve">):</w:t>
      </w:r>
    </w:p>
    <w:p>
      <w:pPr>
        <w:pStyle w:val="BodyText"/>
      </w:pPr>
      <w:bookmarkStart w:id="31" w:name="eq-ctmax-corrected"/>
      <m:oMathPara>
        <m:oMathParaPr>
          <m:jc m:val="center"/>
        </m:oMathParaPr>
        <m:oMath>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acc>
            <m:accPr>
              <m:chr m:val="‾"/>
            </m:accPr>
            <m:e>
              <m:r>
                <m:t>T</m:t>
              </m:r>
            </m:e>
          </m:acc>
          <m:r>
            <m:rPr>
              <m:sty m:val="p"/>
            </m:rPr>
            <m:t>+</m:t>
          </m:r>
          <m:f>
            <m:fPr>
              <m:type m:val="bar"/>
            </m:fPr>
            <m:num>
              <m:sSub>
                <m:e>
                  <m:r>
                    <m:rPr>
                      <m:sty m:val="p"/>
                    </m:rPr>
                    <m:t>log</m:t>
                  </m:r>
                </m:e>
                <m:sub>
                  <m:r>
                    <m:t>10</m:t>
                  </m:r>
                </m:sub>
              </m:sSub>
              <m:sSub>
                <m:e>
                  <m:r>
                    <m:t>t</m:t>
                  </m:r>
                </m:e>
                <m:sub>
                  <m:r>
                    <m:rPr>
                      <m:nor/>
                      <m:sty m:val="p"/>
                    </m:rPr>
                    <m:t>ref</m:t>
                  </m:r>
                </m:sub>
              </m:sSub>
              <m:r>
                <m:rPr>
                  <m:sty m:val="p"/>
                </m:rPr>
                <m:t>−</m:t>
              </m:r>
              <m:sSub>
                <m:e>
                  <m:r>
                    <m:t>β</m:t>
                  </m:r>
                </m:e>
                <m:sub>
                  <m:r>
                    <m:t>0</m:t>
                  </m:r>
                </m:sub>
              </m:sSub>
            </m:num>
            <m:den>
              <m:sSub>
                <m:e>
                  <m:r>
                    <m:t>β</m:t>
                  </m:r>
                </m:e>
                <m:sub>
                  <m:r>
                    <m:t>1</m:t>
                  </m:r>
                </m:sub>
              </m:sSub>
            </m:den>
          </m:f>
          <m:r>
            <m:t> </m:t>
          </m:r>
          <m:r>
            <m:rPr>
              <m:sty m:val="p"/>
            </m:rPr>
            <m:t>−</m:t>
          </m:r>
          <m:r>
            <m:t> </m:t>
          </m:r>
          <m:f>
            <m:fPr>
              <m:type m:val="bar"/>
            </m:fPr>
            <m:num>
              <m:r>
                <m:t>1</m:t>
              </m:r>
            </m:num>
            <m:den>
              <m:sSub>
                <m:e>
                  <m:r>
                    <m:t>β</m:t>
                  </m:r>
                </m:e>
                <m:sub>
                  <m:r>
                    <m:t>1</m:t>
                  </m:r>
                </m:sub>
              </m:sSub>
            </m:den>
          </m:f>
          <m:r>
            <m:rPr>
              <m:sty m:val="p"/>
            </m:rPr>
            <m:t>⋅</m:t>
          </m:r>
          <m:f>
            <m:fPr>
              <m:type m:val="lin"/>
            </m:fPr>
            <m:num>
              <m:r>
                <m:t>1</m:t>
              </m:r>
            </m:num>
            <m:den>
              <m:r>
                <m:t>k</m:t>
              </m:r>
            </m:den>
          </m:f>
          <m:r>
            <m:rPr>
              <m:sty m:val="p"/>
            </m:rPr>
            <m:t>log</m:t>
          </m:r>
          <m:r>
            <m:t>​</m:t>
          </m:r>
          <m:f>
            <m:fPr>
              <m:type m:val="lin"/>
            </m:fPr>
            <m:num>
              <m:r>
                <m:rPr>
                  <m:nor/>
                  <m:sty m:val="p"/>
                </m:rPr>
                <m:t>up</m:t>
              </m:r>
              <m:r>
                <m:rPr>
                  <m:sty m:val="p"/>
                </m:rPr>
                <m:t>−</m:t>
              </m:r>
              <m:r>
                <m:t>0.5</m:t>
              </m:r>
            </m:num>
            <m:den>
              <m:r>
                <m:t>0.5</m:t>
              </m:r>
              <m:r>
                <m:rPr>
                  <m:sty m:val="p"/>
                </m:rPr>
                <m:t>−</m:t>
              </m:r>
              <m:r>
                <m:rPr>
                  <m:nor/>
                  <m:sty m:val="p"/>
                </m:rPr>
                <m:t>low</m:t>
              </m:r>
            </m:den>
          </m:f>
          <m:r>
            <m:rPr>
              <m:sty m:val="p"/>
            </m:rPr>
            <m:t>.</m:t>
          </m:r>
          <m:r>
            <m:t>  </m:t>
          </m:r>
          <m:d>
            <m:dPr>
              <m:begChr m:val="("/>
              <m:sepChr m:val=""/>
              <m:endChr m:val=")"/>
              <m:grow/>
            </m:dPr>
            <m:e>
              <m:r>
                <m:t>5</m:t>
              </m:r>
            </m:e>
          </m:d>
        </m:oMath>
      </m:oMathPara>
      <w:bookmarkEnd w:id="31"/>
    </w:p>
    <w:p>
      <w:pPr>
        <w:pStyle w:val="FirstParagraph"/>
      </w:pPr>
      <w:r>
        <w:t xml:space="preserve">While we have focused on</w:t>
      </w:r>
      <w:r>
        <w:t xml:space="preserve"> </w:t>
      </w:r>
      <m:oMath>
        <m:sSub>
          <m:e>
            <m:r>
              <m:t>t</m:t>
            </m:r>
          </m:e>
          <m:sub>
            <m:r>
              <m:t>50</m:t>
            </m:r>
          </m:sub>
        </m:sSub>
      </m:oMath>
      <w:r>
        <w:t xml:space="preserve"> </w:t>
      </w:r>
      <w:r>
        <w:t xml:space="preserve">it is important to recognise that any specific survival probability could be used oustide the 50% probability threshold. For example,</w:t>
      </w:r>
      <w:r>
        <w:t xml:space="preserve"> </w:t>
      </w:r>
      <m:oMath>
        <m:sSub>
          <m:e>
            <m:r>
              <m:t>t</m:t>
            </m:r>
          </m:e>
          <m:sub>
            <m:r>
              <m:t>10</m:t>
            </m:r>
          </m:sub>
        </m:sSub>
      </m:oMath>
      <w:r>
        <w:t xml:space="preserve"> </w:t>
      </w:r>
      <w:r>
        <w:t xml:space="preserve">marks the onset of early population mortality – useful for risk management - whereas</w:t>
      </w:r>
      <w:r>
        <w:t xml:space="preserve"> </w:t>
      </w:r>
      <m:oMath>
        <m:sSub>
          <m:e>
            <m:r>
              <m:t>t</m:t>
            </m:r>
          </m:e>
          <m:sub>
            <m:r>
              <m:t>90</m:t>
            </m:r>
          </m:sub>
        </m:sSub>
      </m:oMath>
      <w:r>
        <w:t xml:space="preserve"> </w:t>
      </w:r>
      <w:r>
        <w:t xml:space="preserve">is closer to population-collapse. Luckily, any survival threshold can be modelled using the same posterior by adjusting the threshold in an asymmetry correction that is added to</w:t>
      </w:r>
      <w:r>
        <w:t xml:space="preserve"> </w:t>
      </w:r>
      <m:oMath>
        <m:r>
          <m:rPr>
            <m:nor/>
            <m:sty m:val="p"/>
          </m:rPr>
          <m:t>mid</m:t>
        </m:r>
      </m:oMath>
      <w:r>
        <w:t xml:space="preserve"> </w:t>
      </w:r>
      <w:r>
        <w:t xml:space="preserve">(</w:t>
      </w:r>
      <w:hyperlink w:anchor="eq-LTx">
        <w:r>
          <w:rPr>
            <w:rStyle w:val="Hyperlink"/>
          </w:rPr>
          <w:t xml:space="preserve">Equation 6</w:t>
        </w:r>
      </w:hyperlink>
      <w:r>
        <w:t xml:space="preserve">):</w:t>
      </w:r>
    </w:p>
    <w:p>
      <w:pPr>
        <w:pStyle w:val="BodyText"/>
      </w:pPr>
      <w:bookmarkStart w:id="32" w:name="eq-LTx"/>
      <m:oMathPara>
        <m:oMathParaPr>
          <m:jc m:val="center"/>
        </m:oMathParaPr>
        <m:oMath>
          <m:sSub>
            <m:e>
              <m:r>
                <m:rPr>
                  <m:sty m:val="p"/>
                </m:rPr>
                <m:t>log</m:t>
              </m:r>
            </m:e>
            <m:sub>
              <m:r>
                <m:t>10</m:t>
              </m:r>
            </m:sub>
          </m:sSub>
          <m:sSub>
            <m:e>
              <m:r>
                <m:t>t</m:t>
              </m:r>
            </m:e>
            <m:sub>
              <m:r>
                <m:t>x</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bar"/>
            </m:fPr>
            <m:num>
              <m:r>
                <m:t>1</m:t>
              </m:r>
            </m:num>
            <m:den>
              <m:r>
                <m:t>k</m:t>
              </m:r>
            </m:den>
          </m:f>
          <m:r>
            <m:t> </m:t>
          </m:r>
          <m:r>
            <m:rPr>
              <m:sty m:val="p"/>
            </m:rPr>
            <m:t>ln</m:t>
          </m:r>
          <m:r>
            <m:t>​</m:t>
          </m:r>
          <m:f>
            <m:fPr>
              <m:type m:val="bar"/>
            </m:fPr>
            <m:num>
              <m:r>
                <m:rPr>
                  <m:nor/>
                  <m:sty m:val="p"/>
                </m:rPr>
                <m:t>up</m:t>
              </m:r>
              <m:r>
                <m:rPr>
                  <m:sty m:val="p"/>
                </m:rPr>
                <m:t>−</m:t>
              </m:r>
              <m:r>
                <m:t>x</m:t>
              </m:r>
              <m:r>
                <m:rPr>
                  <m:sty m:val="p"/>
                </m:rPr>
                <m:t>/</m:t>
              </m:r>
              <m:r>
                <m:t>100</m:t>
              </m:r>
            </m:num>
            <m:den>
              <m:r>
                <m:t>x</m:t>
              </m:r>
              <m:r>
                <m:rPr>
                  <m:sty m:val="p"/>
                </m:rPr>
                <m:t>/</m:t>
              </m:r>
              <m:r>
                <m:t>100</m:t>
              </m:r>
              <m:r>
                <m:rPr>
                  <m:sty m:val="p"/>
                </m:rPr>
                <m:t>−</m:t>
              </m:r>
              <m:r>
                <m:rPr>
                  <m:nor/>
                  <m:sty m:val="p"/>
                </m:rPr>
                <m:t>low</m:t>
              </m:r>
            </m:den>
          </m:f>
          <m:r>
            <m:rPr>
              <m:sty m:val="p"/>
            </m:rPr>
            <m:t>,</m:t>
          </m:r>
          <m:r>
            <m:t>  </m:t>
          </m:r>
          <m:d>
            <m:dPr>
              <m:begChr m:val="("/>
              <m:sepChr m:val=""/>
              <m:endChr m:val=")"/>
              <m:grow/>
            </m:dPr>
            <m:e>
              <m:r>
                <m:t>6</m:t>
              </m:r>
            </m:e>
          </m:d>
        </m:oMath>
      </m:oMathPara>
      <w:bookmarkEnd w:id="32"/>
    </w:p>
    <w:p>
      <w:pPr>
        <w:pStyle w:val="FirstParagraph"/>
      </w:pPr>
      <m:oMath>
        <m:r>
          <m:t>C</m:t>
        </m:r>
        <m:sSub>
          <m:e>
            <m:r>
              <m:t>T</m:t>
            </m:r>
          </m:e>
          <m:sub>
            <m:r>
              <m:t>m</m:t>
            </m:r>
            <m:r>
              <m:t>a</m:t>
            </m:r>
            <m:r>
              <m:t>x</m:t>
            </m:r>
          </m:sub>
        </m:sSub>
      </m:oMath>
      <w:r>
        <w:t xml:space="preserve"> </w:t>
      </w:r>
      <w:r>
        <w:t xml:space="preserve">is then adjusted in accordance through the correction factor in</w:t>
      </w:r>
      <w:r>
        <w:t xml:space="preserve"> </w:t>
      </w:r>
      <w:hyperlink w:anchor="eq-ctmax-corrected">
        <w:r>
          <w:rPr>
            <w:rStyle w:val="Hyperlink"/>
          </w:rPr>
          <w:t xml:space="preserve">Equation 5</w:t>
        </w:r>
      </w:hyperlink>
      <w:r>
        <w:t xml:space="preserve">. Importantly, there may be situations where computing absolute</w:t>
      </w:r>
      <w:r>
        <w:t xml:space="preserve"> </w:t>
      </w:r>
      <m:oMath>
        <m:sSub>
          <m:e>
            <m:r>
              <m:rPr>
                <m:sty m:val="p"/>
              </m:rPr>
              <m:t>log</m:t>
            </m:r>
          </m:e>
          <m:sub>
            <m:r>
              <m:t>10</m:t>
            </m:r>
          </m:sub>
        </m:sSub>
        <m:sSub>
          <m:e>
            <m:r>
              <m:t>t</m:t>
            </m:r>
          </m:e>
          <m:sub>
            <m:r>
              <m:t>x</m:t>
            </m:r>
          </m:sub>
        </m:sSub>
      </m:oMath>
      <w:r>
        <w:t xml:space="preserve"> </w:t>
      </w:r>
      <w:r>
        <w:t xml:space="preserve">based on a sample reaching a given probability threshold is less ideal because of differences in baseline survival at the start of experiments. Instead, one might be interested in calculating what we refer to as</w:t>
      </w:r>
      <w:r>
        <w:t xml:space="preserve"> </w:t>
      </w:r>
      <w:r>
        <w:t xml:space="preserve">‘relative</w:t>
      </w:r>
      <w:r>
        <w:t xml:space="preserve"> </w:t>
      </w:r>
      <m:oMath>
        <m:sSub>
          <m:e>
            <m:r>
              <m:t>t</m:t>
            </m:r>
          </m:e>
          <m:sub>
            <m:r>
              <m:t>50</m:t>
            </m:r>
          </m:sub>
        </m:sSub>
      </m:oMath>
      <w:r>
        <w:t xml:space="preserve">’</w:t>
      </w:r>
      <w:r>
        <w:t xml:space="preserve">, which we define as the time at which survival reaches the midpoint between the upper and lower asymptotes (i.e.,</w:t>
      </w:r>
      <w:r>
        <w:t xml:space="preserve"> </w:t>
      </w:r>
      <m:oMath>
        <m:r>
          <m:t>p</m:t>
        </m:r>
        <m:r>
          <m:rPr>
            <m:sty m:val="p"/>
          </m:rPr>
          <m:t>=</m:t>
        </m:r>
        <m:d>
          <m:dPr>
            <m:begChr m:val="("/>
            <m:sepChr m:val=""/>
            <m:endChr m:val=")"/>
            <m:grow/>
          </m:dPr>
          <m:e>
            <m:r>
              <m:rPr>
                <m:nor/>
                <m:sty m:val="p"/>
              </m:rPr>
              <m:t>up</m:t>
            </m:r>
            <m:r>
              <m:rPr>
                <m:sty m:val="p"/>
              </m:rPr>
              <m:t>+</m:t>
            </m:r>
            <m:r>
              <m:rPr>
                <m:nor/>
                <m:sty m:val="p"/>
              </m:rPr>
              <m:t>low</m:t>
            </m:r>
          </m:e>
        </m:d>
        <m:r>
          <m:rPr>
            <m:sty m:val="p"/>
          </m:rPr>
          <m:t>/</m:t>
        </m:r>
        <m:r>
          <m:t>2</m:t>
        </m:r>
      </m:oMath>
      <w:r>
        <w:t xml:space="preserve">). By construction,</w:t>
      </w:r>
      <w:r>
        <w:t xml:space="preserve"> </w:t>
      </w:r>
      <m:oMath>
        <m:r>
          <m:rPr>
            <m:nor/>
            <m:sty m:val="p"/>
          </m:rPr>
          <m:t>mid</m:t>
        </m:r>
      </m:oMath>
      <w:r>
        <w:t xml:space="preserve"> </w:t>
      </w:r>
      <w:r>
        <w:rPr>
          <w:i/>
          <w:iCs/>
        </w:rPr>
        <w:t xml:space="preserve">is</w:t>
      </w:r>
      <w:r>
        <w:t xml:space="preserve"> </w:t>
      </w:r>
      <w:r>
        <w:t xml:space="preserve">relative</w:t>
      </w:r>
      <w:r>
        <w:t xml:space="preserve"> </w:t>
      </w:r>
      <m:oMath>
        <m:sSub>
          <m:e>
            <m:r>
              <m:t>t</m:t>
            </m:r>
          </m:e>
          <m:sub>
            <m:r>
              <m:t>50</m:t>
            </m:r>
          </m:sub>
        </m:sSub>
      </m:oMath>
      <w:r>
        <w:t xml:space="preserve"> </w:t>
      </w:r>
      <w:r>
        <w:t xml:space="preserve">at every temperature, so no asymmetry correction is needed.</w:t>
      </w:r>
      <w:r>
        <w:t xml:space="preserve"> </w:t>
      </w:r>
      <m:oMath>
        <m:r>
          <m:t>C</m:t>
        </m:r>
        <m:sSub>
          <m:e>
            <m:r>
              <m:t>T</m:t>
            </m:r>
          </m:e>
          <m:sub>
            <m:r>
              <m:t>m</m:t>
            </m:r>
            <m:r>
              <m:t>a</m:t>
            </m:r>
            <m:r>
              <m:t>x</m:t>
            </m:r>
          </m:sub>
        </m:sSub>
      </m:oMath>
      <w:r>
        <w:t xml:space="preserve"> </w:t>
      </w:r>
      <w:r>
        <w:t xml:space="preserve">is read directly from</w:t>
      </w:r>
      <w:r>
        <w:t xml:space="preserve"> </w:t>
      </w:r>
      <w:hyperlink w:anchor="eq-mid-temp">
        <w:r>
          <w:rPr>
            <w:rStyle w:val="Hyperlink"/>
          </w:rPr>
          <w:t xml:space="preserve">Equation 3</w:t>
        </w:r>
      </w:hyperlink>
      <w:r>
        <w:t xml:space="preserve"> </w:t>
      </w:r>
      <w:r>
        <w:t xml:space="preserve">as</w:t>
      </w:r>
      <w:r>
        <w:t xml:space="preserve"> </w:t>
      </w:r>
      <m:oMath>
        <m:r>
          <m:t>C</m:t>
        </m:r>
        <m:sSub>
          <m:e>
            <m:r>
              <m:t>T</m:t>
            </m:r>
          </m:e>
          <m:sub>
            <m:r>
              <m:t>m</m:t>
            </m:r>
            <m:r>
              <m:t>a</m:t>
            </m:r>
            <m:r>
              <m:t>x</m:t>
            </m:r>
          </m:sub>
        </m:sSub>
        <m:d>
          <m:dPr>
            <m:begChr m:val="("/>
            <m:sepChr m:val=""/>
            <m:endChr m:val=")"/>
            <m:grow/>
          </m:dPr>
          <m:e>
            <m:sSub>
              <m:e>
                <m:r>
                  <m:t>t</m:t>
                </m:r>
              </m:e>
              <m:sub>
                <m:r>
                  <m:rPr>
                    <m:nor/>
                    <m:sty m:val="p"/>
                  </m:rPr>
                  <m:t>ref</m:t>
                </m:r>
              </m:sub>
            </m:sSub>
          </m:e>
        </m:d>
        <m:r>
          <m:rPr>
            <m:sty m:val="p"/>
          </m:rPr>
          <m:t>=</m:t>
        </m:r>
        <m:acc>
          <m:accPr>
            <m:chr m:val="‾"/>
          </m:accPr>
          <m:e>
            <m:r>
              <m:t>T</m:t>
            </m:r>
          </m:e>
        </m:acc>
        <m:r>
          <m:rPr>
            <m:sty m:val="p"/>
          </m:rPr>
          <m:t>+</m:t>
        </m:r>
        <m:d>
          <m:dPr>
            <m:begChr m:val="("/>
            <m:sepChr m:val=""/>
            <m:endChr m:val=")"/>
            <m:grow/>
          </m:dPr>
          <m:e>
            <m:sSub>
              <m:e>
                <m:r>
                  <m:rPr>
                    <m:sty m:val="p"/>
                  </m:rPr>
                  <m:t>log</m:t>
                </m:r>
              </m:e>
              <m:sub>
                <m:r>
                  <m:t>10</m:t>
                </m:r>
              </m:sub>
            </m:sSub>
            <m:sSub>
              <m:e>
                <m:r>
                  <m:t>t</m:t>
                </m:r>
              </m:e>
              <m:sub>
                <m:r>
                  <m:rPr>
                    <m:nor/>
                    <m:sty m:val="p"/>
                  </m:rPr>
                  <m:t>ref</m:t>
                </m:r>
              </m:sub>
            </m:sSub>
            <m:r>
              <m:rPr>
                <m:sty m:val="p"/>
              </m:rPr>
              <m:t>−</m:t>
            </m:r>
            <m:sSub>
              <m:e>
                <m:r>
                  <m:t>β</m:t>
                </m:r>
              </m:e>
              <m:sub>
                <m:r>
                  <m:t>0</m:t>
                </m:r>
              </m:sub>
            </m:sSub>
          </m:e>
        </m:d>
        <m:r>
          <m:rPr>
            <m:sty m:val="p"/>
          </m:rPr>
          <m:t>/</m:t>
        </m:r>
        <m:sSub>
          <m:e>
            <m:r>
              <m:t>β</m:t>
            </m:r>
          </m:e>
          <m:sub>
            <m:r>
              <m:t>1</m:t>
            </m:r>
          </m:sub>
        </m:sSub>
      </m:oMath>
      <w:r>
        <w:t xml:space="preserve">. Note that relative and absolute</w:t>
      </w:r>
      <w:r>
        <w:t xml:space="preserve"> </w:t>
      </w:r>
      <m:oMath>
        <m:r>
          <m:t>C</m:t>
        </m:r>
        <m:sSub>
          <m:e>
            <m:r>
              <m:t>T</m:t>
            </m:r>
          </m:e>
          <m:sub>
            <m:r>
              <m:t>m</m:t>
            </m:r>
            <m:r>
              <m:t>a</m:t>
            </m:r>
            <m:r>
              <m:t>x</m:t>
            </m:r>
          </m:sub>
        </m:sSub>
      </m:oMath>
      <w:r>
        <w:t xml:space="preserve"> </w:t>
      </w:r>
      <w:r>
        <w:t xml:space="preserve">are numerically equal only when</w:t>
      </w:r>
      <w:r>
        <w:t xml:space="preserve"> </w:t>
      </w:r>
      <m:oMath>
        <m:r>
          <m:rPr>
            <m:nor/>
            <m:sty m:val="p"/>
          </m:rPr>
          <m:t>up</m:t>
        </m:r>
        <m:r>
          <m:rPr>
            <m:sty m:val="p"/>
          </m:rPr>
          <m:t>=</m:t>
        </m:r>
        <m:r>
          <m:t>1</m:t>
        </m:r>
      </m:oMath>
      <w:r>
        <w:t xml:space="preserve"> </w:t>
      </w:r>
      <w:r>
        <w:t xml:space="preserve">and</w:t>
      </w:r>
      <w:r>
        <w:t xml:space="preserve"> </w:t>
      </w:r>
      <m:oMath>
        <m:r>
          <m:rPr>
            <m:nor/>
            <m:sty m:val="p"/>
          </m:rPr>
          <m:t>low</m:t>
        </m:r>
        <m:r>
          <m:rPr>
            <m:sty m:val="p"/>
          </m:rPr>
          <m:t>=</m:t>
        </m:r>
        <m:r>
          <m:t>0</m:t>
        </m:r>
      </m:oMath>
      <w:r>
        <w:t xml:space="preserve">.</w:t>
      </w:r>
    </w:p>
    <w:p>
      <w:pPr>
        <w:pStyle w:val="BodyText"/>
      </w:pPr>
      <w:r>
        <w:t xml:space="preserve">A powerful aspect of the Bayesian modelling approach described above is that uncertainty in all of the estimated quantities can be derived. Additinally, each of parameters in the model (an therefore</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can be estimated separately for different strata (e.g., sex, population, species) in a single joint model by including the relevant fixed covariates and/or random effects in the linear predictor for</w:t>
      </w:r>
      <w:r>
        <w:t xml:space="preserve"> </w:t>
      </w:r>
      <m:oMath>
        <m:r>
          <m:rPr>
            <m:nor/>
            <m:sty m:val="p"/>
          </m:rPr>
          <m:t>mid</m:t>
        </m:r>
      </m:oMath>
      <w:r>
        <w:t xml:space="preserve"> </w:t>
      </w:r>
      <w:r>
        <w:t xml:space="preserve">— and, if appropriate, in the linear predictors for</w:t>
      </w:r>
      <w:r>
        <w:t xml:space="preserve"> </w:t>
      </w:r>
      <m:oMath>
        <m:r>
          <m:rPr>
            <m:nor/>
            <m:sty m:val="p"/>
          </m:rPr>
          <m:t>low</m:t>
        </m:r>
      </m:oMath>
      <w:r>
        <w:t xml:space="preserve">,</w:t>
      </w:r>
      <w:r>
        <w:t xml:space="preserve"> </w:t>
      </w:r>
      <m:oMath>
        <m:r>
          <m:rPr>
            <m:nor/>
            <m:sty m:val="p"/>
          </m:rPr>
          <m:t>up</m:t>
        </m:r>
      </m:oMath>
      <w:r>
        <w:t xml:space="preserve">, and</w:t>
      </w:r>
      <w:r>
        <w:t xml:space="preserve"> </w:t>
      </w:r>
      <m:oMath>
        <m:r>
          <m:t>k</m:t>
        </m:r>
      </m:oMath>
      <w:r>
        <w:t xml:space="preserve"> </w:t>
      </w:r>
      <w:r>
        <w:t xml:space="preserve">(see</w:t>
      </w:r>
      <w:r>
        <w:t xml:space="preserve"> </w:t>
      </w:r>
      <w:hyperlink w:anchor="eq-linpred">
        <w:r>
          <w:rPr>
            <w:rStyle w:val="Hyperlink"/>
          </w:rPr>
          <w:t xml:space="preserve">Equation 11</w:t>
        </w:r>
      </w:hyperlink>
      <w:r>
        <w:t xml:space="preserve"> </w:t>
      </w:r>
      <w:r>
        <w:t xml:space="preserve">below).</w:t>
      </w:r>
    </w:p>
    <w:bookmarkEnd w:id="33"/>
    <w:bookmarkStart w:id="37" w:name="X748caa9d6c5389c1517c1b3b0c0fd7ca3896022"/>
    <w:p>
      <w:pPr>
        <w:pStyle w:val="Heading1"/>
      </w:pPr>
      <w:r>
        <w:t xml:space="preserve">Predicting heat injury and survival under dynamic thermal environments</w:t>
      </w:r>
    </w:p>
    <w:p>
      <w:pPr>
        <w:pStyle w:val="FirstParagraph"/>
      </w:pPr>
      <w:r>
        <w:t xml:space="preserve">A particularly powerful aspect of TDT/TLS models are their ability to translate dynamic temperature times series’ from nature to predict heat injury (HI) accumulation and thus population survival probability</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Heat injury accumulates as the time spent at a given temperature divided by the median lethal time at that temperature, integrated across the temperature trajectory</w:t>
      </w:r>
      <w:r>
        <w:t xml:space="preserve"> </w:t>
      </w:r>
      <m:oMath>
        <m:r>
          <m:t>T</m:t>
        </m:r>
        <m:d>
          <m:dPr>
            <m:begChr m:val="("/>
            <m:sepChr m:val=""/>
            <m:endChr m:val=")"/>
            <m:grow/>
          </m:dPr>
          <m:e>
            <m:r>
              <m:t>i</m:t>
            </m:r>
          </m:e>
        </m:d>
      </m:oMath>
      <w:r>
        <w:t xml:space="preserve"> </w:t>
      </w:r>
      <w:r>
        <w:t xml:space="preserve">as follows:</w:t>
      </w:r>
    </w:p>
    <w:p>
      <w:pPr>
        <w:pStyle w:val="BodyText"/>
      </w:pPr>
      <w:bookmarkStart w:id="34" w:name="eq-hi"/>
      <m:oMathPara>
        <m:oMathParaPr>
          <m:jc m:val="center"/>
        </m:oMathParaPr>
        <m:oMath>
          <m:r>
            <m:t>H</m:t>
          </m:r>
          <m:r>
            <m:t>I</m:t>
          </m:r>
          <m:d>
            <m:dPr>
              <m:begChr m:val="("/>
              <m:sepChr m:val=""/>
              <m:endChr m:val=")"/>
              <m:grow/>
            </m:dPr>
            <m:e>
              <m:r>
                <m:t>t</m:t>
              </m:r>
            </m:e>
          </m:d>
          <m:r>
            <m:t> </m:t>
          </m:r>
          <m:r>
            <m:rPr>
              <m:sty m:val="p"/>
            </m:rPr>
            <m:t>=</m:t>
          </m:r>
          <m:r>
            <m:t> </m:t>
          </m:r>
          <m:r>
            <m:t>100</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t> </m:t>
                      </m:r>
                      <m:r>
                        <m:rPr>
                          <m:sty m:val="p"/>
                        </m:rPr>
                        <m:t>−</m:t>
                      </m:r>
                      <m:r>
                        <m:t> </m:t>
                      </m:r>
                      <m:r>
                        <m:t>C</m:t>
                      </m:r>
                      <m:sSub>
                        <m:e>
                          <m:r>
                            <m:t>T</m:t>
                          </m:r>
                        </m:e>
                        <m:sub>
                          <m:r>
                            <m:t>m</m:t>
                          </m:r>
                          <m:r>
                            <m:t>a</m:t>
                          </m:r>
                          <m:sSub>
                            <m:e>
                              <m:r>
                                <m:t>x</m:t>
                              </m:r>
                            </m:e>
                            <m:sub>
                              <m:r>
                                <m:t>1</m:t>
                              </m:r>
                              <m:r>
                                <m:rPr>
                                  <m:nor/>
                                  <m:sty m:val="p"/>
                                </m:rPr>
                                <m:t>hr</m:t>
                              </m:r>
                            </m:sub>
                          </m:sSub>
                        </m:sub>
                      </m:sSub>
                    </m:e>
                  </m:d>
                  <m:r>
                    <m:rPr>
                      <m:sty m:val="p"/>
                    </m:rPr>
                    <m:t>/</m:t>
                  </m:r>
                  <m:r>
                    <m:t>z</m:t>
                  </m:r>
                </m:sup>
              </m:sSup>
            </m:e>
          </m:nary>
          <m:r>
            <m:t> </m:t>
          </m:r>
          <m:r>
            <m:t>d</m:t>
          </m:r>
          <m:r>
            <m:t>i</m:t>
          </m:r>
          <m:r>
            <m:rPr>
              <m:sty m:val="p"/>
            </m:rPr>
            <m:t>,</m:t>
          </m:r>
          <m:r>
            <m:t>  </m:t>
          </m:r>
          <m:d>
            <m:dPr>
              <m:begChr m:val="("/>
              <m:sepChr m:val=""/>
              <m:endChr m:val=")"/>
              <m:grow/>
            </m:dPr>
            <m:e>
              <m:r>
                <m:t>7</m:t>
              </m:r>
            </m:e>
          </m:d>
        </m:oMath>
      </m:oMathPara>
      <w:bookmarkEnd w:id="34"/>
    </w:p>
    <w:p>
      <w:pPr>
        <w:pStyle w:val="FirstParagraph"/>
      </w:pPr>
      <w:r>
        <w:t xml:space="preserve">where</w:t>
      </w:r>
      <w:r>
        <w:t xml:space="preserve"> </w:t>
      </w:r>
      <m:oMath>
        <m:r>
          <m:t>z</m:t>
        </m:r>
      </m:oMath>
      <w:r>
        <w:t xml:space="preserve"> </w:t>
      </w:r>
      <w:r>
        <w:t xml:space="preserve">is the thermal sensitivity and</w:t>
      </w:r>
      <w:r>
        <w:t xml:space="preserve"> </w:t>
      </w:r>
      <m:oMath>
        <m:r>
          <m:t>C</m:t>
        </m:r>
        <m:sSub>
          <m:e>
            <m:r>
              <m:t>T</m:t>
            </m:r>
          </m:e>
          <m:sub>
            <m:r>
              <m:t>m</m:t>
            </m:r>
            <m:r>
              <m:t>a</m:t>
            </m:r>
            <m:sSub>
              <m:e>
                <m:r>
                  <m:t>x</m:t>
                </m:r>
              </m:e>
              <m:sub>
                <m:r>
                  <m:t>1</m:t>
                </m:r>
                <m:r>
                  <m:rPr>
                    <m:nor/>
                    <m:sty m:val="p"/>
                  </m:rPr>
                  <m:t>hr</m:t>
                </m:r>
              </m:sub>
            </m:sSub>
          </m:sub>
        </m:sSub>
      </m:oMath>
      <w:r>
        <w:t xml:space="preserve"> </w:t>
      </w:r>
      <w:r>
        <w:t xml:space="preserve">is the static temperature at which 50% of the population reaches the assayed endpoint after one hour of exposure. When</w:t>
      </w:r>
      <w:r>
        <w:t xml:space="preserve"> </w:t>
      </w:r>
      <m:oMath>
        <m:r>
          <m:t>H</m:t>
        </m:r>
        <m:r>
          <m:t>I</m:t>
        </m:r>
        <m:d>
          <m:dPr>
            <m:begChr m:val="("/>
            <m:sepChr m:val=""/>
            <m:endChr m:val=")"/>
            <m:grow/>
          </m:dPr>
          <m:e>
            <m:r>
              <m:t>t</m:t>
            </m:r>
          </m:e>
        </m:d>
        <m:r>
          <m:rPr>
            <m:sty m:val="p"/>
          </m:rPr>
          <m:t>=</m:t>
        </m:r>
        <m:r>
          <m:t>100</m:t>
        </m:r>
        <m:r>
          <m:rPr>
            <m:sty m:val="p"/>
          </m:rPr>
          <m:t>%</m:t>
        </m:r>
      </m:oMath>
      <w:r>
        <w:t xml:space="preserve">, the cumulative dose equals one</w:t>
      </w:r>
      <w:r>
        <w:t xml:space="preserve"> </w:t>
      </w:r>
      <m:oMath>
        <m:sSub>
          <m:e>
            <m:r>
              <m:t>t</m:t>
            </m:r>
          </m:e>
          <m:sub>
            <m:r>
              <m:t>50</m:t>
            </m:r>
          </m:sub>
        </m:sSub>
      </m:oMath>
      <w:r>
        <w:t xml:space="preserve"> </w:t>
      </w:r>
      <w:r>
        <w:t xml:space="preserve">at the 1-hour reference, predicting 50% mortality (or 50% loss of the assayed sublethal endpoint, e.g. fertility;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Injury accumulates only when</w:t>
      </w:r>
      <w:r>
        <w:t xml:space="preserve"> </w:t>
      </w:r>
      <m:oMath>
        <m:r>
          <m:t>T</m:t>
        </m:r>
        <m:d>
          <m:dPr>
            <m:begChr m:val="("/>
            <m:sepChr m:val=""/>
            <m:endChr m:val=")"/>
            <m:grow/>
          </m:dPr>
          <m:e>
            <m:r>
              <m:t>i</m:t>
            </m:r>
          </m:e>
        </m:d>
      </m:oMath>
      <w:r>
        <w:t xml:space="preserve"> </w:t>
      </w:r>
      <w:r>
        <w:t xml:space="preserve">exceeds a critical temperature</w:t>
      </w:r>
      <w:r>
        <w:t xml:space="preserve"> </w:t>
      </w:r>
      <m:oMath>
        <m:sSub>
          <m:e>
            <m:r>
              <m:t>T</m:t>
            </m:r>
          </m:e>
          <m:sub>
            <m:r>
              <m:t>c</m:t>
            </m:r>
          </m:sub>
        </m:sSub>
      </m:oMath>
      <w:r>
        <w:t xml:space="preserve"> </w:t>
      </w:r>
      <w:r>
        <w:t xml:space="preserve">below which damage is repaired as fast as it accrues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Field temperature records are typically available at hourly resolution.</w:t>
      </w:r>
      <w:r>
        <w:t xml:space="preserve"> </w:t>
      </w:r>
      <w:hyperlink w:anchor="eq-hi">
        <w:r>
          <w:rPr>
            <w:rStyle w:val="Hyperlink"/>
          </w:rPr>
          <w:t xml:space="preserve">Equation 7</w:t>
        </w:r>
      </w:hyperlink>
      <w:r>
        <w:t xml:space="preserve"> </w:t>
      </w:r>
      <w:r>
        <w:t xml:space="preserve">can then be evaluated by summing</w:t>
      </w:r>
      <w:r>
        <w:t xml:space="preserve"> </w:t>
      </w:r>
      <m:oMath>
        <m:r>
          <m:t>100</m:t>
        </m:r>
        <m:r>
          <m:rPr>
            <m:sty m:val="p"/>
          </m:rPr>
          <m:t>⋅</m:t>
        </m:r>
        <m:sSup>
          <m:e>
            <m:r>
              <m:t>10</m:t>
            </m:r>
          </m:e>
          <m:sup>
            <m:d>
              <m:dPr>
                <m:begChr m:val="("/>
                <m:sepChr m:val=""/>
                <m:endChr m:val=")"/>
                <m:grow/>
              </m:dPr>
              <m:e>
                <m:sSub>
                  <m:e>
                    <m:r>
                      <m:t>T</m:t>
                    </m:r>
                  </m:e>
                  <m:sub>
                    <m:r>
                      <m:t>i</m:t>
                    </m:r>
                  </m:sub>
                </m:sSub>
                <m:r>
                  <m:rPr>
                    <m:sty m:val="p"/>
                  </m:rPr>
                  <m:t>−</m:t>
                </m:r>
                <m:r>
                  <m:t>C</m:t>
                </m:r>
                <m:sSub>
                  <m:e>
                    <m:r>
                      <m:t>T</m:t>
                    </m:r>
                  </m:e>
                  <m:sub>
                    <m:r>
                      <m:t>m</m:t>
                    </m:r>
                    <m:r>
                      <m:t>a</m:t>
                    </m:r>
                    <m:sSub>
                      <m:e>
                        <m:r>
                          <m:t>x</m:t>
                        </m:r>
                      </m:e>
                      <m:sub>
                        <m:r>
                          <m:t>1</m:t>
                        </m:r>
                        <m:r>
                          <m:rPr>
                            <m:nor/>
                            <m:sty m:val="p"/>
                          </m:rPr>
                          <m:t>hr</m:t>
                        </m:r>
                      </m:sub>
                    </m:sSub>
                  </m:sub>
                </m:sSub>
              </m:e>
            </m:d>
            <m:r>
              <m:rPr>
                <m:sty m:val="p"/>
              </m:rPr>
              <m:t>/</m:t>
            </m:r>
            <m:r>
              <m:t>z</m:t>
            </m:r>
          </m:sup>
        </m:sSup>
      </m:oMath>
      <w:r>
        <w:t xml:space="preserve"> </w:t>
      </w:r>
      <w:r>
        <w:t xml:space="preserve">across each hourly interval whose temperature</w:t>
      </w:r>
      <w:r>
        <w:t xml:space="preserve"> </w:t>
      </w:r>
      <m:oMath>
        <m:sSub>
          <m:e>
            <m:r>
              <m:t>T</m:t>
            </m:r>
          </m:e>
          <m:sub>
            <m:r>
              <m:t>i</m:t>
            </m:r>
          </m:sub>
        </m:sSub>
      </m:oMath>
      <w:r>
        <w:t xml:space="preserve"> </w:t>
      </w:r>
      <w:r>
        <w:t xml:space="preserve">exceeds</w:t>
      </w:r>
      <w:r>
        <w:t xml:space="preserve"> </w:t>
      </w:r>
      <m:oMath>
        <m:sSub>
          <m:e>
            <m:r>
              <m:t>T</m:t>
            </m:r>
          </m:e>
          <m:sub>
            <m:r>
              <m:t>c</m:t>
            </m:r>
          </m:sub>
        </m:sSub>
      </m:oMath>
      <w:r>
        <w:t xml:space="preserve">, following the implementations in</w:t>
      </w:r>
      <w:r>
        <w:t xml:space="preserve"> </w:t>
      </w:r>
      <w:r>
        <w:t xml:space="preserve">Jørgensen</w:t>
      </w:r>
      <w:r>
        <w:t xml:space="preserve"> </w:t>
      </w:r>
      <w:r>
        <w:rPr>
          <w:i/>
          <w:iCs/>
        </w:rPr>
        <w:t xml:space="preserve">et al.</w:t>
      </w:r>
      <w:r>
        <w:t xml:space="preserve"> </w:t>
      </w:r>
      <w:r>
        <w:t xml:space="preserve">(</w:t>
      </w:r>
      <w:hyperlink w:anchor="ref-jorgensen_unifying_2021">
        <w:r>
          <w:rPr>
            <w:rStyle w:val="Hyperlink"/>
          </w:rPr>
          <w:t xml:space="preserve">2021</w:t>
        </w:r>
      </w:hyperlink>
      <w:r>
        <w:t xml:space="preserve">)</w:t>
      </w:r>
      <w:r>
        <w:t xml:space="preserve">,</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and</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To propagate uncertainty,</w:t>
      </w:r>
      <w:r>
        <w:t xml:space="preserve"> </w:t>
      </w:r>
      <m:oMath>
        <m:r>
          <m:t>z</m:t>
        </m:r>
      </m:oMath>
      <w:r>
        <w:t xml:space="preserve"> </w:t>
      </w:r>
      <w:r>
        <w:t xml:space="preserve">and</w:t>
      </w:r>
      <w:r>
        <w:t xml:space="preserve"> </w:t>
      </w:r>
      <m:oMath>
        <m:r>
          <m:t>C</m:t>
        </m:r>
        <m:sSub>
          <m:e>
            <m:r>
              <m:t>T</m:t>
            </m:r>
          </m:e>
          <m:sub>
            <m:r>
              <m:t>m</m:t>
            </m:r>
            <m:r>
              <m:t>a</m:t>
            </m:r>
            <m:sSub>
              <m:e>
                <m:r>
                  <m:t>x</m:t>
                </m:r>
              </m:e>
              <m:sub>
                <m:r>
                  <m:t>1</m:t>
                </m:r>
                <m:r>
                  <m:rPr>
                    <m:nor/>
                    <m:sty m:val="p"/>
                  </m:rPr>
                  <m:t>hr</m:t>
                </m:r>
              </m:sub>
            </m:sSub>
          </m:sub>
        </m:sSub>
      </m:oMath>
      <w:r>
        <w:t xml:space="preserve">, calculated from our Bayesian dose-response model can be used to calculate</w:t>
      </w:r>
      <w:r>
        <w:t xml:space="preserve"> </w:t>
      </w:r>
      <m:oMath>
        <m:r>
          <m:t>H</m:t>
        </m:r>
        <m:r>
          <m:t>I</m:t>
        </m:r>
        <m:d>
          <m:dPr>
            <m:begChr m:val="("/>
            <m:sepChr m:val=""/>
            <m:endChr m:val=")"/>
            <m:grow/>
          </m:dPr>
          <m:e>
            <m:r>
              <m:t>t</m:t>
            </m:r>
          </m:e>
        </m:d>
      </m:oMath>
      <w:r>
        <w:t xml:space="preserve"> </w:t>
      </w:r>
      <w:r>
        <w:t xml:space="preserve">through time by substituting samples from the posterior distribution for each parameter into</w:t>
      </w:r>
      <w:r>
        <w:t xml:space="preserve"> </w:t>
      </w:r>
      <w:hyperlink w:anchor="eq-hi">
        <w:r>
          <w:rPr>
            <w:rStyle w:val="Hyperlink"/>
          </w:rPr>
          <w:t xml:space="preserve">Equation 7</w:t>
        </w:r>
      </w:hyperlink>
      <w:r>
        <w:t xml:space="preserve">.</w:t>
      </w:r>
    </w:p>
    <w:p>
      <w:pPr>
        <w:pStyle w:val="BodyText"/>
      </w:pPr>
      <w:r>
        <w:t xml:space="preserve">A more natural prediction to make may instead be the population-level survival probability over time. This has the advantage of allowing for a direct connection to population dynamical models which typically use survival, growth and fecundity as vital rates for population-level predictions</w:t>
      </w:r>
      <w:r>
        <w:t xml:space="preserve"> </w:t>
      </w:r>
      <w:r>
        <w:t xml:space="preserve">(</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To predict survival, we can calculate the</w:t>
      </w:r>
      <w:r>
        <w:t xml:space="preserve"> </w:t>
      </w:r>
      <w:r>
        <w:rPr>
          <w:i/>
          <w:iCs/>
        </w:rPr>
        <w:t xml:space="preserve">effective exposure time</w:t>
      </w:r>
      <w:r>
        <w:t xml:space="preserve"> </w:t>
      </w:r>
      <w:r>
        <w:t xml:space="preserve">at a chosen reference temperature</w:t>
      </w:r>
      <w:r>
        <w:t xml:space="preserve"> </w:t>
      </w:r>
      <m:oMath>
        <m:sSub>
          <m:e>
            <m:r>
              <m:t>T</m:t>
            </m:r>
          </m:e>
          <m:sub>
            <m:r>
              <m:rPr>
                <m:nor/>
                <m:sty m:val="p"/>
              </m:rPr>
              <m:t>ref</m:t>
            </m:r>
          </m:sub>
        </m:sSub>
      </m:oMath>
      <w:r>
        <w:t xml:space="preserve">. More effective time is accumulated at hot temperatures and less at cool ones, in proportion to the scaling factor</w:t>
      </w:r>
      <w:r>
        <w:t xml:space="preserve"> </w:t>
      </w:r>
      <m:oMath>
        <m:sSup>
          <m:e>
            <m:r>
              <m:t>10</m:t>
            </m:r>
          </m:e>
          <m:sup>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oMath>
      <w:r>
        <w:t xml:space="preserve">,</w:t>
      </w:r>
    </w:p>
    <w:p>
      <w:pPr>
        <w:pStyle w:val="BodyText"/>
      </w:pPr>
      <w:bookmarkStart w:id="35" w:name="eq-tau-eff"/>
      <m:oMathPara>
        <m:oMathParaPr>
          <m:jc m:val="center"/>
        </m:oMathParaPr>
        <m:oMath>
          <m:sSub>
            <m:e>
              <m:r>
                <m:t>τ</m:t>
              </m:r>
            </m:e>
            <m:sub>
              <m:r>
                <m:rPr>
                  <m:nor/>
                  <m:sty m:val="p"/>
                </m:rPr>
                <m:t>eff</m:t>
              </m:r>
            </m:sub>
          </m:sSub>
          <m:d>
            <m:dPr>
              <m:begChr m:val="("/>
              <m:sepChr m:val=""/>
              <m:endChr m:val=")"/>
              <m:grow/>
            </m:dPr>
            <m:e>
              <m:r>
                <m:t>t</m:t>
              </m:r>
            </m:e>
          </m:d>
          <m:r>
            <m:t> </m:t>
          </m:r>
          <m:r>
            <m:rPr>
              <m:sty m:val="p"/>
            </m:rPr>
            <m:t>=</m:t>
          </m:r>
          <m:r>
            <m:t> </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e>
          </m:nary>
          <m:r>
            <m:t> </m:t>
          </m:r>
          <m:r>
            <m:t>d</m:t>
          </m:r>
          <m:r>
            <m:t>i</m:t>
          </m:r>
          <m:r>
            <m:rPr>
              <m:sty m:val="p"/>
            </m:rPr>
            <m:t>,</m:t>
          </m:r>
          <m:r>
            <m:t>  </m:t>
          </m:r>
          <m:d>
            <m:dPr>
              <m:begChr m:val="("/>
              <m:sepChr m:val=""/>
              <m:endChr m:val=")"/>
              <m:grow/>
            </m:dPr>
            <m:e>
              <m:r>
                <m:t>8</m:t>
              </m:r>
            </m:e>
          </m:d>
        </m:oMath>
      </m:oMathPara>
      <w:bookmarkEnd w:id="35"/>
    </w:p>
    <w:p>
      <w:pPr>
        <w:pStyle w:val="FirstParagraph"/>
      </w:pPr>
      <w:r>
        <w:t xml:space="preserve">We can then evaluate the 4PL surface once at the cumulative effective exposure to obtain the predicted population-level survival fraction at every point in the trajectory:</w:t>
      </w:r>
    </w:p>
    <w:p>
      <w:pPr>
        <w:pStyle w:val="BodyText"/>
      </w:pPr>
      <w:bookmarkStart w:id="36" w:name="eq-S-pred"/>
      <m:oMathPara>
        <m:oMathParaPr>
          <m:jc m:val="center"/>
        </m:oMathParaPr>
        <m:oMath>
          <m:sSub>
            <m:e>
              <m:r>
                <m:t>S</m:t>
              </m:r>
            </m:e>
            <m:sub>
              <m:r>
                <m:rPr>
                  <m:nor/>
                  <m:sty m:val="p"/>
                </m:rPr>
                <m:t>pred</m:t>
              </m:r>
            </m:sub>
          </m:sSub>
          <m:d>
            <m:dPr>
              <m:begChr m:val="("/>
              <m:sepChr m:val=""/>
              <m:endChr m:val=")"/>
              <m:grow/>
            </m:dPr>
            <m:e>
              <m:r>
                <m:t>t</m:t>
              </m:r>
            </m:e>
          </m:d>
          <m:r>
            <m:t> </m:t>
          </m:r>
          <m:r>
            <m:rPr>
              <m:sty m:val="p"/>
            </m:rPr>
            <m:t>=</m:t>
          </m:r>
          <m:r>
            <m:t> </m:t>
          </m:r>
          <m:r>
            <m:t>S</m:t>
          </m:r>
          <m:r>
            <m:t>​</m:t>
          </m:r>
          <m:d>
            <m:dPr>
              <m:begChr m:val="("/>
              <m:sepChr m:val=""/>
              <m:endChr m:val=")"/>
              <m:grow/>
            </m:dPr>
            <m:e>
              <m:sSub>
                <m:e>
                  <m:r>
                    <m:t>T</m:t>
                  </m:r>
                </m:e>
                <m:sub>
                  <m:r>
                    <m:rPr>
                      <m:nor/>
                      <m:sty m:val="p"/>
                    </m:rPr>
                    <m:t>ref</m:t>
                  </m:r>
                </m:sub>
              </m:sSub>
              <m:r>
                <m:rPr>
                  <m:sty m:val="p"/>
                </m:rPr>
                <m:t>,</m:t>
              </m:r>
              <m:r>
                <m:t> </m:t>
              </m:r>
              <m:sSub>
                <m:e>
                  <m:r>
                    <m:t>τ</m:t>
                  </m:r>
                </m:e>
                <m:sub>
                  <m:r>
                    <m:rPr>
                      <m:nor/>
                      <m:sty m:val="p"/>
                    </m:rPr>
                    <m:t>eff</m:t>
                  </m:r>
                </m:sub>
              </m:sSub>
              <m:d>
                <m:dPr>
                  <m:begChr m:val="("/>
                  <m:sepChr m:val=""/>
                  <m:endChr m:val=")"/>
                  <m:grow/>
                </m:dPr>
                <m:e>
                  <m:r>
                    <m:t>t</m:t>
                  </m:r>
                </m:e>
              </m:d>
            </m:e>
          </m:d>
          <m:r>
            <m:rPr>
              <m:sty m:val="p"/>
            </m:rPr>
            <m:t>.</m:t>
          </m:r>
          <m:r>
            <m:t>  </m:t>
          </m:r>
          <m:d>
            <m:dPr>
              <m:begChr m:val="("/>
              <m:sepChr m:val=""/>
              <m:endChr m:val=")"/>
              <m:grow/>
            </m:dPr>
            <m:e>
              <m:r>
                <m:t>9</m:t>
              </m:r>
            </m:e>
          </m:d>
        </m:oMath>
      </m:oMathPara>
      <w:bookmarkEnd w:id="36"/>
    </w:p>
    <w:p>
      <w:pPr>
        <w:pStyle w:val="FirstParagraph"/>
      </w:pPr>
      <w:r>
        <w:t xml:space="preserve">Here</w:t>
      </w:r>
      <w:r>
        <w:t xml:space="preserve"> </w:t>
      </w:r>
      <m:oMath>
        <m:r>
          <m:t>S</m:t>
        </m:r>
        <m:d>
          <m:dPr>
            <m:begChr m:val="("/>
            <m:sepChr m:val=""/>
            <m:endChr m:val=")"/>
            <m:grow/>
          </m:dPr>
          <m:e>
            <m:r>
              <m:t>T</m:t>
            </m:r>
            <m:r>
              <m:rPr>
                <m:sty m:val="p"/>
              </m:rPr>
              <m:t>,</m:t>
            </m:r>
            <m:r>
              <m:t>τ</m:t>
            </m:r>
          </m:e>
        </m:d>
      </m:oMath>
      <w:r>
        <w:t xml:space="preserve"> </w:t>
      </w:r>
      <w:r>
        <w:t xml:space="preserve">is the survival surface fitted by the dose-response model, so</w:t>
      </w:r>
      <w:r>
        <w:t xml:space="preserve"> </w:t>
      </w:r>
      <m:oMath>
        <m:sSub>
          <m:e>
            <m:r>
              <m:t>S</m:t>
            </m:r>
          </m:e>
          <m:sub>
            <m:r>
              <m:rPr>
                <m:nor/>
                <m:sty m:val="p"/>
              </m:rPr>
              <m:t>pred</m:t>
            </m:r>
          </m:sub>
        </m:sSub>
        <m:d>
          <m:dPr>
            <m:begChr m:val="("/>
            <m:sepChr m:val=""/>
            <m:endChr m:val=")"/>
            <m:grow/>
          </m:dPr>
          <m:e>
            <m:r>
              <m:t>t</m:t>
            </m:r>
          </m:e>
        </m:d>
      </m:oMath>
      <w:r>
        <w:t xml:space="preserve"> </w:t>
      </w:r>
      <w:r>
        <w:t xml:space="preserve">is the survival probability for an organism held at</w:t>
      </w:r>
      <w:r>
        <w:t xml:space="preserve"> </w:t>
      </w:r>
      <w:r>
        <w:rPr>
          <w:i/>
          <w:iCs/>
        </w:rPr>
        <w:t xml:space="preserve">constant</w:t>
      </w:r>
      <w:r>
        <w:t xml:space="preserve"> </w:t>
      </w:r>
      <m:oMath>
        <m:sSub>
          <m:e>
            <m:r>
              <m:t>T</m:t>
            </m:r>
          </m:e>
          <m:sub>
            <m:r>
              <m:rPr>
                <m:nor/>
                <m:sty m:val="p"/>
              </m:rPr>
              <m:t>ref</m:t>
            </m:r>
          </m:sub>
        </m:sSub>
      </m:oMath>
      <w:r>
        <w:t xml:space="preserve"> </w:t>
      </w:r>
      <w:r>
        <w:t xml:space="preserve">after exposure duration</w:t>
      </w:r>
      <w:r>
        <w:t xml:space="preserve"> </w:t>
      </w:r>
      <m:oMath>
        <m:sSub>
          <m:e>
            <m:r>
              <m:t>τ</m:t>
            </m:r>
          </m:e>
          <m:sub>
            <m:r>
              <m:rPr>
                <m:nor/>
                <m:sty m:val="p"/>
              </m:rPr>
              <m:t>eff</m:t>
            </m:r>
          </m:sub>
        </m:sSub>
        <m:d>
          <m:dPr>
            <m:begChr m:val="("/>
            <m:sepChr m:val=""/>
            <m:endChr m:val=")"/>
            <m:grow/>
          </m:dPr>
          <m:e>
            <m:r>
              <m:t>t</m:t>
            </m:r>
          </m:e>
        </m:d>
      </m:oMath>
      <w:r>
        <w:t xml:space="preserve">.</w:t>
      </w:r>
    </w:p>
    <w:bookmarkEnd w:id="37"/>
    <w:bookmarkStart w:id="47" w:name="X149e003673e2c262c282c9f1d51a666afad3848"/>
    <w:p>
      <w:pPr>
        <w:pStyle w:val="Heading1"/>
      </w:pPr>
      <w:r>
        <w:t xml:space="preserve">Simulations Evaluating statistical properties of the joint and two-stage modelling approaches</w:t>
      </w:r>
    </w:p>
    <w:p>
      <w:pPr>
        <w:pStyle w:val="FirstParagraph"/>
      </w:pPr>
      <w:r>
        <w:t xml:space="preserve">We assessed the performance of the 4PL and two-stage approaches by estimating empirical bias and 95% interval coverage for</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across simulation replicates. Bias was calculated as the estimated value minus the true value, whereas coverage was defined as the proportion of intervals containing the true parameter value. The 4PL approach estimated parameter uncertainty directly from the fitted model. In contrast, the two-stage approach required uncertainty to be propagated across both estimation stages, which we did using the Delta method. For the two-stage estimates, we constructed intervals using both normal and</w:t>
      </w:r>
      <w:r>
        <w:t xml:space="preserve"> </w:t>
      </w:r>
      <w:r>
        <w:rPr>
          <w:i/>
          <w:iCs/>
        </w:rPr>
        <w:t xml:space="preserve">t</w:t>
      </w:r>
      <w:r>
        <w:t xml:space="preserve">-distribution quantiles to evaluate the sensitivity of coverage to different assumptions about sampling uncertainty.</w:t>
      </w:r>
    </w:p>
    <w:p>
      <w:pPr>
        <w:pStyle w:val="BodyText"/>
      </w:pPr>
      <w:r>
        <w:t xml:space="preserve">We tested the performance of the two-stage and 4PL approaches across scenarios designed to separate different sources of estimator bias and uncertainty. First, we simulated a strict-equivalence baseline in which survival spanned the full 0–1 range, there was no overdispersion, and only the dose-response midpoint varied with temperature. This scenario tests whether the two approaches recover the same quantities when the assumptions of the classical two-stage model are met. Second, we introduced beta-binomial overdispersion while keeping the same underlying dose-response shape, allowing us to isolate the cost of likelihood misspecification when binomial models are applied to overdispersed count data. Third, we simulated departures from the classical dose-response assumptions by allowing the upper asymptote to decline with temperature, both asymptotes to compress with temperature, or the curve steepness to change with temperature. These scenarios reflect empirical cases in which survival or sublethal responses do not span the full response range, or where the shape of the dose-response curve changes across assay temperatures. Finally, we ran sensitivity analyses that varied the strength of upper-asymptote drift, the overall level of the upper asymptote, and the intensity of the experimental design.</w:t>
      </w:r>
    </w:p>
    <w:p>
      <w:pPr>
        <w:pStyle w:val="BodyText"/>
      </w:pPr>
      <w:r>
        <w:t xml:space="preserve">Experimental designs were chosen to span the scale of published TDT/TLS assays, which often estimate response curves from several static temperatures and exposure durations with modest numbers of individuals, samples, or replicate vials per treatment</w:t>
      </w:r>
      <w:r>
        <w:t xml:space="preserve"> </w:t>
      </w:r>
      <w:r>
        <w:t xml:space="preserve">(</w:t>
      </w:r>
      <w:hyperlink w:anchor="ref-faber_tdt_plants_2024">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truebano2018">
        <w:r>
          <w:rPr>
            <w:rStyle w:val="Hyperlink"/>
          </w:rPr>
          <w:t xml:space="preserve">Truebano</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In the simulations, designs included one to five replicate cups per temperature-by-time treatment, with 10 to 20 organisms per cup sampled from a uniform distribution. For each scenario-by-design combination, we simulated 1,000 datasets and fit both the two-stage and 4PL approaches. Overall, we ran 25,000 simulations and were limited to 1000 simulations per run. We report Monte Carlo standard errors (MCSE) for the bias and coverage summaries to better understand across simulation uncertainty</w:t>
      </w:r>
      <w:r>
        <w:t xml:space="preserve"> </w:t>
      </w:r>
      <w:r>
        <w:t xml:space="preserve">(</w:t>
      </w:r>
      <w:hyperlink w:anchor="ref-direnzo2023">
        <w:r>
          <w:rPr>
            <w:rStyle w:val="Hyperlink"/>
          </w:rPr>
          <w:t xml:space="preserve">DiRenzo</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koehler2009">
        <w:r>
          <w:rPr>
            <w:rStyle w:val="Hyperlink"/>
          </w:rPr>
          <w:t xml:space="preserve">Koehler</w:t>
        </w:r>
        <w:r>
          <w:rPr>
            <w:rStyle w:val="Hyperlink"/>
          </w:rPr>
          <w:t xml:space="preserve"> </w:t>
        </w:r>
        <w:r>
          <w:rPr>
            <w:rStyle w:val="Hyperlink"/>
            <w:i/>
            <w:iCs/>
          </w:rPr>
          <w:t xml:space="preserve">et al.</w:t>
        </w:r>
        <w:r>
          <w:rPr>
            <w:rStyle w:val="Hyperlink"/>
          </w:rPr>
          <w:t xml:space="preserve"> </w:t>
        </w:r>
        <w:r>
          <w:rPr>
            <w:rStyle w:val="Hyperlink"/>
          </w:rPr>
          <w:t xml:space="preserve">2009</w:t>
        </w:r>
      </w:hyperlink>
      <w:r>
        <w:t xml:space="preserve">;</w:t>
      </w:r>
      <w:r>
        <w:t xml:space="preserve"> </w:t>
      </w:r>
      <w:hyperlink w:anchor="ref-williams2024">
        <w:r>
          <w:rPr>
            <w:rStyle w:val="Hyperlink"/>
          </w:rPr>
          <w:t xml:space="preserve">Williams</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w:t>
      </w:r>
    </w:p>
    <w:bookmarkStart w:id="46" w:name="simulation-results"/>
    <w:p>
      <w:pPr>
        <w:pStyle w:val="Heading4"/>
      </w:pPr>
      <w:r>
        <w:rPr>
          <w:i/>
          <w:iCs/>
        </w:rPr>
        <w:t xml:space="preserve">Simulation results</w:t>
      </w:r>
    </w:p>
    <w:p>
      <w:pPr>
        <w:pStyle w:val="FirstParagraph"/>
      </w:pPr>
      <w:r>
        <w:t xml:space="preserve">When the data-generating process matched the classical assumptions, with survival spanning the full 0-1 range and temperature affecting only the dose-response midpoint, the two-stage approach performed similarly to the joint 4PL model, producing little bias and near-nominal coverage when confidence intervals were constructed with t-distribution quantiles. This distinction was important: using normal (z) quantiles instead produced anti-conservative intervals with coverage well below the nominal 95% level (</w:t>
      </w:r>
      <w:hyperlink w:anchor="fig-sims">
        <w:r>
          <w:rPr>
            <w:rStyle w:val="Hyperlink"/>
          </w:rPr>
          <w:t xml:space="preserve">Figure 2</w:t>
        </w:r>
      </w:hyperlink>
      <w:r>
        <w:t xml:space="preserve"> </w:t>
      </w:r>
      <w:r>
        <w:t xml:space="preserve">&amp; Supplement 3.1 &amp; 3.2).</w:t>
      </w:r>
    </w:p>
    <w:p>
      <w:pPr>
        <w:pStyle w:val="BodyText"/>
      </w:pPr>
      <w:r>
        <w:t xml:space="preserve">In contrast, the two-stage approach resulted in biased</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often with poor coverage, when temperature impacted upper thresholds (up) and rate of decline (k) (</w:t>
      </w:r>
      <w:hyperlink w:anchor="fig-sims">
        <w:r>
          <w:rPr>
            <w:rStyle w:val="Hyperlink"/>
          </w:rPr>
          <w:t xml:space="preserve">Figure 2</w:t>
        </w:r>
      </w:hyperlink>
      <w:r>
        <w:t xml:space="preserve">). These biases were consistent with larger sample sizes (</w:t>
      </w:r>
      <w:hyperlink w:anchor="fig-sims">
        <w:r>
          <w:rPr>
            <w:rStyle w:val="Hyperlink"/>
          </w:rPr>
          <w:t xml:space="preserve">Figure 2</w:t>
        </w:r>
      </w:hyperlink>
      <w:r>
        <w:t xml:space="preserve">), but were exacerbated with fewer temperature time combinatons and low levels of replication (See Supplement 3.6). Bias for both</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two-stage approaches were particularly severe as the upper survival threshold decreased (</w:t>
      </w:r>
      <w:hyperlink w:anchor="fig-sims2">
        <w:r>
          <w:rPr>
            <w:rStyle w:val="Hyperlink"/>
          </w:rPr>
          <w:t xml:space="preserve">Figure 3</w:t>
        </w:r>
      </w:hyperlink>
      <w:r>
        <w:t xml:space="preserve">).</w:t>
      </w:r>
    </w:p>
    <w:p>
      <w:pPr>
        <w:pStyle w:val="BodyText"/>
      </w:pPr>
      <w:r>
        <w:t xml:space="preserve">Overall, these results confirm that any model misspecfication requires the 4PL to properly recover true</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with correct uncertainty. The 4PL model can be fit with the</w:t>
      </w:r>
      <w:r>
        <w:t xml:space="preserve"> </w:t>
      </w:r>
      <w:r>
        <w:rPr>
          <w:rStyle w:val="VerbatimChar"/>
        </w:rPr>
        <w:t xml:space="preserve">bayesTLS</w:t>
      </w:r>
      <w:r>
        <w:t xml:space="preserve"> </w:t>
      </w:r>
      <w:r>
        <w:t xml:space="preserve">package we provide (see Supplement 1.1), defaulting to temperature dependence on all parameters of the 4PL. If no temperaure effect exists on a given parameter it will be estimated at zero and it will be equivalent to simplier models. These models also allow for more sophisicated modelling that the two-stage approaches cannot achieve easily. In our supplement, we also show how readers can build greater flexibility into their models if this is required.</w:t>
      </w:r>
    </w:p>
    <w:tbl>
      <w:tblPr>
        <w:tblStyle w:val="Table"/>
        <w:tblW w:type="pct" w:w="5000"/>
        <w:tblLayout w:type="fixed"/>
        <w:tblLook w:firstRow="0" w:lastRow="0" w:firstColumn="0" w:lastColumn="0" w:noHBand="0" w:noVBand="0" w:val="0000"/>
      </w:tblPr>
      <w:tblGrid>
        <w:gridCol w:w="7920"/>
      </w:tblGrid>
      <w:tr>
        <w:tc>
          <w:tcPr/>
          <w:bookmarkStart w:id="41" w:name="fig-sims"/>
          <w:p>
            <w:pPr>
              <w:pStyle w:val="Compact"/>
              <w:jc w:val="center"/>
            </w:pPr>
            <w:r>
              <w:drawing>
                <wp:inline>
                  <wp:extent cx="5943600" cy="4292600"/>
                  <wp:effectExtent b="0" l="0" r="0" t="0"/>
                  <wp:docPr descr="" title="" id="39" name="Picture"/>
                  <a:graphic>
                    <a:graphicData uri="http://schemas.openxmlformats.org/drawingml/2006/picture">
                      <pic:pic>
                        <pic:nvPicPr>
                          <pic:cNvPr descr="ms_files/figure-docx/fig-sims-1.png" id="40" name="Picture"/>
                          <pic:cNvPicPr>
                            <a:picLocks noChangeArrowheads="1" noChangeAspect="1"/>
                          </pic:cNvPicPr>
                        </pic:nvPicPr>
                        <pic:blipFill>
                          <a:blip r:embed="rId38"/>
                          <a:stretch>
                            <a:fillRect/>
                          </a:stretch>
                        </pic:blipFill>
                        <pic:spPr bwMode="auto">
                          <a:xfrm>
                            <a:off x="0" y="0"/>
                            <a:ext cx="5943600" cy="4292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Simulation performance when the data-generating process violates classical TDT shape assumptions. Row labelled</w:t>
            </w:r>
            <w:r>
              <w:t xml:space="preserve"> </w:t>
            </w:r>
            <w:r>
              <w:rPr>
                <w:b/>
                <w:bCs/>
              </w:rPr>
              <w:t xml:space="preserve">‘u varies with T’</w:t>
            </w:r>
            <w:r>
              <w:t xml:space="preserve">: upper asymptote</w:t>
            </w:r>
            <w:r>
              <w:t xml:space="preserve"> </w:t>
            </w:r>
            <m:oMath>
              <m:r>
                <m:t>u</m:t>
              </m:r>
            </m:oMath>
            <w:r>
              <w:t xml:space="preserve"> </w:t>
            </w:r>
            <w:r>
              <w:t xml:space="preserve">declines 0.01 per °C from 0.92 at</w:t>
            </w:r>
            <w:r>
              <w:t xml:space="preserve"> </w:t>
            </w:r>
            <m:oMath>
              <m:r>
                <m:t>T</m:t>
              </m:r>
              <m:r>
                <m:rPr>
                  <m:sty m:val="p"/>
                </m:rPr>
                <m:t>=</m:t>
              </m:r>
              <m:r>
                <m:t>34</m:t>
              </m:r>
            </m:oMath>
            <w:r>
              <w:t xml:space="preserve"> </w:t>
            </w:r>
            <w:r>
              <w:t xml:space="preserve">°C, with</w:t>
            </w:r>
            <w:r>
              <w:t xml:space="preserve"> </w:t>
            </w:r>
            <m:oMath>
              <m:r>
                <m:rPr>
                  <m:nor/>
                  <m:sty m:val="p"/>
                </m:rPr>
                <m:t>low</m:t>
              </m:r>
              <m:r>
                <m:rPr>
                  <m:sty m:val="p"/>
                </m:rPr>
                <m:t>=</m:t>
              </m:r>
              <m:r>
                <m:t>0.05</m:t>
              </m:r>
            </m:oMath>
            <w:r>
              <w:t xml:space="preserve"> </w:t>
            </w:r>
            <w:r>
              <w:t xml:space="preserve">and</w:t>
            </w:r>
            <w:r>
              <w:t xml:space="preserve"> </w:t>
            </w:r>
            <m:oMath>
              <m:r>
                <m:t>k</m:t>
              </m:r>
              <m:r>
                <m:rPr>
                  <m:sty m:val="p"/>
                </m:rPr>
                <m:t>=</m:t>
              </m:r>
              <m:r>
                <m:t>8</m:t>
              </m:r>
            </m:oMath>
            <w:r>
              <w:t xml:space="preserve"> </w:t>
            </w:r>
            <w:r>
              <w:t xml:space="preserve">constant in</w:t>
            </w:r>
            <w:r>
              <w:t xml:space="preserve"> </w:t>
            </w:r>
            <m:oMath>
              <m:r>
                <m:t>T</m:t>
              </m:r>
            </m:oMath>
            <w:r>
              <w:t xml:space="preserve">. Row labelled</w:t>
            </w:r>
            <w:r>
              <w:t xml:space="preserve"> </w:t>
            </w:r>
            <w:r>
              <w:rPr>
                <w:b/>
                <w:bCs/>
              </w:rPr>
              <w:t xml:space="preserve">‘k varies with T’</w:t>
            </w:r>
            <w:r>
              <w:t xml:space="preserve">: slope</w:t>
            </w:r>
            <w:r>
              <w:t xml:space="preserve"> </w:t>
            </w:r>
            <m:oMath>
              <m:r>
                <m:t>k</m:t>
              </m:r>
            </m:oMath>
            <w:r>
              <w:t xml:space="preserve"> </w:t>
            </w:r>
            <w:r>
              <w:t xml:space="preserve">ranges from 6 at 30 °C to 10 at 38 °C, with</w:t>
            </w:r>
            <w:r>
              <w:t xml:space="preserve"> </w:t>
            </w:r>
            <m:oMath>
              <m:r>
                <m:t>u</m:t>
              </m:r>
              <m:r>
                <m:rPr>
                  <m:sty m:val="p"/>
                </m:rPr>
                <m:t>=</m:t>
              </m:r>
              <m:r>
                <m:t>0.92</m:t>
              </m:r>
            </m:oMath>
            <w:r>
              <w:t xml:space="preserve"> </w:t>
            </w:r>
            <w:r>
              <w:t xml:space="preserve">and</w:t>
            </w:r>
            <w:r>
              <w:t xml:space="preserve"> </w:t>
            </w:r>
            <m:oMath>
              <m:r>
                <m:rPr>
                  <m:nor/>
                  <m:sty m:val="p"/>
                </m:rPr>
                <m:t>low</m:t>
              </m:r>
              <m:r>
                <m:rPr>
                  <m:sty m:val="p"/>
                </m:rPr>
                <m:t>=</m:t>
              </m:r>
              <m:r>
                <m:t>0.05</m:t>
              </m:r>
            </m:oMath>
            <w:r>
              <w:t xml:space="preserve"> </w:t>
            </w:r>
            <w:r>
              <w:t xml:space="preserve">constant. Both rows use 5 replicate cups per (T × duration) cell,</w:t>
            </w:r>
            <w:r>
              <w:t xml:space="preserve"> </w:t>
            </w:r>
            <m:oMath>
              <m:sSub>
                <m:e>
                  <m:r>
                    <m:t>N</m:t>
                  </m:r>
                </m:e>
                <m:sub>
                  <m:r>
                    <m:t>s</m:t>
                  </m:r>
                  <m:r>
                    <m:t>i</m:t>
                  </m:r>
                  <m:r>
                    <m:t>m</m:t>
                  </m:r>
                </m:sub>
              </m:sSub>
              <m:r>
                <m:rPr>
                  <m:sty m:val="p"/>
                </m:rPr>
                <m:t>=</m:t>
              </m:r>
              <m:r>
                <m:t>1000</m:t>
              </m:r>
            </m:oMath>
            <w:r>
              <w:t xml:space="preserve"> </w:t>
            </w:r>
            <w:r>
              <w:t xml:space="preserve">simulated datasets per row, and beta-binomial overdispersion (</w:t>
            </w:r>
            <m:oMath>
              <m:r>
                <m:t>ϕ</m:t>
              </m:r>
              <m:r>
                <m:rPr>
                  <m:sty m:val="p"/>
                </m:rPr>
                <m:t>=</m:t>
              </m:r>
              <m:r>
                <m:t>5</m:t>
              </m:r>
            </m:oMath>
            <w:r>
              <w:t xml:space="preserve">). Panel (a): mean signed bias in</w:t>
            </w:r>
            <w:r>
              <w:t xml:space="preserve"> </w:t>
            </w:r>
            <m:oMath>
              <m:r>
                <m:t>z</m:t>
              </m:r>
            </m:oMath>
            <w:r>
              <w:t xml:space="preserve"> </w:t>
            </w:r>
            <w:r>
              <w:t xml:space="preserve">(left column) and</w:t>
            </w:r>
            <w:r>
              <w:t xml:space="preserve"> </w:t>
            </w:r>
            <m:oMath>
              <m:r>
                <m:t>C</m:t>
              </m:r>
              <m:sSub>
                <m:e>
                  <m:r>
                    <m:t>T</m:t>
                  </m:r>
                </m:e>
                <m:sub>
                  <m:r>
                    <m:t>m</m:t>
                  </m:r>
                  <m:r>
                    <m:t>a</m:t>
                  </m:r>
                  <m:r>
                    <m:t>x</m:t>
                  </m:r>
                  <m:r>
                    <m:rPr>
                      <m:sty m:val="p"/>
                    </m:rPr>
                    <m:t>,</m:t>
                  </m:r>
                  <m:r>
                    <m:t>1</m:t>
                  </m:r>
                  <m:r>
                    <m:t>h</m:t>
                  </m:r>
                </m:sub>
              </m:sSub>
            </m:oMath>
            <w:r>
              <w:t xml:space="preserve"> </w:t>
            </w:r>
            <w:r>
              <w:t xml:space="preserve">(right column) with 95% Monte Carlo SE bars. Panel (b): empirical 95% interval coverage with the same column layout. Dashed lines mark zero bias and nominal coverage. Absolute-scale methods (</w:t>
            </w:r>
            <w:r>
              <w:rPr>
                <w:rStyle w:val="VerbatimChar"/>
              </w:rPr>
              <w:t xml:space="preserve">joint_4pl_abs</w:t>
            </w:r>
            <w:r>
              <w:t xml:space="preserve"> </w:t>
            </w:r>
            <w:r>
              <w:t xml:space="preserve">and all two-stage variants) are evaluated against the analytical absolute-50% truth;</w:t>
            </w:r>
            <w:r>
              <w:t xml:space="preserve"> </w:t>
            </w:r>
            <w:r>
              <w:rPr>
                <w:rStyle w:val="VerbatimChar"/>
              </w:rPr>
              <w:t xml:space="preserve">joint_4pl</w:t>
            </w:r>
            <w:r>
              <w:t xml:space="preserve"> </w:t>
            </w:r>
            <w:r>
              <w:t xml:space="preserve">is evaluated against the relative midpoint truth. Two-stage normal- and t-quantile variants share point estimates and differ only in Stage-2 delta-method interval construction.</w:t>
            </w:r>
          </w:p>
          <w:bookmarkEnd w:id="41"/>
        </w:tc>
      </w:tr>
    </w:tbl>
    <w:tbl>
      <w:tblPr>
        <w:tblStyle w:val="Table"/>
        <w:tblW w:type="pct" w:w="5000"/>
        <w:tblLayout w:type="fixed"/>
        <w:tblLook w:firstRow="0" w:lastRow="0" w:firstColumn="0" w:lastColumn="0" w:noHBand="0" w:noVBand="0" w:val="0000"/>
      </w:tblPr>
      <w:tblGrid>
        <w:gridCol w:w="7920"/>
      </w:tblGrid>
      <w:tr>
        <w:tc>
          <w:tcPr/>
          <w:bookmarkStart w:id="45" w:name="fig-sims2"/>
          <w:p>
            <w:pPr>
              <w:pStyle w:val="Compact"/>
              <w:jc w:val="center"/>
            </w:pPr>
            <w:r>
              <w:drawing>
                <wp:inline>
                  <wp:extent cx="5943600" cy="4622800"/>
                  <wp:effectExtent b="0" l="0" r="0" t="0"/>
                  <wp:docPr descr="" title="" id="43" name="Picture"/>
                  <a:graphic>
                    <a:graphicData uri="http://schemas.openxmlformats.org/drawingml/2006/picture">
                      <pic:pic>
                        <pic:nvPicPr>
                          <pic:cNvPr descr="ms_files/figure-docx/fig-sims2-1.png" id="44" name="Picture"/>
                          <pic:cNvPicPr>
                            <a:picLocks noChangeArrowheads="1" noChangeAspect="1"/>
                          </pic:cNvPicPr>
                        </pic:nvPicPr>
                        <pic:blipFill>
                          <a:blip r:embed="rId42"/>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Bias in</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as the partial-mortality regime is swept along two orthogonal axes. Row labelled</w:t>
            </w:r>
            <w:r>
              <w:t xml:space="preserve"> </w:t>
            </w:r>
            <w:r>
              <w:rPr>
                <w:b/>
                <w:bCs/>
              </w:rPr>
              <w:t xml:space="preserve">‘u drifts with T (varying</w:t>
            </w:r>
            <w:r>
              <w:rPr>
                <w:b/>
                <w:bCs/>
              </w:rPr>
              <w:t xml:space="preserve"> </w:t>
            </w:r>
            <m:oMath>
              <m:sSub>
                <m:e>
                  <m:r>
                    <m:t>β</m:t>
                  </m:r>
                </m:e>
                <m:sub>
                  <m:r>
                    <m:t>u</m:t>
                  </m:r>
                </m:sub>
              </m:sSub>
            </m:oMath>
            <w:r>
              <w:rPr>
                <w:b/>
                <w:bCs/>
              </w:rPr>
              <w:t xml:space="preserve">)’</w:t>
            </w:r>
            <w:r>
              <w:t xml:space="preserve">: upper asymptote at</w:t>
            </w:r>
            <w:r>
              <w:t xml:space="preserve"> </w:t>
            </w:r>
            <m:oMath>
              <m:r>
                <m:t>T</m:t>
              </m:r>
              <m:r>
                <m:rPr>
                  <m:sty m:val="p"/>
                </m:rPr>
                <m:t>=</m:t>
              </m:r>
              <m:acc>
                <m:accPr>
                  <m:chr m:val="‾"/>
                </m:accPr>
                <m:e>
                  <m:r>
                    <m:t>T</m:t>
                  </m:r>
                </m:e>
              </m:acc>
            </m:oMath>
            <w:r>
              <w:t xml:space="preserve"> </w:t>
            </w:r>
            <w:r>
              <w:t xml:space="preserve">fixed at</w:t>
            </w:r>
            <w:r>
              <w:t xml:space="preserve"> </w:t>
            </w:r>
            <m:oMath>
              <m:sSub>
                <m:e>
                  <m:r>
                    <m:t>u</m:t>
                  </m:r>
                </m:e>
                <m:sub>
                  <m:r>
                    <m:t>0</m:t>
                  </m:r>
                </m:sub>
              </m:sSub>
              <m:r>
                <m:rPr>
                  <m:sty m:val="p"/>
                </m:rPr>
                <m:t>=</m:t>
              </m:r>
              <m:r>
                <m:t>0.92</m:t>
              </m:r>
            </m:oMath>
            <w:r>
              <w:t xml:space="preserve">, slope</w:t>
            </w:r>
            <w:r>
              <w:t xml:space="preserve"> </w:t>
            </w:r>
            <m:oMath>
              <m:sSub>
                <m:e>
                  <m:r>
                    <m:t>β</m:t>
                  </m:r>
                </m:e>
                <m:sub>
                  <m:r>
                    <m:t>u</m:t>
                  </m:r>
                </m:sub>
              </m:sSub>
            </m:oMath>
            <w:r>
              <w:t xml:space="preserve"> </w:t>
            </w:r>
            <w:r>
              <w:t xml:space="preserve">varied across</w:t>
            </w:r>
            <w:r>
              <w:t xml:space="preserve"> </w:t>
            </w:r>
            <m:oMath>
              <m:r>
                <m:rPr>
                  <m:sty m:val="p"/>
                </m:rPr>
                <m:t>{</m:t>
              </m:r>
              <m:r>
                <m:rPr>
                  <m:sty m:val="p"/>
                </m:rPr>
                <m:t>−</m:t>
              </m:r>
              <m:r>
                <m:t>0.005</m:t>
              </m:r>
              <m:r>
                <m:rPr>
                  <m:sty m:val="p"/>
                </m:rPr>
                <m:t>,</m:t>
              </m:r>
              <m:r>
                <m:rPr>
                  <m:sty m:val="p"/>
                </m:rPr>
                <m:t>−</m:t>
              </m:r>
              <m:r>
                <m:t>0.010</m:t>
              </m:r>
              <m:r>
                <m:rPr>
                  <m:sty m:val="p"/>
                </m:rPr>
                <m:t>,</m:t>
              </m:r>
              <m:r>
                <m:rPr>
                  <m:sty m:val="p"/>
                </m:rPr>
                <m:t>−</m:t>
              </m:r>
              <m:r>
                <m:t>0.015</m:t>
              </m:r>
              <m:r>
                <m:rPr>
                  <m:sty m:val="p"/>
                </m:rPr>
                <m:t>,</m:t>
              </m:r>
              <m:r>
                <m:rPr>
                  <m:sty m:val="p"/>
                </m:rPr>
                <m:t>−</m:t>
              </m:r>
              <m:r>
                <m:t>0.019</m:t>
              </m:r>
              <m:r>
                <m:rPr>
                  <m:sty m:val="p"/>
                </m:rPr>
                <m:t>}</m:t>
              </m:r>
            </m:oMath>
            <w:r>
              <w:t xml:space="preserve"> </w:t>
            </w:r>
            <w:r>
              <w:t xml:space="preserve">pp/°C — i.e.,</w:t>
            </w:r>
            <w:r>
              <w:t xml:space="preserve"> </w:t>
            </w:r>
            <m:oMath>
              <m:r>
                <m:t>u</m:t>
              </m:r>
            </m:oMath>
            <w:r>
              <w:t xml:space="preserve"> </w:t>
            </w:r>
            <w:r>
              <w:t xml:space="preserve">stays high at cool assays and declines progressively at hotter ones. Row labelled</w:t>
            </w:r>
            <w:r>
              <w:t xml:space="preserve"> </w:t>
            </w:r>
            <w:r>
              <w:rPr>
                <w:b/>
                <w:bCs/>
              </w:rPr>
              <w:t xml:space="preserve">‘u is constant but reduced (varying</w:t>
            </w:r>
            <w:r>
              <w:rPr>
                <w:b/>
                <w:bCs/>
              </w:rPr>
              <w:t xml:space="preserve"> </w:t>
            </w:r>
            <m:oMath>
              <m:sSub>
                <m:e>
                  <m:r>
                    <m:t>u</m:t>
                  </m:r>
                </m:e>
                <m:sub>
                  <m:r>
                    <m:t>0</m:t>
                  </m:r>
                </m:sub>
              </m:sSub>
            </m:oMath>
            <w:r>
              <w:rPr>
                <w:b/>
                <w:bCs/>
              </w:rPr>
              <w:t xml:space="preserve">)’</w:t>
            </w:r>
            <w:r>
              <w:t xml:space="preserve">:</w:t>
            </w:r>
            <w:r>
              <w:t xml:space="preserve"> </w:t>
            </w:r>
            <m:oMath>
              <m:sSub>
                <m:e>
                  <m:r>
                    <m:t>β</m:t>
                  </m:r>
                </m:e>
                <m:sub>
                  <m:r>
                    <m:t>u</m:t>
                  </m:r>
                </m:sub>
              </m:sSub>
              <m:r>
                <m:rPr>
                  <m:sty m:val="p"/>
                </m:rPr>
                <m:t>=</m:t>
              </m:r>
              <m:r>
                <m:t>0</m:t>
              </m:r>
            </m:oMath>
            <w:r>
              <w:t xml:space="preserve"> </w:t>
            </w:r>
            <w:r>
              <w:t xml:space="preserve">(no temperature drift); the baseline level itself is swept across</w:t>
            </w:r>
            <w:r>
              <w:t xml:space="preserve"> </w:t>
            </w:r>
            <m:oMath>
              <m:r>
                <m:rPr>
                  <m:sty m:val="p"/>
                </m:rPr>
                <m:t>{</m:t>
              </m:r>
              <m:r>
                <m:t>0.65</m:t>
              </m:r>
              <m:r>
                <m:rPr>
                  <m:sty m:val="p"/>
                </m:rPr>
                <m:t>,</m:t>
              </m:r>
              <m:r>
                <m:t>0.75</m:t>
              </m:r>
              <m:r>
                <m:rPr>
                  <m:sty m:val="p"/>
                </m:rPr>
                <m:t>,</m:t>
              </m:r>
              <m:r>
                <m:t>0.85</m:t>
              </m:r>
              <m:r>
                <m:rPr>
                  <m:sty m:val="p"/>
                </m:rPr>
                <m:t>,</m:t>
              </m:r>
              <m:r>
                <m:t>0.95</m:t>
              </m:r>
              <m:r>
                <m:rPr>
                  <m:sty m:val="p"/>
                </m:rPr>
                <m:t>,</m:t>
              </m:r>
              <m:r>
                <m:t>0.99</m:t>
              </m:r>
              <m:r>
                <m:rPr>
                  <m:sty m:val="p"/>
                </m:rPr>
                <m:t>}</m:t>
              </m:r>
            </m:oMath>
            <w:r>
              <w:t xml:space="preserve"> </w:t>
            </w:r>
            <w:r>
              <w:t xml:space="preserve">— i.e., a constant fraction of the cohort is never susceptible, regardless of temperature. Both rows:</w:t>
            </w:r>
            <w:r>
              <w:t xml:space="preserve"> </w:t>
            </w:r>
            <m:oMath>
              <m:r>
                <m:rPr>
                  <m:nor/>
                  <m:sty m:val="p"/>
                </m:rPr>
                <m:t>low</m:t>
              </m:r>
              <m:r>
                <m:rPr>
                  <m:sty m:val="p"/>
                </m:rPr>
                <m:t>=</m:t>
              </m:r>
              <m:r>
                <m:t>0.05</m:t>
              </m:r>
            </m:oMath>
            <w:r>
              <w:t xml:space="preserve">,</w:t>
            </w:r>
            <w:r>
              <w:t xml:space="preserve"> </w:t>
            </w:r>
            <m:oMath>
              <m:r>
                <m:t>k</m:t>
              </m:r>
              <m:r>
                <m:rPr>
                  <m:sty m:val="p"/>
                </m:rPr>
                <m:t>=</m:t>
              </m:r>
              <m:r>
                <m:t>8</m:t>
              </m:r>
            </m:oMath>
            <w:r>
              <w:t xml:space="preserve">, mid linear in</w:t>
            </w:r>
            <w:r>
              <w:t xml:space="preserve"> </w:t>
            </w:r>
            <m:oMath>
              <m:r>
                <m:t>T</m:t>
              </m:r>
            </m:oMath>
            <w:r>
              <w:t xml:space="preserve"> </w:t>
            </w:r>
            <w:r>
              <w:t xml:space="preserve">with slope</w:t>
            </w:r>
            <w:r>
              <w:t xml:space="preserve"> </w:t>
            </w:r>
            <m:oMath>
              <m:r>
                <m:rPr>
                  <m:sty m:val="p"/>
                </m:rPr>
                <m:t>−</m:t>
              </m:r>
              <m:r>
                <m:t>0.15</m:t>
              </m:r>
            </m:oMath>
            <w:r>
              <w:t xml:space="preserve">, beta-binomial likelihood (</w:t>
            </w:r>
            <m:oMath>
              <m:r>
                <m:t>ϕ</m:t>
              </m:r>
              <m:r>
                <m:rPr>
                  <m:sty m:val="p"/>
                </m:rPr>
                <m:t>=</m:t>
              </m:r>
              <m:r>
                <m:t>5</m:t>
              </m:r>
            </m:oMath>
            <w:r>
              <w:t xml:space="preserve">),</w:t>
            </w:r>
            <w:r>
              <w:t xml:space="preserve"> </w:t>
            </w:r>
            <m:oMath>
              <m:sSub>
                <m:e>
                  <m:r>
                    <m:t>n</m:t>
                  </m:r>
                </m:e>
                <m:sub>
                  <m:r>
                    <m:t>r</m:t>
                  </m:r>
                  <m:r>
                    <m:t>e</m:t>
                  </m:r>
                  <m:r>
                    <m:t>p</m:t>
                  </m:r>
                  <m:r>
                    <m:t>s</m:t>
                  </m:r>
                </m:sub>
              </m:sSub>
              <m:r>
                <m:rPr>
                  <m:sty m:val="p"/>
                </m:rPr>
                <m:t>=</m:t>
              </m:r>
              <m:r>
                <m:t>5</m:t>
              </m:r>
            </m:oMath>
            <w:r>
              <w:t xml:space="preserve">,</w:t>
            </w:r>
            <w:r>
              <w:t xml:space="preserve"> </w:t>
            </w:r>
            <m:oMath>
              <m:sSub>
                <m:e>
                  <m:r>
                    <m:t>N</m:t>
                  </m:r>
                </m:e>
                <m:sub>
                  <m:r>
                    <m:t>s</m:t>
                  </m:r>
                  <m:r>
                    <m:t>i</m:t>
                  </m:r>
                  <m:r>
                    <m:t>m</m:t>
                  </m:r>
                </m:sub>
              </m:sSub>
              <m:r>
                <m:rPr>
                  <m:sty m:val="p"/>
                </m:rPr>
                <m:t>=</m:t>
              </m:r>
              <m:r>
                <m:t>1000</m:t>
              </m:r>
            </m:oMath>
            <w:r>
              <w:t xml:space="preserve"> </w:t>
            </w:r>
            <w:r>
              <w:t xml:space="preserve">datasets per cell. Points are mean signed bias with 95% Monte Carlo SE bars; dashed lines mark zero bias. Left column:</w:t>
            </w:r>
            <w:r>
              <w:t xml:space="preserve"> </w:t>
            </w:r>
            <m:oMath>
              <m:r>
                <m:t>z</m:t>
              </m:r>
            </m:oMath>
            <w:r>
              <w:t xml:space="preserve">; right column:</w:t>
            </w:r>
            <w:r>
              <w:t xml:space="preserve"> </w:t>
            </w:r>
            <m:oMath>
              <m:r>
                <m:t>C</m:t>
              </m:r>
              <m:sSub>
                <m:e>
                  <m:r>
                    <m:t>T</m:t>
                  </m:r>
                </m:e>
                <m:sub>
                  <m:r>
                    <m:t>m</m:t>
                  </m:r>
                  <m:r>
                    <m:t>a</m:t>
                  </m:r>
                  <m:r>
                    <m:t>x</m:t>
                  </m:r>
                  <m:r>
                    <m:rPr>
                      <m:sty m:val="p"/>
                    </m:rPr>
                    <m:t>,</m:t>
                  </m:r>
                  <m:r>
                    <m:t>1</m:t>
                  </m:r>
                  <m:r>
                    <m:t>h</m:t>
                  </m:r>
                </m:sub>
              </m:sSub>
            </m:oMath>
            <w:r>
              <w:t xml:space="preserve">. Only the four distinct point-estimate methods are shown: the two-stage Normal-CI and t-CI variants share point estimates within each Stage-1 family, so bias is identical between them; coverage differences appear in the supplementary writeup. Methods are evaluated against the truth on their own threshold scale (see Methods). The two failure signatures differ: drifting</w:t>
            </w:r>
            <w:r>
              <w:t xml:space="preserve"> </w:t>
            </w:r>
            <m:oMath>
              <m:r>
                <m:t>u</m:t>
              </m:r>
            </m:oMath>
            <w:r>
              <w:t xml:space="preserve"> </w:t>
            </w:r>
            <w:r>
              <w:t xml:space="preserve">tilts the Stage-2 slope (large</w:t>
            </w:r>
            <w:r>
              <w:t xml:space="preserve"> </w:t>
            </w:r>
            <m:oMath>
              <m:r>
                <m:t>z</m:t>
              </m:r>
            </m:oMath>
            <w:r>
              <w:t xml:space="preserve"> </w:t>
            </w:r>
            <w:r>
              <w:t xml:space="preserve">bias, modest</w:t>
            </w:r>
            <w:r>
              <w:t xml:space="preserve"> </w:t>
            </w:r>
            <m:oMath>
              <m:r>
                <m:t>C</m:t>
              </m:r>
              <m:sSub>
                <m:e>
                  <m:r>
                    <m:t>T</m:t>
                  </m:r>
                </m:e>
                <m:sub>
                  <m:r>
                    <m:t>m</m:t>
                  </m:r>
                  <m:r>
                    <m:t>a</m:t>
                  </m:r>
                  <m:r>
                    <m:t>x</m:t>
                  </m:r>
                  <m:r>
                    <m:rPr>
                      <m:sty m:val="p"/>
                    </m:rPr>
                    <m:t>,</m:t>
                  </m:r>
                  <m:r>
                    <m:t>1</m:t>
                  </m:r>
                  <m:r>
                    <m:t>h</m:t>
                  </m:r>
                </m:sub>
              </m:sSub>
            </m:oMath>
            <w:r>
              <w:t xml:space="preserve"> </w:t>
            </w:r>
            <w:r>
              <w:t xml:space="preserve">bias); constant low</w:t>
            </w:r>
            <w:r>
              <w:t xml:space="preserve"> </w:t>
            </w:r>
            <m:oMath>
              <m:r>
                <m:t>u</m:t>
              </m:r>
            </m:oMath>
            <w:r>
              <w:t xml:space="preserve"> </w:t>
            </w:r>
            <w:r>
              <w:t xml:space="preserve">shifts the Stage-2 intercept (large</w:t>
            </w:r>
            <w:r>
              <w:t xml:space="preserve"> </w:t>
            </w:r>
            <m:oMath>
              <m:r>
                <m:t>C</m:t>
              </m:r>
              <m:sSub>
                <m:e>
                  <m:r>
                    <m:t>T</m:t>
                  </m:r>
                </m:e>
                <m:sub>
                  <m:r>
                    <m:t>m</m:t>
                  </m:r>
                  <m:r>
                    <m:t>a</m:t>
                  </m:r>
                  <m:r>
                    <m:t>x</m:t>
                  </m:r>
                  <m:r>
                    <m:rPr>
                      <m:sty m:val="p"/>
                    </m:rPr>
                    <m:t>,</m:t>
                  </m:r>
                  <m:r>
                    <m:t>1</m:t>
                  </m:r>
                  <m:r>
                    <m:t>h</m:t>
                  </m:r>
                </m:sub>
              </m:sSub>
            </m:oMath>
            <w:r>
              <w:t xml:space="preserve"> </w:t>
            </w:r>
            <w:r>
              <w:t xml:space="preserve">bias, with</w:t>
            </w:r>
            <w:r>
              <w:t xml:space="preserve"> </w:t>
            </w:r>
            <m:oMath>
              <m:r>
                <m:t>z</m:t>
              </m:r>
            </m:oMath>
            <w:r>
              <w:t xml:space="preserve"> </w:t>
            </w:r>
            <w:r>
              <w:t xml:space="preserve">bias of opposite sign growing as</w:t>
            </w:r>
            <w:r>
              <w:t xml:space="preserve"> </w:t>
            </w:r>
            <m:oMath>
              <m:sSub>
                <m:e>
                  <m:r>
                    <m:t>u</m:t>
                  </m:r>
                </m:e>
                <m:sub>
                  <m:r>
                    <m:t>0</m:t>
                  </m:r>
                </m:sub>
              </m:sSub>
            </m:oMath>
            <w:r>
              <w:t xml:space="preserve"> </w:t>
            </w:r>
            <w:r>
              <w:t xml:space="preserve">falls).</w:t>
            </w:r>
          </w:p>
          <w:bookmarkEnd w:id="45"/>
        </w:tc>
      </w:tr>
    </w:tbl>
    <w:bookmarkEnd w:id="46"/>
    <w:bookmarkEnd w:id="47"/>
    <w:bookmarkStart w:id="51" w:name="Xabbe56c6b0f09d0a23600010df7f295a0cf446d"/>
    <w:p>
      <w:pPr>
        <w:pStyle w:val="Heading1"/>
      </w:pPr>
      <w:r>
        <w:t xml:space="preserve">Application of Bayesian dose-response models to case studies</w:t>
      </w:r>
    </w:p>
    <w:p>
      <w:pPr>
        <w:pStyle w:val="FirstParagraph"/>
      </w:pPr>
      <w:r>
        <w:t xml:space="preserve">We applied the 4-parameter (4PL) Bayesian logistic model to four case studies covering a broad range of ectothermic groups. For all case studies, we show how much a modelling framework can retrieve classical parameters of the TLS framework such as</w:t>
      </w:r>
      <w:r>
        <w:t xml:space="preserve"> </w:t>
      </w:r>
      <m:oMath>
        <m:r>
          <m:t>z</m:t>
        </m:r>
      </m:oMath>
      <w:r>
        <w:t xml:space="preserve"> </w:t>
      </w:r>
      <w:r>
        <w:t xml:space="preserve">and</w:t>
      </w:r>
      <w:r>
        <w:t xml:space="preserve"> </w:t>
      </w:r>
      <m:oMath>
        <m:r>
          <m:t>C</m:t>
        </m:r>
        <m:sSub>
          <m:e>
            <m:r>
              <m:t>T</m:t>
            </m:r>
          </m:e>
          <m:sub>
            <m:r>
              <m:t>m</m:t>
            </m:r>
            <m:r>
              <m:t>a</m:t>
            </m:r>
            <m:r>
              <m:t>x</m:t>
            </m:r>
            <m:r>
              <m:t>1</m:t>
            </m:r>
            <m:r>
              <m:t>h</m:t>
            </m:r>
          </m:sub>
        </m:sSub>
      </m:oMath>
      <w:r>
        <w:t xml:space="preserve"> </w:t>
      </w:r>
      <w:r>
        <w:t xml:space="preserve">using both lethal and sublethal data. We also show how to derive an estimate of</w:t>
      </w:r>
      <w:r>
        <w:t xml:space="preserve"> </w:t>
      </w:r>
      <m:oMath>
        <m:sSub>
          <m:e>
            <m:r>
              <m:t>T</m:t>
            </m:r>
          </m:e>
          <m:sub>
            <m:r>
              <m:t>c</m:t>
            </m:r>
            <m:r>
              <m:t>r</m:t>
            </m:r>
            <m:r>
              <m:t>i</m:t>
            </m:r>
            <m:r>
              <m:t>t</m:t>
            </m:r>
          </m:sub>
        </m:sSub>
      </m:oMath>
      <w:r>
        <w:t xml:space="preserve"> </w:t>
      </w:r>
      <w:r>
        <w:t xml:space="preserve">from sublethal data (e.g., time to heat knockdown).</w:t>
      </w:r>
    </w:p>
    <w:p>
      <w:pPr>
        <w:pStyle w:val="BodyText"/>
      </w:pPr>
      <w:r>
        <w:t xml:space="preserve">In brown shrimp (</w:t>
      </w:r>
      <w:r>
        <w:rPr>
          <w:i/>
          <w:iCs/>
        </w:rPr>
        <w:t xml:space="preserve">Crangon crangon</w:t>
      </w:r>
      <w:r>
        <w:t xml:space="preserve">), we first show how the 4PL model can be used to generate survival curves, thermal-death-time relationships, and thermal tolerance landscapes with complete uncertainty propagation. We also show how the 4PL can be used to predict survival under dynamic thermal regimes. We then also show how to apply this model to sublethal data (time to knockdown), based on the proportion of live and knocked down individuals across time and temperature.</w:t>
      </w:r>
    </w:p>
    <w:p>
      <w:pPr>
        <w:pStyle w:val="BodyText"/>
      </w:pPr>
      <w:r>
        <w:t xml:space="preserve">In zebrafish (</w:t>
      </w:r>
      <w:r>
        <w:rPr>
          <w:i/>
          <w:iCs/>
        </w:rPr>
        <w:t xml:space="preserve">Danio rerio</w:t>
      </w:r>
      <w:r>
        <w:t xml:space="preserve">), we show how the 4PL can be used to estimate all parameters and tolerance landscapes across three distinct life stages: early embryos, late embryos, and larvae. We show how to define models to derive group-specific parameters and compare posterior distributions to make inference about differences in thermal sensitivity and tolerance across life stages.</w:t>
      </w:r>
    </w:p>
    <w:p>
      <w:pPr>
        <w:pStyle w:val="BodyText"/>
      </w:pPr>
      <w:r>
        <w:t xml:space="preserve">In XXX…</w:t>
      </w:r>
    </w:p>
    <w:p>
      <w:pPr>
        <w:pStyle w:val="BodyText"/>
      </w:pPr>
      <w:r>
        <w:t xml:space="preserve">To break the well-known likelihood ridges among</w:t>
      </w:r>
      <w:r>
        <w:t xml:space="preserve"> </w:t>
      </w:r>
      <m:oMath>
        <m:d>
          <m:dPr>
            <m:begChr m:val="("/>
            <m:sepChr m:val=""/>
            <m:endChr m:val=")"/>
            <m:grow/>
          </m:dPr>
          <m:e>
            <m:r>
              <m:rPr>
                <m:nor/>
                <m:sty m:val="p"/>
              </m:rPr>
              <m:t>low</m:t>
            </m:r>
            <m:r>
              <m:rPr>
                <m:sty m:val="p"/>
              </m:rPr>
              <m:t>,</m:t>
            </m:r>
            <m:r>
              <m:rPr>
                <m:nor/>
                <m:sty m:val="p"/>
              </m:rPr>
              <m:t>up</m:t>
            </m:r>
            <m:r>
              <m:rPr>
                <m:sty m:val="p"/>
              </m:rPr>
              <m:t>,</m:t>
            </m:r>
            <m:r>
              <m:t>k</m:t>
            </m:r>
          </m:e>
        </m:d>
      </m:oMath>
      <w:r>
        <w:t xml:space="preserve"> </w:t>
      </w:r>
      <w:r>
        <w:t xml:space="preserve">in unconstrained 4PL fits</w:t>
      </w:r>
      <w:r>
        <w:t xml:space="preserve"> </w:t>
      </w:r>
      <w:r>
        <w:t xml:space="preserve">(</w:t>
      </w:r>
      <w:hyperlink w:anchor="ref-bolker_ecologicalmodels_2008">
        <w:r>
          <w:rPr>
            <w:rStyle w:val="Hyperlink"/>
          </w:rPr>
          <w:t xml:space="preserve">Bolker 2008</w:t>
        </w:r>
      </w:hyperlink>
      <w:r>
        <w:t xml:space="preserve">;</w:t>
      </w:r>
      <w:r>
        <w:t xml:space="preserve"> </w:t>
      </w:r>
      <w:hyperlink w:anchor="ref-gelman_priors_2006">
        <w:r>
          <w:rPr>
            <w:rStyle w:val="Hyperlink"/>
          </w:rPr>
          <w:t xml:space="preserve">Gelman 2006</w:t>
        </w:r>
      </w:hyperlink>
      <w:r>
        <w:t xml:space="preserve">)</w:t>
      </w:r>
      <w:r>
        <w:t xml:space="preserve">, we estimate the identifiable parameterisation</w:t>
      </w:r>
    </w:p>
    <w:p>
      <w:pPr>
        <w:pStyle w:val="BodyText"/>
      </w:pPr>
      <w:bookmarkStart w:id="48" w:name="eq-reparam"/>
      <m:oMathPara>
        <m:oMathParaPr>
          <m:jc m:val="center"/>
        </m:oMathParaPr>
        <m:oMath>
          <m:r>
            <m:rPr>
              <m:nor/>
              <m:sty m:val="p"/>
            </m:rPr>
            <m:t>low</m:t>
          </m:r>
          <m:r>
            <m:rPr>
              <m:sty m:val="p"/>
            </m:rPr>
            <m:t>=</m:t>
          </m:r>
          <m:r>
            <m:t>0.49</m:t>
          </m:r>
          <m:r>
            <m:t> </m:t>
          </m:r>
          <m:sSup>
            <m:e>
              <m:r>
                <m:rPr>
                  <m:nor/>
                  <m:sty m:val="p"/>
                </m:rPr>
                <m:t>logit</m:t>
              </m:r>
            </m:e>
            <m:sup>
              <m:r>
                <m:rPr>
                  <m:sty m:val="p"/>
                </m:rPr>
                <m:t>−</m:t>
              </m:r>
              <m:r>
                <m:t>1</m:t>
              </m:r>
            </m:sup>
          </m:sSup>
          <m:d>
            <m:dPr>
              <m:begChr m:val="("/>
              <m:sepChr m:val=""/>
              <m:endChr m:val=")"/>
              <m:grow/>
            </m:dPr>
            <m:e>
              <m:acc>
                <m:accPr>
                  <m:chr m:val="̃"/>
                </m:accPr>
                <m:e>
                  <m:r>
                    <m:rPr>
                      <m:nor/>
                      <m:sty m:val="p"/>
                    </m:rPr>
                    <m:t>low</m:t>
                  </m:r>
                </m:e>
              </m:acc>
            </m:e>
          </m:d>
          <m:r>
            <m:rPr>
              <m:sty m:val="p"/>
            </m:rPr>
            <m:t>,</m:t>
          </m:r>
          <m:r>
            <m:t>  </m:t>
          </m:r>
          <m:r>
            <m:rPr>
              <m:nor/>
              <m:sty m:val="p"/>
            </m:rPr>
            <m:t>up</m:t>
          </m:r>
          <m:r>
            <m:rPr>
              <m:sty m:val="p"/>
            </m:rPr>
            <m:t>=</m:t>
          </m:r>
          <m:r>
            <m:t>0.51</m:t>
          </m:r>
          <m:r>
            <m:rPr>
              <m:sty m:val="p"/>
            </m:rPr>
            <m:t>+</m:t>
          </m:r>
          <m:r>
            <m:t>0.49</m:t>
          </m:r>
          <m:r>
            <m:t> </m:t>
          </m:r>
          <m:sSup>
            <m:e>
              <m:r>
                <m:rPr>
                  <m:nor/>
                  <m:sty m:val="p"/>
                </m:rPr>
                <m:t>logit</m:t>
              </m:r>
            </m:e>
            <m:sup>
              <m:r>
                <m:rPr>
                  <m:sty m:val="p"/>
                </m:rPr>
                <m:t>−</m:t>
              </m:r>
              <m:r>
                <m:t>1</m:t>
              </m:r>
            </m:sup>
          </m:sSup>
          <m:d>
            <m:dPr>
              <m:begChr m:val="("/>
              <m:sepChr m:val=""/>
              <m:endChr m:val=")"/>
              <m:grow/>
            </m:dPr>
            <m:e>
              <m:acc>
                <m:accPr>
                  <m:chr m:val="̃"/>
                </m:accPr>
                <m:e>
                  <m:r>
                    <m:rPr>
                      <m:nor/>
                      <m:sty m:val="p"/>
                    </m:rPr>
                    <m:t>up</m:t>
                  </m:r>
                </m:e>
              </m:acc>
            </m:e>
          </m:d>
          <m:r>
            <m:rPr>
              <m:sty m:val="p"/>
            </m:rPr>
            <m:t>,</m:t>
          </m:r>
          <m:r>
            <m:t>  </m:t>
          </m:r>
          <m:r>
            <m:t>k</m:t>
          </m:r>
          <m:r>
            <m:rPr>
              <m:sty m:val="p"/>
            </m:rPr>
            <m:t>=</m:t>
          </m:r>
          <m:r>
            <m:rPr>
              <m:sty m:val="p"/>
            </m:rPr>
            <m:t>exp</m:t>
          </m:r>
          <m:d>
            <m:dPr>
              <m:begChr m:val="("/>
              <m:sepChr m:val=""/>
              <m:endChr m:val=")"/>
              <m:grow/>
            </m:dPr>
            <m:e>
              <m:r>
                <m:t>κ</m:t>
              </m:r>
            </m:e>
          </m:d>
          <m:r>
            <m:rPr>
              <m:sty m:val="p"/>
            </m:rPr>
            <m:t>,</m:t>
          </m:r>
          <m:r>
            <m:t>  </m:t>
          </m:r>
          <m:d>
            <m:dPr>
              <m:begChr m:val="("/>
              <m:sepChr m:val=""/>
              <m:endChr m:val=")"/>
              <m:grow/>
            </m:dPr>
            <m:e>
              <m:r>
                <m:t>10</m:t>
              </m:r>
            </m:e>
          </m:d>
        </m:oMath>
      </m:oMathPara>
      <w:bookmarkEnd w:id="48"/>
    </w:p>
    <w:p>
      <w:pPr>
        <w:pStyle w:val="FirstParagraph"/>
      </w:pPr>
      <w:r>
        <w:t xml:space="preserve">with</w:t>
      </w:r>
      <w:r>
        <w:t xml:space="preserve"> </w:t>
      </w:r>
      <m:oMath>
        <m:acc>
          <m:accPr>
            <m:chr m:val="̃"/>
          </m:accPr>
          <m:e>
            <m:r>
              <m:rPr>
                <m:nor/>
                <m:sty m:val="p"/>
              </m:rPr>
              <m:t>low</m:t>
            </m:r>
          </m:e>
        </m:acc>
        <m:r>
          <m:rPr>
            <m:sty m:val="p"/>
          </m:rPr>
          <m:t>,</m:t>
        </m:r>
        <m:acc>
          <m:accPr>
            <m:chr m:val="̃"/>
          </m:accPr>
          <m:e>
            <m:r>
              <m:rPr>
                <m:nor/>
                <m:sty m:val="p"/>
              </m:rPr>
              <m:t>up</m:t>
            </m:r>
          </m:e>
        </m:acc>
        <m:r>
          <m:rPr>
            <m:sty m:val="p"/>
          </m:rPr>
          <m:t>,</m:t>
        </m:r>
        <m:r>
          <m:t>κ</m:t>
        </m:r>
        <m:r>
          <m:rPr>
            <m:sty m:val="p"/>
          </m:rPr>
          <m:t>∈</m:t>
        </m:r>
        <m:r>
          <m:rPr>
            <m:sty m:val="p"/>
            <m:scr m:val="double-struck"/>
          </m:rPr>
          <m:t>R</m:t>
        </m:r>
      </m:oMath>
      <w:r>
        <w:t xml:space="preserve">. This constrains</w:t>
      </w:r>
      <w:r>
        <w:t xml:space="preserve"> </w:t>
      </w:r>
      <m:oMath>
        <m:r>
          <m:rPr>
            <m:nor/>
            <m:sty m:val="p"/>
          </m:rPr>
          <m:t>low</m:t>
        </m:r>
        <m:r>
          <m:rPr>
            <m:sty m:val="p"/>
          </m:rPr>
          <m:t>∈</m:t>
        </m:r>
        <m:d>
          <m:dPr>
            <m:begChr m:val="["/>
            <m:sepChr m:val=""/>
            <m:endChr m:val="]"/>
            <m:grow/>
          </m:dPr>
          <m:e>
            <m:r>
              <m:t>0</m:t>
            </m:r>
            <m:r>
              <m:rPr>
                <m:sty m:val="p"/>
              </m:rPr>
              <m:t>,</m:t>
            </m:r>
            <m:r>
              <m:t>0.49</m:t>
            </m:r>
          </m:e>
        </m:d>
      </m:oMath>
      <w:r>
        <w:t xml:space="preserve"> </w:t>
      </w:r>
      <w:r>
        <w:t xml:space="preserve">and</w:t>
      </w:r>
      <w:r>
        <w:t xml:space="preserve"> </w:t>
      </w:r>
      <m:oMath>
        <m:r>
          <m:rPr>
            <m:nor/>
            <m:sty m:val="p"/>
          </m:rPr>
          <m:t>up</m:t>
        </m:r>
        <m:r>
          <m:rPr>
            <m:sty m:val="p"/>
          </m:rPr>
          <m:t>∈</m:t>
        </m:r>
        <m:d>
          <m:dPr>
            <m:begChr m:val="["/>
            <m:sepChr m:val=""/>
            <m:endChr m:val="]"/>
            <m:grow/>
          </m:dPr>
          <m:e>
            <m:r>
              <m:t>0.51</m:t>
            </m:r>
            <m:r>
              <m:rPr>
                <m:sty m:val="p"/>
              </m:rPr>
              <m:t>,</m:t>
            </m:r>
            <m:r>
              <m:t>1</m:t>
            </m:r>
          </m:e>
        </m:d>
      </m:oMath>
      <w:r>
        <w:t xml:space="preserve"> </w:t>
      </w:r>
      <w:r>
        <w:t xml:space="preserve">into disjoint intervals so that</w:t>
      </w:r>
      <w:r>
        <w:t xml:space="preserve"> </w:t>
      </w:r>
      <m:oMath>
        <m:r>
          <m:rPr>
            <m:nor/>
            <m:sty m:val="p"/>
          </m:rPr>
          <m:t>up</m:t>
        </m:r>
        <m:r>
          <m:rPr>
            <m:sty m:val="p"/>
          </m:rPr>
          <m:t>&gt;</m:t>
        </m:r>
        <m:r>
          <m:rPr>
            <m:nor/>
            <m:sty m:val="p"/>
          </m:rPr>
          <m:t>low</m:t>
        </m:r>
      </m:oMath>
      <w:r>
        <w:t xml:space="preserve"> </w:t>
      </w:r>
      <w:r>
        <w:t xml:space="preserve">by construction, the curve direction is unambiguous, and</w:t>
      </w:r>
      <w:r>
        <w:t xml:space="preserve"> </w:t>
      </w:r>
      <m:oMath>
        <m:r>
          <m:t>k</m:t>
        </m:r>
      </m:oMath>
      <w:r>
        <w:t xml:space="preserve"> </w:t>
      </w:r>
      <w:r>
        <w:t xml:space="preserve">is positive on the natural scale.</w:t>
      </w:r>
    </w:p>
    <w:p>
      <w:pPr>
        <w:pStyle w:val="BodyText"/>
      </w:pPr>
      <w:r>
        <w:t xml:space="preserve">Up to this point we have written</w:t>
      </w:r>
      <w:r>
        <w:t xml:space="preserve"> </w:t>
      </w:r>
      <w:hyperlink w:anchor="eq-likelihood">
        <w:r>
          <w:rPr>
            <w:rStyle w:val="Hyperlink"/>
          </w:rPr>
          <w:t xml:space="preserve">Equation 1</w:t>
        </w:r>
      </w:hyperlink>
      <w:r>
        <w:t xml:space="preserve">–</w:t>
      </w:r>
      <w:hyperlink w:anchor="eq-mid-temp">
        <w:r>
          <w:rPr>
            <w:rStyle w:val="Hyperlink"/>
          </w:rPr>
          <w:t xml:space="preserve">Equation 3</w:t>
        </w:r>
      </w:hyperlink>
      <w:r>
        <w:t xml:space="preserve"> </w:t>
      </w:r>
      <w:r>
        <w:t xml:space="preserve">without indices for clarity. To accommodate replicated, hierarchically structured data, we now index observations by</w:t>
      </w:r>
      <w:r>
        <w:t xml:space="preserve"> </w:t>
      </w:r>
      <m:oMath>
        <m:r>
          <m:t>i</m:t>
        </m:r>
      </m:oMath>
      <w:r>
        <w:t xml:space="preserve"> </w:t>
      </w:r>
      <w:r>
        <w:t xml:space="preserve">within group</w:t>
      </w:r>
      <w:r>
        <w:t xml:space="preserve"> </w:t>
      </w:r>
      <m:oMath>
        <m:r>
          <m:t>j</m:t>
        </m:r>
      </m:oMath>
      <w:r>
        <w:t xml:space="preserve"> </w:t>
      </w:r>
      <w:r>
        <w:t xml:space="preserve">(e.g., trial, individual, population). The inflection point</w:t>
      </w:r>
      <w:r>
        <w:t xml:space="preserve"> </w:t>
      </w:r>
      <m:oMath>
        <m:sSub>
          <m:e>
            <m:r>
              <m:rPr>
                <m:nor/>
                <m:sty m:val="p"/>
              </m:rPr>
              <m:t>mid</m:t>
            </m:r>
          </m:e>
          <m:sub>
            <m:r>
              <m:t>i</m:t>
            </m:r>
            <m:r>
              <m:t>j</m:t>
            </m:r>
          </m:sub>
        </m:sSub>
      </m:oMath>
      <w:r>
        <w:t xml:space="preserve"> </w:t>
      </w:r>
      <w:r>
        <w:t xml:space="preserve">is then modelled as a linear function of (mean-centred) assay temperature, with additional fixed covariates and nested random effects:</w:t>
      </w:r>
    </w:p>
    <w:p>
      <w:pPr>
        <w:pStyle w:val="BodyText"/>
      </w:pPr>
      <w:bookmarkStart w:id="49" w:name="eq-linpred"/>
      <m:oMathPara>
        <m:oMathParaPr>
          <m:jc m:val="center"/>
        </m:oMathParaPr>
        <m:oMath>
          <m:sSub>
            <m:e>
              <m:r>
                <m:rPr>
                  <m:nor/>
                  <m:sty m:val="p"/>
                </m:rPr>
                <m:t>mid</m:t>
              </m:r>
            </m:e>
            <m:sub>
              <m:r>
                <m:t>i</m:t>
              </m:r>
              <m:r>
                <m:t>j</m:t>
              </m:r>
            </m:sub>
          </m:sSub>
          <m:r>
            <m:t> </m:t>
          </m:r>
          <m:r>
            <m:rPr>
              <m:sty m:val="p"/>
            </m:rPr>
            <m:t>=</m:t>
          </m:r>
          <m:r>
            <m:t> </m:t>
          </m:r>
          <m:sSub>
            <m:e>
              <m:r>
                <m:t>β</m:t>
              </m:r>
            </m:e>
            <m:sub>
              <m:r>
                <m:t>0</m:t>
              </m:r>
            </m:sub>
          </m:sSub>
          <m:r>
            <m:t> </m:t>
          </m:r>
          <m:r>
            <m:rPr>
              <m:sty m:val="p"/>
            </m:rPr>
            <m:t>+</m:t>
          </m:r>
          <m:r>
            <m:t> </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t> </m:t>
          </m:r>
          <m:r>
            <m:rPr>
              <m:sty m:val="p"/>
            </m:rPr>
            <m:t>+</m:t>
          </m:r>
          <m:r>
            <m:t> </m:t>
          </m:r>
          <m:sSubSup>
            <m:e>
              <m:r>
                <m:rPr>
                  <m:sty m:val="b"/>
                </m:rPr>
                <m:t>x</m:t>
              </m:r>
            </m:e>
            <m:sub>
              <m:r>
                <m:t>i</m:t>
              </m:r>
              <m:r>
                <m:t>j</m:t>
              </m:r>
            </m:sub>
            <m:sup>
              <m:r>
                <m:rPr>
                  <m:sty m:val="p"/>
                </m:rPr>
                <m:t>⊤</m:t>
              </m:r>
            </m:sup>
          </m:sSubSup>
          <m:r>
            <m:rPr>
              <m:sty m:val="b"/>
            </m:rPr>
            <m:t>γ</m:t>
          </m:r>
          <m:r>
            <m:t> </m:t>
          </m:r>
          <m:r>
            <m:rPr>
              <m:sty m:val="p"/>
            </m:rPr>
            <m:t>+</m:t>
          </m:r>
          <m:r>
            <m:t> </m:t>
          </m:r>
          <m:sSub>
            <m:e>
              <m:r>
                <m:t>b</m:t>
              </m:r>
            </m:e>
            <m:sub>
              <m:r>
                <m:t>j</m:t>
              </m:r>
            </m:sub>
          </m:sSub>
          <m:r>
            <m:t> </m:t>
          </m:r>
          <m:r>
            <m:rPr>
              <m:sty m:val="p"/>
            </m:rPr>
            <m:t>+</m:t>
          </m:r>
          <m:r>
            <m:t> </m:t>
          </m:r>
          <m:sSub>
            <m:e>
              <m:r>
                <m:t>ε</m:t>
              </m:r>
            </m:e>
            <m:sub>
              <m:r>
                <m:t>i</m:t>
              </m:r>
              <m:r>
                <m:t>j</m:t>
              </m:r>
            </m:sub>
          </m:sSub>
          <m:r>
            <m:rPr>
              <m:sty m:val="p"/>
            </m:rPr>
            <m:t>,</m:t>
          </m:r>
          <m:r>
            <m:t>  </m:t>
          </m:r>
          <m:d>
            <m:dPr>
              <m:begChr m:val="("/>
              <m:sepChr m:val=""/>
              <m:endChr m:val=")"/>
              <m:grow/>
            </m:dPr>
            <m:e>
              <m:r>
                <m:t>11</m:t>
              </m:r>
            </m:e>
          </m:d>
        </m:oMath>
      </m:oMathPara>
      <w:bookmarkEnd w:id="49"/>
    </w:p>
    <w:p>
      <w:pPr>
        <w:pStyle w:val="FirstParagraph"/>
      </w:pPr>
      <w:r>
        <w:t xml:space="preserve">where</w:t>
      </w:r>
      <w:r>
        <w:t xml:space="preserve"> </w:t>
      </w:r>
      <m:oMath>
        <m:acc>
          <m:accPr>
            <m:chr m:val="‾"/>
          </m:accPr>
          <m:e>
            <m:r>
              <m:t>T</m:t>
            </m:r>
          </m:e>
        </m:acc>
      </m:oMath>
      <w:r>
        <w:t xml:space="preserve"> </w:t>
      </w:r>
      <w:r>
        <w:t xml:space="preserve">is the grand mean of assay temperatures (centring stabilises sampling and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w:t>
      </w:r>
      <w:r>
        <w:t xml:space="preserve"> </w:t>
      </w:r>
      <m:oMath>
        <m:sSub>
          <m:e>
            <m:r>
              <m:rPr>
                <m:sty m:val="b"/>
              </m:rPr>
              <m:t>x</m:t>
            </m:r>
          </m:e>
          <m:sub>
            <m:r>
              <m:t>i</m:t>
            </m:r>
            <m:r>
              <m:t>j</m:t>
            </m:r>
          </m:sub>
        </m:sSub>
      </m:oMath>
      <w:r>
        <w:t xml:space="preserve"> </w:t>
      </w:r>
      <w:r>
        <w:t xml:space="preserve">holds any additional fixed covariates with coefficients</w:t>
      </w:r>
      <w:r>
        <w:t xml:space="preserve"> </w:t>
      </w:r>
      <m:oMath>
        <m:r>
          <m:rPr>
            <m:sty m:val="b"/>
          </m:rPr>
          <m:t>γ</m:t>
        </m:r>
      </m:oMath>
      <w:r>
        <w:t xml:space="preserve">,</w:t>
      </w:r>
      <w:r>
        <w:t xml:space="preserve"> </w:t>
      </w:r>
      <m:oMath>
        <m:sSub>
          <m:e>
            <m:r>
              <m:t>b</m:t>
            </m:r>
          </m:e>
          <m:sub>
            <m:r>
              <m:t>j</m:t>
            </m:r>
          </m:sub>
        </m:sSub>
      </m:oMath>
      <w:r>
        <w:t xml:space="preserve"> </w:t>
      </w:r>
      <w:r>
        <w:t xml:space="preserve">collects the nested random effects and</w:t>
      </w:r>
      <w:r>
        <w:t xml:space="preserve"> </w:t>
      </w:r>
      <m:oMath>
        <m:sSub>
          <m:e>
            <m:r>
              <m:t>ε</m:t>
            </m:r>
          </m:e>
          <m:sub>
            <m:r>
              <m:t>i</m:t>
            </m:r>
            <m:r>
              <m:t>j</m:t>
            </m:r>
          </m:sub>
        </m:sSub>
        <m:r>
          <m:rPr>
            <m:sty m:val="p"/>
          </m:rPr>
          <m:t>∼</m:t>
        </m:r>
        <m:r>
          <m:rPr>
            <m:sty m:val="p"/>
            <m:scr m:val="script"/>
          </m:rPr>
          <m:t>N</m:t>
        </m:r>
        <m:d>
          <m:dPr>
            <m:begChr m:val="("/>
            <m:sepChr m:val=""/>
            <m:endChr m:val=")"/>
            <m:grow/>
          </m:dPr>
          <m:e>
            <m:r>
              <m:t>0</m:t>
            </m:r>
            <m:r>
              <m:rPr>
                <m:sty m:val="p"/>
              </m:rPr>
              <m:t>,</m:t>
            </m:r>
            <m:sSubSup>
              <m:e>
                <m:r>
                  <m:t>σ</m:t>
                </m:r>
              </m:e>
              <m:sub>
                <m:r>
                  <m:t>ε</m:t>
                </m:r>
              </m:sub>
              <m:sup>
                <m:r>
                  <m:t>2</m:t>
                </m:r>
              </m:sup>
            </m:sSubSup>
          </m:e>
        </m:d>
      </m:oMath>
      <w:r>
        <w:t xml:space="preserve"> </w:t>
      </w:r>
      <w:r>
        <w:t xml:space="preserve">is an observation-level random effect that absorbs the binomial overdispersion characteristic of replicated count assays</w:t>
      </w:r>
      <w:r>
        <w:t xml:space="preserve"> </w:t>
      </w:r>
      <w:r>
        <w:t xml:space="preserve">(</w:t>
      </w:r>
      <w:hyperlink w:anchor="ref-harrison_olre_2014">
        <w:r>
          <w:rPr>
            <w:rStyle w:val="Hyperlink"/>
          </w:rPr>
          <w:t xml:space="preserve">Harrison 2014</w:t>
        </w:r>
      </w:hyperlink>
      <w:r>
        <w:t xml:space="preserve">)</w:t>
      </w:r>
      <w:r>
        <w:t xml:space="preserve">. However, we could also remove the observation-level random effect from the model and instead fit a beta-binomial error distribution which estimates a dispersion parameter (</w:t>
      </w:r>
      <m:oMath>
        <m:r>
          <m:t>ϕ</m:t>
        </m:r>
      </m:oMath>
      <w:r>
        <w:t xml:space="preserve">) more naturally.</w:t>
      </w:r>
    </w:p>
    <w:p>
      <w:pPr>
        <w:pStyle w:val="BodyText"/>
      </w:pPr>
      <w:r>
        <w:t xml:space="preserve">Together,</w:t>
      </w:r>
      <w:r>
        <w:t xml:space="preserve"> </w:t>
      </w:r>
      <w:hyperlink w:anchor="eq-likelihood">
        <w:r>
          <w:rPr>
            <w:rStyle w:val="Hyperlink"/>
          </w:rPr>
          <w:t xml:space="preserve">Equation 1</w:t>
        </w:r>
      </w:hyperlink>
      <w:r>
        <w:t xml:space="preserve">–</w:t>
      </w:r>
      <w:hyperlink w:anchor="eq-linpred">
        <w:r>
          <w:rPr>
            <w:rStyle w:val="Hyperlink"/>
          </w:rPr>
          <w:t xml:space="preserve">Equation 11</w:t>
        </w:r>
      </w:hyperlink>
      <w:r>
        <w:t xml:space="preserve"> </w:t>
      </w:r>
      <w:r>
        <w:t xml:space="preserve">define the hierarchical Bayesian 4PL fit directly to the raw binomial counts. Every classical TDT quantity — slope,</w:t>
      </w:r>
      <w:r>
        <w:t xml:space="preserve"> </w:t>
      </w:r>
      <m:oMath>
        <m:r>
          <m:t>z</m:t>
        </m:r>
      </m:oMath>
      <w:r>
        <w:t xml:space="preserve">,</w:t>
      </w:r>
      <w:r>
        <w:t xml:space="preserve"> </w:t>
      </w:r>
      <m:oMath>
        <m:r>
          <m:t>C</m:t>
        </m:r>
        <m:sSub>
          <m:e>
            <m:r>
              <m:t>T</m:t>
            </m:r>
          </m:e>
          <m:sub>
            <m:r>
              <m:t>m</m:t>
            </m:r>
            <m:r>
              <m:t>a</m:t>
            </m:r>
            <m:r>
              <m:t>x</m:t>
            </m:r>
          </m:sub>
        </m:sSub>
      </m:oMath>
      <w:r>
        <w:t xml:space="preserve"> </w:t>
      </w:r>
      <w:r>
        <w:t xml:space="preserve">at any reference time, and the heat-injury integral — is recovered as a one-line posterior summary of this single joint fit, as derived in §[Equivalence with the classical pipeline].</w:t>
      </w:r>
    </w:p>
    <w:bookmarkStart w:id="50" w:name="X83c280133a78de915d3b14a666f30d6a82dc387"/>
    <w:p>
      <w:pPr>
        <w:pStyle w:val="Heading2"/>
      </w:pPr>
      <w:r>
        <w:t xml:space="preserve">What the 4PL delivers that the two-step cannot</w:t>
      </w:r>
    </w:p>
    <w:bookmarkEnd w:id="50"/>
    <w:bookmarkEnd w:id="51"/>
    <w:bookmarkStart w:id="58" w:name="X2a14174f4c72db593bce4e6516c6528cdb497de"/>
    <w:p>
      <w:pPr>
        <w:pStyle w:val="Heading1"/>
      </w:pPr>
      <w:r>
        <w:t xml:space="preserve">Worked example: brown shrimp thermal tolerance</w:t>
      </w:r>
    </w:p>
    <w:bookmarkStart w:id="52" w:name="data-and-experimental-design"/>
    <w:p>
      <w:pPr>
        <w:pStyle w:val="Heading2"/>
      </w:pPr>
      <w:r>
        <w:t xml:space="preserve">Data and experimental design</w:t>
      </w:r>
    </w:p>
    <w:bookmarkEnd w:id="52"/>
    <w:bookmarkStart w:id="53" w:name="lethal-tdt-hierarchical-4pl-on-counts"/>
    <w:p>
      <w:pPr>
        <w:pStyle w:val="Heading2"/>
      </w:pPr>
      <w:r>
        <w:t xml:space="preserve">Lethal TDT — hierarchical 4PL on counts</w:t>
      </w:r>
    </w:p>
    <w:bookmarkEnd w:id="53"/>
    <w:bookmarkStart w:id="54" w:name="sublethal-time-to-death"/>
    <w:p>
      <w:pPr>
        <w:pStyle w:val="Heading2"/>
      </w:pPr>
      <w:r>
        <w:t xml:space="preserve">Sublethal time-to-death</w:t>
      </w:r>
    </w:p>
    <w:bookmarkEnd w:id="54"/>
    <w:bookmarkStart w:id="55" w:name="dynamic-ct_max-across-ramping-rates"/>
    <w:p>
      <w:pPr>
        <w:pStyle w:val="Heading2"/>
      </w:pPr>
      <w:r>
        <w:t xml:space="preserve">Dynamic</w:t>
      </w:r>
      <w:r>
        <w:t xml:space="preserve"> </w:t>
      </w:r>
      <m:oMath>
        <m:r>
          <m:t>C</m:t>
        </m:r>
        <m:sSub>
          <m:e>
            <m:r>
              <m:t>T</m:t>
            </m:r>
          </m:e>
          <m:sub>
            <m:r>
              <m:t>m</m:t>
            </m:r>
            <m:r>
              <m:t>a</m:t>
            </m:r>
            <m:r>
              <m:t>x</m:t>
            </m:r>
          </m:sub>
        </m:sSub>
      </m:oMath>
      <w:r>
        <w:t xml:space="preserve"> </w:t>
      </w:r>
      <w:r>
        <w:t xml:space="preserve">across ramping rates</w:t>
      </w:r>
    </w:p>
    <w:bookmarkEnd w:id="55"/>
    <w:bookmarkStart w:id="56" w:name="Xa764bbb0ef06e1b16f1b866442815364d0000f8"/>
    <w:p>
      <w:pPr>
        <w:pStyle w:val="Heading2"/>
      </w:pPr>
      <w:r>
        <w:t xml:space="preserve">Reconciling the three endpoints via the Jørgensen ramping equation</w:t>
      </w:r>
    </w:p>
    <w:bookmarkEnd w:id="56"/>
    <w:bookmarkStart w:id="57" w:name="Xc9d8a39a8777a97080af0145482f0bf85ce7458"/>
    <w:p>
      <w:pPr>
        <w:pStyle w:val="Heading2"/>
      </w:pPr>
      <w:r>
        <w:t xml:space="preserve">Field-temperature heat-injury projections under warming scenarios</w:t>
      </w:r>
    </w:p>
    <w:bookmarkEnd w:id="57"/>
    <w:bookmarkEnd w:id="58"/>
    <w:bookmarkStart w:id="62" w:name="discussion"/>
    <w:p>
      <w:pPr>
        <w:pStyle w:val="Heading1"/>
      </w:pPr>
      <w:r>
        <w:t xml:space="preserve">Discussion</w:t>
      </w:r>
    </w:p>
    <w:bookmarkStart w:id="59" w:name="X5dac85fa1a4411486a220dbeaf8627ab0091f32"/>
    <w:p>
      <w:pPr>
        <w:pStyle w:val="Heading2"/>
      </w:pPr>
      <w:r>
        <w:t xml:space="preserve">What changes for the field if the hierarchical 4PL becomes the default</w:t>
      </w:r>
    </w:p>
    <w:bookmarkEnd w:id="59"/>
    <w:bookmarkStart w:id="60" w:name="limits-of-the-present-analysis"/>
    <w:p>
      <w:pPr>
        <w:pStyle w:val="Heading2"/>
      </w:pPr>
      <w:r>
        <w:t xml:space="preserve">Limits of the present analysis</w:t>
      </w:r>
    </w:p>
    <w:bookmarkEnd w:id="60"/>
    <w:bookmarkStart w:id="61" w:name="Xf0d52b04feeaedf0b5abcee2b4d231c85971023"/>
    <w:p>
      <w:pPr>
        <w:pStyle w:val="Heading2"/>
      </w:pPr>
      <w:r>
        <w:t xml:space="preserve">Recommendations for primary studies and meta-analyses</w:t>
      </w:r>
    </w:p>
    <w:bookmarkEnd w:id="61"/>
    <w:bookmarkEnd w:id="62"/>
    <w:bookmarkStart w:id="63" w:name="conclusions"/>
    <w:p>
      <w:pPr>
        <w:pStyle w:val="Heading1"/>
      </w:pPr>
      <w:r>
        <w:t xml:space="preserve">Conclusions</w:t>
      </w:r>
    </w:p>
    <w:bookmarkEnd w:id="63"/>
    <w:bookmarkStart w:id="64" w:name="acknowledgements"/>
    <w:p>
      <w:pPr>
        <w:pStyle w:val="Heading1"/>
      </w:pPr>
      <w:r>
        <w:t xml:space="preserve">Acknowledgements</w:t>
      </w:r>
    </w:p>
    <w:bookmarkEnd w:id="64"/>
    <w:bookmarkStart w:id="65" w:name="author-contributions"/>
    <w:p>
      <w:pPr>
        <w:pStyle w:val="Heading1"/>
      </w:pPr>
      <w:r>
        <w:t xml:space="preserve">Author contributions</w:t>
      </w:r>
    </w:p>
    <w:bookmarkEnd w:id="65"/>
    <w:bookmarkStart w:id="66" w:name="data-and-code-availability"/>
    <w:p>
      <w:pPr>
        <w:pStyle w:val="Heading1"/>
      </w:pPr>
      <w:r>
        <w:t xml:space="preserve">Data and code availability</w:t>
      </w:r>
    </w:p>
    <w:p>
      <w:pPr>
        <w:pStyle w:val="FirstParagraph"/>
      </w:pPr>
      <w:r>
        <w:t xml:space="preserve">All data, analysis scripts, and the rendered manuscript and supplement are available at https://github.com/daniel1noble/bayesTLS.</w:t>
      </w:r>
    </w:p>
    <w:bookmarkEnd w:id="66"/>
    <w:bookmarkStart w:id="67" w:name="conflict-of-interest"/>
    <w:p>
      <w:pPr>
        <w:pStyle w:val="Heading1"/>
      </w:pPr>
      <w:r>
        <w:t xml:space="preserve">Conflict of interest</w:t>
      </w:r>
    </w:p>
    <w:p>
      <w:pPr>
        <w:pStyle w:val="FirstParagraph"/>
      </w:pPr>
      <w:r>
        <w:t xml:space="preserve">The authors declare no competing interests.</w:t>
      </w:r>
    </w:p>
    <w:bookmarkEnd w:id="67"/>
    <w:bookmarkStart w:id="146" w:name="references"/>
    <w:p>
      <w:pPr>
        <w:pStyle w:val="Heading1"/>
      </w:pPr>
      <w:r>
        <w:t xml:space="preserve">References</w:t>
      </w:r>
    </w:p>
    <w:bookmarkStart w:id="145" w:name="refs"/>
    <w:bookmarkStart w:id="69"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68">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69"/>
    <w:bookmarkStart w:id="70" w:name="ref-bolker_ecologicalmodels_2008"/>
    <w:p>
      <w:pPr>
        <w:pStyle w:val="Bibliography"/>
      </w:pPr>
      <w:r>
        <w:t xml:space="preserve">Bolker, B.M. (2008).</w:t>
      </w:r>
      <w:r>
        <w:t xml:space="preserve"> </w:t>
      </w:r>
      <w:r>
        <w:rPr>
          <w:i/>
          <w:iCs/>
        </w:rPr>
        <w:t xml:space="preserve">Ecological models and data in</w:t>
      </w:r>
      <w:r>
        <w:rPr>
          <w:i/>
          <w:iCs/>
        </w:rPr>
        <w:t xml:space="preserve"> </w:t>
      </w:r>
      <w:r>
        <w:rPr>
          <w:i/>
          <w:iCs/>
        </w:rPr>
        <w:t xml:space="preserve">R</w:t>
      </w:r>
      <w:r>
        <w:t xml:space="preserve">. Princeton University Press, Princeton, NJ.</w:t>
      </w:r>
    </w:p>
    <w:bookmarkEnd w:id="70"/>
    <w:bookmarkStart w:id="72" w:name="ref-buckley_damage_2025"/>
    <w:p>
      <w:pPr>
        <w:pStyle w:val="Bibliography"/>
      </w:pPr>
      <w:r>
        <w:t xml:space="preserve">Buckley, L.B., Huey, R.B. &amp; Ma, C.-S. (2025).</w:t>
      </w:r>
      <w:r>
        <w:t xml:space="preserve"> </w:t>
      </w:r>
      <w:hyperlink r:id="rId71">
        <w:r>
          <w:rPr>
            <w:rStyle w:val="Hyperlink"/>
          </w:rPr>
          <w:t xml:space="preserve">How damage, recovery, and repair alter the fitness impacts of thermal stress</w:t>
        </w:r>
      </w:hyperlink>
      <w:r>
        <w:t xml:space="preserve">.</w:t>
      </w:r>
      <w:r>
        <w:t xml:space="preserve"> </w:t>
      </w:r>
      <w:r>
        <w:rPr>
          <w:i/>
          <w:iCs/>
        </w:rPr>
        <w:t xml:space="preserve">Integrative and Comparative Biology</w:t>
      </w:r>
      <w:r>
        <w:t xml:space="preserve">, 65, 1061–1075.</w:t>
      </w:r>
    </w:p>
    <w:bookmarkEnd w:id="72"/>
    <w:bookmarkStart w:id="74" w:name="ref-burke_ipd_2017"/>
    <w:p>
      <w:pPr>
        <w:pStyle w:val="Bibliography"/>
      </w:pPr>
      <w:r>
        <w:t xml:space="preserve">Burke, D.L., Ensor, J. &amp; Riley, R.D. (2017).</w:t>
      </w:r>
      <w:r>
        <w:t xml:space="preserve"> </w:t>
      </w:r>
      <w:hyperlink r:id="rId73">
        <w:r>
          <w:rPr>
            <w:rStyle w:val="Hyperlink"/>
          </w:rPr>
          <w:t xml:space="preserve">Meta-analysis using individual participant data: One-stage and two-stage approaches, and why they may differ</w:t>
        </w:r>
      </w:hyperlink>
      <w:r>
        <w:t xml:space="preserve">.</w:t>
      </w:r>
      <w:r>
        <w:t xml:space="preserve"> </w:t>
      </w:r>
      <w:r>
        <w:rPr>
          <w:i/>
          <w:iCs/>
        </w:rPr>
        <w:t xml:space="preserve">Statistics in Medicine</w:t>
      </w:r>
      <w:r>
        <w:t xml:space="preserve">, 36, 855–875.</w:t>
      </w:r>
    </w:p>
    <w:bookmarkEnd w:id="74"/>
    <w:bookmarkStart w:id="76" w:name="ref-carroll_measurement_2006"/>
    <w:p>
      <w:pPr>
        <w:pStyle w:val="Bibliography"/>
      </w:pPr>
      <w:r>
        <w:t xml:space="preserve">Carroll, R.J., Ruppert, D., Stefanski, L.A. &amp; Crainiceanu, C.M. (2006).</w:t>
      </w:r>
      <w:r>
        <w:t xml:space="preserve"> </w:t>
      </w:r>
      <w:hyperlink r:id="rId75">
        <w:r>
          <w:rPr>
            <w:rStyle w:val="Hyperlink"/>
            <w:i/>
            <w:iCs/>
          </w:rPr>
          <w:t xml:space="preserve">Measurement error in nonlinear models: A modern perspective</w:t>
        </w:r>
      </w:hyperlink>
      <w:r>
        <w:t xml:space="preserve">. 2nd edn.</w:t>
      </w:r>
      <w:r>
        <w:t xml:space="preserve"> </w:t>
      </w:r>
      <w:r>
        <w:t xml:space="preserve">Chapman and Hall/CRC</w:t>
      </w:r>
      <w:r>
        <w:t xml:space="preserve">.</w:t>
      </w:r>
    </w:p>
    <w:bookmarkEnd w:id="76"/>
    <w:bookmarkStart w:id="78" w:name="ref-deutsch_latitude_2008"/>
    <w:p>
      <w:pPr>
        <w:pStyle w:val="Bibliography"/>
      </w:pPr>
      <w:r>
        <w:t xml:space="preserve">Deutsch, C.A., Tewksbury, J.J., Huey, R.B., Sheldon, K.S., Ghalambor, C.K., Haak, D.C.,</w:t>
      </w:r>
      <w:r>
        <w:t xml:space="preserve"> </w:t>
      </w:r>
      <w:r>
        <w:rPr>
          <w:i/>
          <w:iCs/>
        </w:rPr>
        <w:t xml:space="preserve">et al.</w:t>
      </w:r>
      <w:r>
        <w:t xml:space="preserve"> (2008).</w:t>
      </w:r>
      <w:r>
        <w:t xml:space="preserve"> </w:t>
      </w:r>
      <w:hyperlink r:id="rId77">
        <w:r>
          <w:rPr>
            <w:rStyle w:val="Hyperlink"/>
          </w:rPr>
          <w:t xml:space="preserve">Impacts of climate warming on terrestrial ectotherms across latitude</w:t>
        </w:r>
      </w:hyperlink>
      <w:r>
        <w:t xml:space="preserve">.</w:t>
      </w:r>
      <w:r>
        <w:t xml:space="preserve"> </w:t>
      </w:r>
      <w:r>
        <w:rPr>
          <w:i/>
          <w:iCs/>
        </w:rPr>
        <w:t xml:space="preserve">Proceedings of the National Academy of Sciences</w:t>
      </w:r>
      <w:r>
        <w:t xml:space="preserve">, 105, 6668–6672.</w:t>
      </w:r>
    </w:p>
    <w:bookmarkEnd w:id="78"/>
    <w:bookmarkStart w:id="80" w:name="ref-direnzo2023"/>
    <w:p>
      <w:pPr>
        <w:pStyle w:val="Bibliography"/>
      </w:pPr>
      <w:r>
        <w:t xml:space="preserve">DiRenzo, G.V., Hanks, E. &amp; Miller, D.A.W. (2023).</w:t>
      </w:r>
      <w:r>
        <w:t xml:space="preserve"> </w:t>
      </w:r>
      <w:hyperlink r:id="rId79">
        <w:r>
          <w:rPr>
            <w:rStyle w:val="Hyperlink"/>
          </w:rPr>
          <w:t xml:space="preserve">A practical guide to understanding and validating complex models using data simulations</w:t>
        </w:r>
      </w:hyperlink>
      <w:r>
        <w:t xml:space="preserve">.</w:t>
      </w:r>
      <w:r>
        <w:t xml:space="preserve"> </w:t>
      </w:r>
      <w:r>
        <w:rPr>
          <w:i/>
          <w:iCs/>
        </w:rPr>
        <w:t xml:space="preserve">Methods in Ecology and Evolution</w:t>
      </w:r>
      <w:r>
        <w:t xml:space="preserve">, 14, 203–217.</w:t>
      </w:r>
    </w:p>
    <w:bookmarkEnd w:id="80"/>
    <w:bookmarkStart w:id="82" w:name="ref-faber_tdt_plants_2024"/>
    <w:p>
      <w:pPr>
        <w:pStyle w:val="Bibliography"/>
      </w:pPr>
      <w:r>
        <w:t xml:space="preserve">Faber, A.H., Ørsted, M. &amp; Ehlers, B.K. (2024).</w:t>
      </w:r>
      <w:r>
        <w:t xml:space="preserve"> </w:t>
      </w:r>
      <w:hyperlink r:id="rId81">
        <w:r>
          <w:rPr>
            <w:rStyle w:val="Hyperlink"/>
          </w:rPr>
          <w:t xml:space="preserve">Application of the thermal death time model in predicting thermal damage accumulation in plants</w:t>
        </w:r>
      </w:hyperlink>
      <w:r>
        <w:t xml:space="preserve">.</w:t>
      </w:r>
      <w:r>
        <w:t xml:space="preserve"> </w:t>
      </w:r>
      <w:r>
        <w:rPr>
          <w:i/>
          <w:iCs/>
        </w:rPr>
        <w:t xml:space="preserve">Journal of Experimental Botany</w:t>
      </w:r>
      <w:r>
        <w:t xml:space="preserve">, 75, 3467–3482.</w:t>
      </w:r>
    </w:p>
    <w:bookmarkEnd w:id="82"/>
    <w:bookmarkStart w:id="84" w:name="ref-gelman_priors_2006"/>
    <w:p>
      <w:pPr>
        <w:pStyle w:val="Bibliography"/>
      </w:pPr>
      <w:r>
        <w:t xml:space="preserve">Gelman, A. (2006).</w:t>
      </w:r>
      <w:r>
        <w:t xml:space="preserve"> </w:t>
      </w:r>
      <w:hyperlink r:id="rId83">
        <w:r>
          <w:rPr>
            <w:rStyle w:val="Hyperlink"/>
          </w:rPr>
          <w:t xml:space="preserve">Prior distributions for variance parameters in hierarchical models (comment on article by</w:t>
        </w:r>
        <w:r>
          <w:rPr>
            <w:rStyle w:val="Hyperlink"/>
          </w:rPr>
          <w:t xml:space="preserve"> </w:t>
        </w:r>
        <w:r>
          <w:rPr>
            <w:rStyle w:val="Hyperlink"/>
          </w:rPr>
          <w:t xml:space="preserve">Browne</w:t>
        </w:r>
        <w:r>
          <w:rPr>
            <w:rStyle w:val="Hyperlink"/>
          </w:rPr>
          <w:t xml:space="preserve"> </w:t>
        </w:r>
        <w:r>
          <w:rPr>
            <w:rStyle w:val="Hyperlink"/>
          </w:rPr>
          <w:t xml:space="preserve">and</w:t>
        </w:r>
        <w:r>
          <w:rPr>
            <w:rStyle w:val="Hyperlink"/>
          </w:rPr>
          <w:t xml:space="preserve"> </w:t>
        </w:r>
        <w:r>
          <w:rPr>
            <w:rStyle w:val="Hyperlink"/>
          </w:rPr>
          <w:t xml:space="preserve">Draper</w:t>
        </w:r>
        <w:r>
          <w:rPr>
            <w:rStyle w:val="Hyperlink"/>
          </w:rPr>
          <w:t xml:space="preserve">)</w:t>
        </w:r>
      </w:hyperlink>
      <w:r>
        <w:t xml:space="preserve">.</w:t>
      </w:r>
      <w:r>
        <w:t xml:space="preserve"> </w:t>
      </w:r>
      <w:r>
        <w:rPr>
          <w:i/>
          <w:iCs/>
        </w:rPr>
        <w:t xml:space="preserve">Bayesian Analysis</w:t>
      </w:r>
      <w:r>
        <w:t xml:space="preserve">, 1, 515–534.</w:t>
      </w:r>
    </w:p>
    <w:bookmarkEnd w:id="84"/>
    <w:bookmarkStart w:id="86" w:name="ref-harrison_olre_2014"/>
    <w:p>
      <w:pPr>
        <w:pStyle w:val="Bibliography"/>
      </w:pPr>
      <w:r>
        <w:t xml:space="preserve">Harrison, X.A. (2014).</w:t>
      </w:r>
      <w:r>
        <w:t xml:space="preserve"> </w:t>
      </w:r>
      <w:hyperlink r:id="rId85">
        <w:r>
          <w:rPr>
            <w:rStyle w:val="Hyperlink"/>
          </w:rPr>
          <w:t xml:space="preserve">Using observation-level random effects to model overdispersion in count data in ecology and evolution</w:t>
        </w:r>
      </w:hyperlink>
      <w:r>
        <w:t xml:space="preserve">.</w:t>
      </w:r>
      <w:r>
        <w:t xml:space="preserve"> </w:t>
      </w:r>
      <w:r>
        <w:rPr>
          <w:i/>
          <w:iCs/>
        </w:rPr>
        <w:t xml:space="preserve">PeerJ</w:t>
      </w:r>
      <w:r>
        <w:t xml:space="preserve">, 2, e616.</w:t>
      </w:r>
    </w:p>
    <w:bookmarkEnd w:id="86"/>
    <w:bookmarkStart w:id="88" w:name="ref-harrison_mixed_2018"/>
    <w:p>
      <w:pPr>
        <w:pStyle w:val="Bibliography"/>
      </w:pPr>
      <w:r>
        <w:t xml:space="preserve">Harrison, X.A., Donaldson, L., Correa-Cano, M.E., Evans, J., Fisher, D.N., Goodwin, C.E.D.,</w:t>
      </w:r>
      <w:r>
        <w:t xml:space="preserve"> </w:t>
      </w:r>
      <w:r>
        <w:rPr>
          <w:i/>
          <w:iCs/>
        </w:rPr>
        <w:t xml:space="preserve">et al.</w:t>
      </w:r>
      <w:r>
        <w:t xml:space="preserve"> (2018).</w:t>
      </w:r>
      <w:r>
        <w:t xml:space="preserve"> </w:t>
      </w:r>
      <w:hyperlink r:id="rId87">
        <w:r>
          <w:rPr>
            <w:rStyle w:val="Hyperlink"/>
          </w:rPr>
          <w:t xml:space="preserve">A brief introduction to mixed effects modelling and multi-model inference in ecology</w:t>
        </w:r>
      </w:hyperlink>
      <w:r>
        <w:t xml:space="preserve">.</w:t>
      </w:r>
      <w:r>
        <w:t xml:space="preserve"> </w:t>
      </w:r>
      <w:r>
        <w:rPr>
          <w:i/>
          <w:iCs/>
        </w:rPr>
        <w:t xml:space="preserve">PeerJ</w:t>
      </w:r>
      <w:r>
        <w:t xml:space="preserve">, 6, e4794.</w:t>
      </w:r>
    </w:p>
    <w:bookmarkEnd w:id="88"/>
    <w:bookmarkStart w:id="90" w:name="ref-jorgensen_drosophila_2019"/>
    <w:p>
      <w:pPr>
        <w:pStyle w:val="Bibliography"/>
      </w:pPr>
      <w:r>
        <w:t xml:space="preserve">Jørgensen, L.B., Malte, H. &amp; Overgaard, J. (2019).</w:t>
      </w:r>
      <w:r>
        <w:t xml:space="preserve"> </w:t>
      </w:r>
      <w:hyperlink r:id="rId89">
        <w:r>
          <w:rPr>
            <w:rStyle w:val="Hyperlink"/>
          </w:rPr>
          <w:t xml:space="preserve">How to assess</w:t>
        </w:r>
        <w:r>
          <w:rPr>
            <w:rStyle w:val="Hyperlink"/>
          </w:rPr>
          <w:t xml:space="preserve"> </w:t>
        </w:r>
        <w:r>
          <w:rPr>
            <w:rStyle w:val="Hyperlink"/>
          </w:rPr>
          <w:t xml:space="preserve">Drosophila</w:t>
        </w:r>
        <w:r>
          <w:rPr>
            <w:rStyle w:val="Hyperlink"/>
          </w:rPr>
          <w:t xml:space="preserve"> </w:t>
        </w:r>
        <w:r>
          <w:rPr>
            <w:rStyle w:val="Hyperlink"/>
          </w:rPr>
          <w:t xml:space="preserve">heat tolerance: Unifying static and dynamic tolerance assays to predict heat distribution limits</w:t>
        </w:r>
      </w:hyperlink>
      <w:r>
        <w:t xml:space="preserve">.</w:t>
      </w:r>
      <w:r>
        <w:t xml:space="preserve"> </w:t>
      </w:r>
      <w:r>
        <w:rPr>
          <w:i/>
          <w:iCs/>
        </w:rPr>
        <w:t xml:space="preserve">Functional Ecology</w:t>
      </w:r>
      <w:r>
        <w:t xml:space="preserve">, 33, 629–642.</w:t>
      </w:r>
    </w:p>
    <w:bookmarkEnd w:id="90"/>
    <w:bookmarkStart w:id="92" w:name="ref-jorgensen_unifying_2021"/>
    <w:p>
      <w:pPr>
        <w:pStyle w:val="Bibliography"/>
      </w:pPr>
      <w:r>
        <w:t xml:space="preserve">Jørgensen, L.B., Malte, H. &amp; Overgaard, J. (2021).</w:t>
      </w:r>
      <w:r>
        <w:t xml:space="preserve"> </w:t>
      </w:r>
      <w:hyperlink r:id="rId91">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92"/>
    <w:bookmarkStart w:id="94" w:name="ref-jorgensen_nature_2022"/>
    <w:p>
      <w:pPr>
        <w:pStyle w:val="Bibliography"/>
      </w:pPr>
      <w:r>
        <w:t xml:space="preserve">Jørgensen, L.B., Ørsted, M., Malte, H., Wang, T. &amp; Overgaard, J. (2022).</w:t>
      </w:r>
      <w:r>
        <w:t xml:space="preserve"> </w:t>
      </w:r>
      <w:hyperlink r:id="rId93">
        <w:r>
          <w:rPr>
            <w:rStyle w:val="Hyperlink"/>
          </w:rPr>
          <w:t xml:space="preserve">Extreme escalation of heat failure rates in ectotherms with global warming</w:t>
        </w:r>
      </w:hyperlink>
      <w:r>
        <w:t xml:space="preserve">.</w:t>
      </w:r>
      <w:r>
        <w:t xml:space="preserve"> </w:t>
      </w:r>
      <w:r>
        <w:rPr>
          <w:i/>
          <w:iCs/>
        </w:rPr>
        <w:t xml:space="preserve">Nature</w:t>
      </w:r>
      <w:r>
        <w:t xml:space="preserve">, 611, 93–98.</w:t>
      </w:r>
    </w:p>
    <w:bookmarkEnd w:id="94"/>
    <w:bookmarkStart w:id="96" w:name="ref-koehler2009"/>
    <w:p>
      <w:pPr>
        <w:pStyle w:val="Bibliography"/>
      </w:pPr>
      <w:r>
        <w:t xml:space="preserve">Koehler, E., Brown, E. &amp; Haneuse, S.J.-P.A. (2009).</w:t>
      </w:r>
      <w:r>
        <w:t xml:space="preserve"> </w:t>
      </w:r>
      <w:hyperlink r:id="rId95">
        <w:r>
          <w:rPr>
            <w:rStyle w:val="Hyperlink"/>
          </w:rPr>
          <w:t xml:space="preserve">On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Monte Carlo Error</w:t>
        </w:r>
        <w:r>
          <w:rPr>
            <w:rStyle w:val="Hyperlink"/>
          </w:rPr>
          <w:t xml:space="preserve"> </w:t>
        </w:r>
        <w:r>
          <w:rPr>
            <w:rStyle w:val="Hyperlink"/>
          </w:rPr>
          <w:t xml:space="preserve">in</w:t>
        </w:r>
        <w:r>
          <w:rPr>
            <w:rStyle w:val="Hyperlink"/>
          </w:rPr>
          <w:t xml:space="preserve"> </w:t>
        </w:r>
        <w:r>
          <w:rPr>
            <w:rStyle w:val="Hyperlink"/>
          </w:rPr>
          <w:t xml:space="preserve">Simulation-Based Statistical Analyses</w:t>
        </w:r>
      </w:hyperlink>
      <w:r>
        <w:t xml:space="preserve">.</w:t>
      </w:r>
      <w:r>
        <w:t xml:space="preserve"> </w:t>
      </w:r>
      <w:r>
        <w:rPr>
          <w:i/>
          <w:iCs/>
        </w:rPr>
        <w:t xml:space="preserve">American Statistician</w:t>
      </w:r>
      <w:r>
        <w:t xml:space="preserve">, 63, 155–162.</w:t>
      </w:r>
    </w:p>
    <w:bookmarkEnd w:id="96"/>
    <w:bookmarkStart w:id="98"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97">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98"/>
    <w:bookmarkStart w:id="100" w:name="ref-nakagawa_santos_2012"/>
    <w:p>
      <w:pPr>
        <w:pStyle w:val="Bibliography"/>
      </w:pPr>
      <w:r>
        <w:t xml:space="preserve">Nakagawa, S. &amp; Santos, E.S.A. (2012).</w:t>
      </w:r>
      <w:r>
        <w:t xml:space="preserve"> </w:t>
      </w:r>
      <w:hyperlink r:id="rId99">
        <w:r>
          <w:rPr>
            <w:rStyle w:val="Hyperlink"/>
          </w:rPr>
          <w:t xml:space="preserve">Methodological issues and advances in biological meta-analysis</w:t>
        </w:r>
      </w:hyperlink>
      <w:r>
        <w:t xml:space="preserve">.</w:t>
      </w:r>
      <w:r>
        <w:t xml:space="preserve"> </w:t>
      </w:r>
      <w:r>
        <w:rPr>
          <w:i/>
          <w:iCs/>
        </w:rPr>
        <w:t xml:space="preserve">Evolutionary Ecology</w:t>
      </w:r>
      <w:r>
        <w:t xml:space="preserve">, 26, 1253–1274.</w:t>
      </w:r>
    </w:p>
    <w:bookmarkEnd w:id="100"/>
    <w:bookmarkStart w:id="102" w:name="ref-nielsen_nlmm_2004"/>
    <w:p>
      <w:pPr>
        <w:pStyle w:val="Bibliography"/>
      </w:pPr>
      <w:r>
        <w:t xml:space="preserve">Nielsen, O.K., Ritz, C. &amp; Streibig, J.C. (2004).</w:t>
      </w:r>
      <w:r>
        <w:t xml:space="preserve"> </w:t>
      </w:r>
      <w:hyperlink r:id="rId101">
        <w:r>
          <w:rPr>
            <w:rStyle w:val="Hyperlink"/>
          </w:rPr>
          <w:t xml:space="preserve">Nonlinear mixed-model regression to analyze herbicide dose-response relationships</w:t>
        </w:r>
      </w:hyperlink>
      <w:r>
        <w:t xml:space="preserve">.</w:t>
      </w:r>
      <w:r>
        <w:t xml:space="preserve"> </w:t>
      </w:r>
      <w:r>
        <w:rPr>
          <w:i/>
          <w:iCs/>
        </w:rPr>
        <w:t xml:space="preserve">Weed Technology</w:t>
      </w:r>
      <w:r>
        <w:t xml:space="preserve">, 18, 30–37.</w:t>
      </w:r>
    </w:p>
    <w:bookmarkEnd w:id="102"/>
    <w:bookmarkStart w:id="104"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103">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104"/>
    <w:bookmarkStart w:id="106" w:name="ref-orsted_finding_2022"/>
    <w:p>
      <w:pPr>
        <w:pStyle w:val="Bibliography"/>
      </w:pPr>
      <w:r>
        <w:t xml:space="preserve">Ørsted, M., Jørgensen, L.B. &amp; Overgaard, J. (2022).</w:t>
      </w:r>
      <w:r>
        <w:t xml:space="preserve"> </w:t>
      </w:r>
      <w:hyperlink r:id="rId105">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106"/>
    <w:bookmarkStart w:id="108" w:name="ref-orsted_suzukii_2024"/>
    <w:p>
      <w:pPr>
        <w:pStyle w:val="Bibliography"/>
      </w:pPr>
      <w:r>
        <w:t xml:space="preserve">Ørsted, M., Willot, Q., Olsen, A.K., Kongsgaard, V. &amp; Overgaard, J. (2024).</w:t>
      </w:r>
      <w:r>
        <w:t xml:space="preserve"> </w:t>
      </w:r>
      <w:hyperlink r:id="rId107">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108"/>
    <w:bookmarkStart w:id="110" w:name="ref-pinsky_marine_2019"/>
    <w:p>
      <w:pPr>
        <w:pStyle w:val="Bibliography"/>
      </w:pPr>
      <w:r>
        <w:t xml:space="preserve">Pinsky, M.L., Eikeset, A.M., McCauley, D.J., Payne, J.L. &amp; Sunday, J.M. (2019).</w:t>
      </w:r>
      <w:r>
        <w:t xml:space="preserve"> </w:t>
      </w:r>
      <w:hyperlink r:id="rId109">
        <w:r>
          <w:rPr>
            <w:rStyle w:val="Hyperlink"/>
          </w:rPr>
          <w:t xml:space="preserve">Greater vulnerability to warming of marine versus terrestrial ectotherms</w:t>
        </w:r>
      </w:hyperlink>
      <w:r>
        <w:t xml:space="preserve">.</w:t>
      </w:r>
      <w:r>
        <w:t xml:space="preserve"> </w:t>
      </w:r>
      <w:r>
        <w:rPr>
          <w:i/>
          <w:iCs/>
        </w:rPr>
        <w:t xml:space="preserve">Nature</w:t>
      </w:r>
      <w:r>
        <w:t xml:space="preserve">, 569, 108–111.</w:t>
      </w:r>
    </w:p>
    <w:bookmarkEnd w:id="110"/>
    <w:bookmarkStart w:id="112" w:name="ref-pottier_amphibians_2025"/>
    <w:p>
      <w:pPr>
        <w:pStyle w:val="Bibliography"/>
      </w:pPr>
      <w:r>
        <w:t xml:space="preserve">Pottier, P., Kearney, M.R., Wu, N.C., Gunderson, A.R., Rej, J.E., Rivera-Villanueva, A.N.,</w:t>
      </w:r>
      <w:r>
        <w:t xml:space="preserve"> </w:t>
      </w:r>
      <w:r>
        <w:rPr>
          <w:i/>
          <w:iCs/>
        </w:rPr>
        <w:t xml:space="preserve">et al.</w:t>
      </w:r>
      <w:r>
        <w:t xml:space="preserve"> (2025).</w:t>
      </w:r>
      <w:r>
        <w:t xml:space="preserve"> </w:t>
      </w:r>
      <w:hyperlink r:id="rId111">
        <w:r>
          <w:rPr>
            <w:rStyle w:val="Hyperlink"/>
          </w:rPr>
          <w:t xml:space="preserve">Vulnerability of amphibians to global warming</w:t>
        </w:r>
      </w:hyperlink>
      <w:r>
        <w:t xml:space="preserve">.</w:t>
      </w:r>
      <w:r>
        <w:t xml:space="preserve"> </w:t>
      </w:r>
      <w:r>
        <w:rPr>
          <w:i/>
          <w:iCs/>
        </w:rPr>
        <w:t xml:space="preserve">Nature</w:t>
      </w:r>
      <w:r>
        <w:t xml:space="preserve">, 639, 954–961.</w:t>
      </w:r>
    </w:p>
    <w:bookmarkEnd w:id="112"/>
    <w:bookmarkStart w:id="114" w:name="ref-rezende_drosophila_mortality_2020"/>
    <w:p>
      <w:pPr>
        <w:pStyle w:val="Bibliography"/>
      </w:pPr>
      <w:r>
        <w:t xml:space="preserve">Rezende, E.L., Bozinovic, F., Szilágyi, A. &amp; Santos, M. (2020).</w:t>
      </w:r>
      <w:r>
        <w:t xml:space="preserve"> </w:t>
      </w:r>
      <w:hyperlink r:id="rId113">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114"/>
    <w:bookmarkStart w:id="116" w:name="ref-rezende_landscapes_2014"/>
    <w:p>
      <w:pPr>
        <w:pStyle w:val="Bibliography"/>
      </w:pPr>
      <w:r>
        <w:t xml:space="preserve">Rezende, E.L., Castañeda, L.E. &amp; Santos, M. (2014).</w:t>
      </w:r>
      <w:r>
        <w:t xml:space="preserve"> </w:t>
      </w:r>
      <w:hyperlink r:id="rId115">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116"/>
    <w:bookmarkStart w:id="118" w:name="ref-ritz_ecotox_2010"/>
    <w:p>
      <w:pPr>
        <w:pStyle w:val="Bibliography"/>
      </w:pPr>
      <w:r>
        <w:t xml:space="preserve">Ritz, C. (2010).</w:t>
      </w:r>
      <w:r>
        <w:t xml:space="preserve"> </w:t>
      </w:r>
      <w:hyperlink r:id="rId117">
        <w:r>
          <w:rPr>
            <w:rStyle w:val="Hyperlink"/>
          </w:rPr>
          <w:t xml:space="preserve">Toward a unified approach to dose-response modeling in ecotoxicology</w:t>
        </w:r>
      </w:hyperlink>
      <w:r>
        <w:t xml:space="preserve">.</w:t>
      </w:r>
      <w:r>
        <w:t xml:space="preserve"> </w:t>
      </w:r>
      <w:r>
        <w:rPr>
          <w:i/>
          <w:iCs/>
        </w:rPr>
        <w:t xml:space="preserve">Environmental Toxicology and Chemistry</w:t>
      </w:r>
      <w:r>
        <w:t xml:space="preserve">, 29, 220–229.</w:t>
      </w:r>
    </w:p>
    <w:bookmarkEnd w:id="118"/>
    <w:bookmarkStart w:id="120" w:name="ref-ritz_drc_2015"/>
    <w:p>
      <w:pPr>
        <w:pStyle w:val="Bibliography"/>
      </w:pPr>
      <w:r>
        <w:t xml:space="preserve">Ritz, C., Baty, F., Streibig, J.C. &amp; Gerhard, D. (2015).</w:t>
      </w:r>
      <w:r>
        <w:t xml:space="preserve"> </w:t>
      </w:r>
      <w:hyperlink r:id="rId119">
        <w:r>
          <w:rPr>
            <w:rStyle w:val="Hyperlink"/>
          </w:rPr>
          <w:t xml:space="preserve">Dose-response analysis using</w:t>
        </w:r>
        <w:r>
          <w:rPr>
            <w:rStyle w:val="Hyperlink"/>
          </w:rPr>
          <w:t xml:space="preserve"> </w:t>
        </w:r>
        <w:r>
          <w:rPr>
            <w:rStyle w:val="Hyperlink"/>
          </w:rPr>
          <w:t xml:space="preserve">R</w:t>
        </w:r>
      </w:hyperlink>
      <w:r>
        <w:t xml:space="preserve">.</w:t>
      </w:r>
      <w:r>
        <w:t xml:space="preserve"> </w:t>
      </w:r>
      <w:r>
        <w:rPr>
          <w:i/>
          <w:iCs/>
        </w:rPr>
        <w:t xml:space="preserve">PLoS ONE</w:t>
      </w:r>
      <w:r>
        <w:t xml:space="preserve">, 10, e0146021.</w:t>
      </w:r>
    </w:p>
    <w:bookmarkEnd w:id="120"/>
    <w:bookmarkStart w:id="122" w:name="ref-ritz_streibig_2008"/>
    <w:p>
      <w:pPr>
        <w:pStyle w:val="Bibliography"/>
      </w:pPr>
      <w:r>
        <w:t xml:space="preserve">Ritz, C. &amp; Streibig, J.C. (2008).</w:t>
      </w:r>
      <w:r>
        <w:t xml:space="preserve"> </w:t>
      </w:r>
      <w:hyperlink r:id="rId121">
        <w:r>
          <w:rPr>
            <w:rStyle w:val="Hyperlink"/>
            <w:i/>
            <w:iCs/>
          </w:rPr>
          <w:t xml:space="preserve">Nonlinear regression with</w:t>
        </w:r>
        <w:r>
          <w:rPr>
            <w:rStyle w:val="Hyperlink"/>
            <w:i/>
            <w:iCs/>
          </w:rPr>
          <w:t xml:space="preserve"> </w:t>
        </w:r>
        <w:r>
          <w:rPr>
            <w:rStyle w:val="Hyperlink"/>
            <w:i/>
            <w:iCs/>
          </w:rPr>
          <w:t xml:space="preserve">R</w:t>
        </w:r>
      </w:hyperlink>
      <w:r>
        <w:t xml:space="preserve">. Springer-Verlag, New York.</w:t>
      </w:r>
    </w:p>
    <w:bookmarkEnd w:id="122"/>
    <w:bookmarkStart w:id="124" w:name="ref-rudemo_random_1989"/>
    <w:p>
      <w:pPr>
        <w:pStyle w:val="Bibliography"/>
      </w:pPr>
      <w:r>
        <w:t xml:space="preserve">Rudemo, M., Ruppert, D. &amp; Streibig, J.C. (1989).</w:t>
      </w:r>
      <w:r>
        <w:t xml:space="preserve"> </w:t>
      </w:r>
      <w:hyperlink r:id="rId123">
        <w:r>
          <w:rPr>
            <w:rStyle w:val="Hyperlink"/>
          </w:rPr>
          <w:t xml:space="preserve">Random-effect models in nonlinear regression with applications to bioassay</w:t>
        </w:r>
      </w:hyperlink>
      <w:r>
        <w:t xml:space="preserve">.</w:t>
      </w:r>
      <w:r>
        <w:t xml:space="preserve"> </w:t>
      </w:r>
      <w:r>
        <w:rPr>
          <w:i/>
          <w:iCs/>
        </w:rPr>
        <w:t xml:space="preserve">Biometrics. Journal of the International Biometric Society</w:t>
      </w:r>
      <w:r>
        <w:t xml:space="preserve">, 45, 349–362.</w:t>
      </w:r>
    </w:p>
    <w:bookmarkEnd w:id="124"/>
    <w:bookmarkStart w:id="126" w:name="ref-schielzeth_centering_2010"/>
    <w:p>
      <w:pPr>
        <w:pStyle w:val="Bibliography"/>
      </w:pPr>
      <w:r>
        <w:t xml:space="preserve">Schielzeth, H. (2010).</w:t>
      </w:r>
      <w:r>
        <w:t xml:space="preserve"> </w:t>
      </w:r>
      <w:hyperlink r:id="rId125">
        <w:r>
          <w:rPr>
            <w:rStyle w:val="Hyperlink"/>
          </w:rPr>
          <w:t xml:space="preserve">Simple means to improve the interpretability of regression coefficients</w:t>
        </w:r>
      </w:hyperlink>
      <w:r>
        <w:t xml:space="preserve">.</w:t>
      </w:r>
      <w:r>
        <w:t xml:space="preserve"> </w:t>
      </w:r>
      <w:r>
        <w:rPr>
          <w:i/>
          <w:iCs/>
        </w:rPr>
        <w:t xml:space="preserve">Methods in Ecology and Evolution</w:t>
      </w:r>
      <w:r>
        <w:t xml:space="preserve">, 1, 103–113.</w:t>
      </w:r>
    </w:p>
    <w:bookmarkEnd w:id="126"/>
    <w:bookmarkStart w:id="128" w:name="ref-smale_marine_2019"/>
    <w:p>
      <w:pPr>
        <w:pStyle w:val="Bibliography"/>
      </w:pPr>
      <w:r>
        <w:t xml:space="preserve">Smale, D.A., Wernberg, T., Oliver, E.C.J., Thomsen, M., Harvey, B.P., Straub, S.C.,</w:t>
      </w:r>
      <w:r>
        <w:t xml:space="preserve"> </w:t>
      </w:r>
      <w:r>
        <w:rPr>
          <w:i/>
          <w:iCs/>
        </w:rPr>
        <w:t xml:space="preserve">et al.</w:t>
      </w:r>
      <w:r>
        <w:t xml:space="preserve"> (2019).</w:t>
      </w:r>
      <w:r>
        <w:t xml:space="preserve"> </w:t>
      </w:r>
      <w:hyperlink r:id="rId127">
        <w:r>
          <w:rPr>
            <w:rStyle w:val="Hyperlink"/>
          </w:rPr>
          <w:t xml:space="preserve">Marine heatwaves threaten global biodiversity and the provision of ecosystem services</w:t>
        </w:r>
      </w:hyperlink>
      <w:r>
        <w:t xml:space="preserve">.</w:t>
      </w:r>
      <w:r>
        <w:t xml:space="preserve"> </w:t>
      </w:r>
      <w:r>
        <w:rPr>
          <w:i/>
          <w:iCs/>
        </w:rPr>
        <w:t xml:space="preserve">Nature Climate Change</w:t>
      </w:r>
      <w:r>
        <w:t xml:space="preserve">, 9, 306–312.</w:t>
      </w:r>
    </w:p>
    <w:bookmarkEnd w:id="128"/>
    <w:bookmarkStart w:id="130" w:name="ref-snook_fertility_2026"/>
    <w:p>
      <w:pPr>
        <w:pStyle w:val="Bibliography"/>
      </w:pPr>
      <w:r>
        <w:t xml:space="preserve">Snook, R.R., Bretman, A., Dougherty, L.R. &amp; Fricke, C. (2026).</w:t>
      </w:r>
      <w:r>
        <w:t xml:space="preserve"> </w:t>
      </w:r>
      <w:hyperlink r:id="rId129">
        <w:r>
          <w:rPr>
            <w:rStyle w:val="Hyperlink"/>
          </w:rPr>
          <w:t xml:space="preserve">The consequences of rising temperatures for animal fertility</w:t>
        </w:r>
      </w:hyperlink>
      <w:r>
        <w:t xml:space="preserve">.</w:t>
      </w:r>
      <w:r>
        <w:t xml:space="preserve"> </w:t>
      </w:r>
      <w:r>
        <w:rPr>
          <w:i/>
          <w:iCs/>
        </w:rPr>
        <w:t xml:space="preserve">Nature Reviews Biodiversity</w:t>
      </w:r>
      <w:r>
        <w:t xml:space="preserve">, 2, 225–241.</w:t>
      </w:r>
    </w:p>
    <w:bookmarkEnd w:id="130"/>
    <w:bookmarkStart w:id="132" w:name="ref-sunday_global_2011"/>
    <w:p>
      <w:pPr>
        <w:pStyle w:val="Bibliography"/>
      </w:pPr>
      <w:r>
        <w:t xml:space="preserve">Sunday, J.M., Bates, A.E. &amp; Dulvy, N.K. (2011).</w:t>
      </w:r>
      <w:r>
        <w:t xml:space="preserve"> </w:t>
      </w:r>
      <w:hyperlink r:id="rId131">
        <w:r>
          <w:rPr>
            <w:rStyle w:val="Hyperlink"/>
          </w:rPr>
          <w:t xml:space="preserve">Global analysis of thermal tolerance and latitude in ectotherms</w:t>
        </w:r>
      </w:hyperlink>
      <w:r>
        <w:t xml:space="preserve">.</w:t>
      </w:r>
      <w:r>
        <w:t xml:space="preserve"> </w:t>
      </w:r>
      <w:r>
        <w:rPr>
          <w:i/>
          <w:iCs/>
        </w:rPr>
        <w:t xml:space="preserve">Proceedings of the Royal Society B: Biological Sciences</w:t>
      </w:r>
      <w:r>
        <w:t xml:space="preserve">, 278, 1823–1830.</w:t>
      </w:r>
    </w:p>
    <w:bookmarkEnd w:id="132"/>
    <w:bookmarkStart w:id="134" w:name="ref-sunday_redistribution_2012"/>
    <w:p>
      <w:pPr>
        <w:pStyle w:val="Bibliography"/>
      </w:pPr>
      <w:r>
        <w:t xml:space="preserve">Sunday, J.M., Bates, A.E. &amp; Dulvy, N.K. (2012).</w:t>
      </w:r>
      <w:r>
        <w:t xml:space="preserve"> </w:t>
      </w:r>
      <w:hyperlink r:id="rId133">
        <w:r>
          <w:rPr>
            <w:rStyle w:val="Hyperlink"/>
          </w:rPr>
          <w:t xml:space="preserve">Thermal tolerance and the global redistribution of animals</w:t>
        </w:r>
      </w:hyperlink>
      <w:r>
        <w:t xml:space="preserve">.</w:t>
      </w:r>
      <w:r>
        <w:t xml:space="preserve"> </w:t>
      </w:r>
      <w:r>
        <w:rPr>
          <w:i/>
          <w:iCs/>
        </w:rPr>
        <w:t xml:space="preserve">Nature Climate Change</w:t>
      </w:r>
      <w:r>
        <w:t xml:space="preserve">, 2, 686–690.</w:t>
      </w:r>
    </w:p>
    <w:bookmarkEnd w:id="134"/>
    <w:bookmarkStart w:id="136" w:name="ref-truebano2018"/>
    <w:p>
      <w:pPr>
        <w:pStyle w:val="Bibliography"/>
      </w:pPr>
      <w:r>
        <w:t xml:space="preserve">Truebano, M., Fenner, P., Tills, O., Rundle, S. &amp; Rezende, E. (2018).</w:t>
      </w:r>
      <w:r>
        <w:t xml:space="preserve"> </w:t>
      </w:r>
      <w:hyperlink r:id="rId135">
        <w:r>
          <w:rPr>
            <w:rStyle w:val="Hyperlink"/>
          </w:rPr>
          <w:t xml:space="preserve">Thermal strategies vary with life history stage</w:t>
        </w:r>
      </w:hyperlink>
      <w:r>
        <w:t xml:space="preserve">.</w:t>
      </w:r>
      <w:r>
        <w:t xml:space="preserve"> </w:t>
      </w:r>
      <w:r>
        <w:rPr>
          <w:i/>
          <w:iCs/>
        </w:rPr>
        <w:t xml:space="preserve">Journal of Experimental Biology</w:t>
      </w:r>
      <w:r>
        <w:t xml:space="preserve">, 221, jeb171629.</w:t>
      </w:r>
    </w:p>
    <w:bookmarkEnd w:id="136"/>
    <w:bookmarkStart w:id="138" w:name="ref-villeneuve_dynamic_2024"/>
    <w:p>
      <w:pPr>
        <w:pStyle w:val="Bibliography"/>
      </w:pPr>
      <w:r>
        <w:t xml:space="preserve">Villeneuve, A.R. &amp; White, E.R. (2024).</w:t>
      </w:r>
      <w:r>
        <w:t xml:space="preserve"> </w:t>
      </w:r>
      <w:hyperlink r:id="rId137">
        <w:r>
          <w:rPr>
            <w:rStyle w:val="Hyperlink"/>
          </w:rPr>
          <w:t xml:space="preserve">Predicting organismal response to marine heatwaves using dynamic thermal tolerance landscape models</w:t>
        </w:r>
      </w:hyperlink>
      <w:r>
        <w:t xml:space="preserve">.</w:t>
      </w:r>
      <w:r>
        <w:t xml:space="preserve"> </w:t>
      </w:r>
      <w:r>
        <w:rPr>
          <w:i/>
          <w:iCs/>
        </w:rPr>
        <w:t xml:space="preserve">Journal of Animal Ecology</w:t>
      </w:r>
      <w:r>
        <w:t xml:space="preserve">, 94, 1515–1527.</w:t>
      </w:r>
    </w:p>
    <w:bookmarkEnd w:id="138"/>
    <w:bookmarkStart w:id="140" w:name="ref-wiens_localextinctions_2016"/>
    <w:p>
      <w:pPr>
        <w:pStyle w:val="Bibliography"/>
      </w:pPr>
      <w:r>
        <w:t xml:space="preserve">Wiens, J.J. (2016).</w:t>
      </w:r>
      <w:r>
        <w:t xml:space="preserve"> </w:t>
      </w:r>
      <w:hyperlink r:id="rId139">
        <w:r>
          <w:rPr>
            <w:rStyle w:val="Hyperlink"/>
          </w:rPr>
          <w:t xml:space="preserve">Climate-related local extinctions are already widespread among plant and animal species</w:t>
        </w:r>
      </w:hyperlink>
      <w:r>
        <w:t xml:space="preserve">.</w:t>
      </w:r>
      <w:r>
        <w:t xml:space="preserve"> </w:t>
      </w:r>
      <w:r>
        <w:rPr>
          <w:i/>
          <w:iCs/>
        </w:rPr>
        <w:t xml:space="preserve">PLOS Biology</w:t>
      </w:r>
      <w:r>
        <w:t xml:space="preserve">, 14, e2001104.</w:t>
      </w:r>
    </w:p>
    <w:bookmarkEnd w:id="140"/>
    <w:bookmarkStart w:id="142" w:name="ref-williams2024"/>
    <w:p>
      <w:pPr>
        <w:pStyle w:val="Bibliography"/>
      </w:pPr>
      <w:r>
        <w:t xml:space="preserve">Williams, C., Yang, Y., Lagisz, M., Morrison, K., Ricolfi, L., Warton, D.I.,</w:t>
      </w:r>
      <w:r>
        <w:t xml:space="preserve"> </w:t>
      </w:r>
      <w:r>
        <w:rPr>
          <w:i/>
          <w:iCs/>
        </w:rPr>
        <w:t xml:space="preserve">et al.</w:t>
      </w:r>
      <w:r>
        <w:t xml:space="preserve"> (2024).</w:t>
      </w:r>
      <w:r>
        <w:t xml:space="preserve"> </w:t>
      </w:r>
      <w:hyperlink r:id="rId141">
        <w:r>
          <w:rPr>
            <w:rStyle w:val="Hyperlink"/>
          </w:rPr>
          <w:t xml:space="preserve">Transparent reporting items for simulation studies evaluating statistical methods: Foundations for reproducibility and reliability</w:t>
        </w:r>
      </w:hyperlink>
      <w:r>
        <w:t xml:space="preserve">.</w:t>
      </w:r>
      <w:r>
        <w:t xml:space="preserve"> </w:t>
      </w:r>
      <w:r>
        <w:rPr>
          <w:i/>
          <w:iCs/>
        </w:rPr>
        <w:t xml:space="preserve">Methods in Ecology and Evolution</w:t>
      </w:r>
      <w:r>
        <w:t xml:space="preserve">, 15, 1926–1939.</w:t>
      </w:r>
    </w:p>
    <w:bookmarkEnd w:id="142"/>
    <w:bookmarkStart w:id="144" w:name="ref-zamora2026"/>
    <w:p>
      <w:pPr>
        <w:pStyle w:val="Bibliography"/>
      </w:pPr>
      <w:r>
        <w:t xml:space="preserve">Zamora, C.A., Avilés-Hernández, D., Molina, A.N., Carter, M.J. &amp; Rezende, E.L. (2026).</w:t>
      </w:r>
      <w:r>
        <w:t xml:space="preserve"> </w:t>
      </w:r>
      <w:hyperlink r:id="rId143">
        <w:r>
          <w:rPr>
            <w:rStyle w:val="Hyperlink"/>
          </w:rPr>
          <w:t xml:space="preserve">Predicting heat mortality in freshwater communities: Temperature and oxygen effects</w:t>
        </w:r>
      </w:hyperlink>
      <w:r>
        <w:t xml:space="preserve">.</w:t>
      </w:r>
      <w:r>
        <w:t xml:space="preserve"> </w:t>
      </w:r>
      <w:r>
        <w:rPr>
          <w:i/>
          <w:iCs/>
        </w:rPr>
        <w:t xml:space="preserve">Ecography</w:t>
      </w:r>
      <w:r>
        <w:t xml:space="preserve">, 2026, e08277.</w:t>
      </w:r>
    </w:p>
    <w:bookmarkEnd w:id="144"/>
    <w:bookmarkEnd w:id="145"/>
    <w:bookmarkEnd w:id="146"/>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hyperlink" Id="rId143" Target="https://doi.org/10.1002/ecog.08277" TargetMode="External" /><Relationship Type="http://schemas.openxmlformats.org/officeDocument/2006/relationships/hyperlink" Id="rId117" Target="https://doi.org/10.1002/etc.7" TargetMode="External" /><Relationship Type="http://schemas.openxmlformats.org/officeDocument/2006/relationships/hyperlink" Id="rId73" Target="https://doi.org/10.1002/sim.7141" TargetMode="External" /><Relationship Type="http://schemas.openxmlformats.org/officeDocument/2006/relationships/hyperlink" Id="rId121" Target="https://doi.org/10.1007/978-0-387-09616-2" TargetMode="External" /><Relationship Type="http://schemas.openxmlformats.org/officeDocument/2006/relationships/hyperlink" Id="rId99" Target="https://doi.org/10.1007/s10682-012-9555-5" TargetMode="External" /><Relationship Type="http://schemas.openxmlformats.org/officeDocument/2006/relationships/hyperlink" Id="rId97" Target="https://doi.org/10.1016/j.jtherbio.2023.103583" TargetMode="External" /><Relationship Type="http://schemas.openxmlformats.org/officeDocument/2006/relationships/hyperlink" Id="rId103" Target="https://doi.org/10.1016/j.tree.2026.01.009" TargetMode="External" /><Relationship Type="http://schemas.openxmlformats.org/officeDocument/2006/relationships/hyperlink" Id="rId133" Target="https://doi.org/10.1038/nclimate1539" TargetMode="External" /><Relationship Type="http://schemas.openxmlformats.org/officeDocument/2006/relationships/hyperlink" Id="rId127" Target="https://doi.org/10.1038/s41558-019-0412-1" TargetMode="External" /><Relationship Type="http://schemas.openxmlformats.org/officeDocument/2006/relationships/hyperlink" Id="rId109" Target="https://doi.org/10.1038/s41586-019-1132-4" TargetMode="External" /><Relationship Type="http://schemas.openxmlformats.org/officeDocument/2006/relationships/hyperlink" Id="rId93" Target="https://doi.org/10.1038/s41586-022-05334-4" TargetMode="External" /><Relationship Type="http://schemas.openxmlformats.org/officeDocument/2006/relationships/hyperlink" Id="rId111" Target="https://doi.org/10.1038/s41586-025-08665-0" TargetMode="External" /><Relationship Type="http://schemas.openxmlformats.org/officeDocument/2006/relationships/hyperlink" Id="rId91" Target="https://doi.org/10.1038/s41598-021-92004-6" TargetMode="External" /><Relationship Type="http://schemas.openxmlformats.org/officeDocument/2006/relationships/hyperlink" Id="rId129" Target="https://doi.org/10.1038/s44358-026-00142-4" TargetMode="External" /><Relationship Type="http://schemas.openxmlformats.org/officeDocument/2006/relationships/hyperlink" Id="rId77" Target="https://doi.org/10.1073/pnas.0709472105" TargetMode="External" /><Relationship Type="http://schemas.openxmlformats.org/officeDocument/2006/relationships/hyperlink" Id="rId71" Target="https://doi.org/10.1093/icb/icaf019" TargetMode="External" /><Relationship Type="http://schemas.openxmlformats.org/officeDocument/2006/relationships/hyperlink" Id="rId81" Target="https://doi.org/10.1093/jxb/erae096" TargetMode="External" /><Relationship Type="http://schemas.openxmlformats.org/officeDocument/2006/relationships/hyperlink" Id="rId131" Target="https://doi.org/10.1098/rspb.2010.1295" TargetMode="External" /><Relationship Type="http://schemas.openxmlformats.org/officeDocument/2006/relationships/hyperlink" Id="rId115" Target="https://doi.org/10.1111/1365-2435.12268" TargetMode="External" /><Relationship Type="http://schemas.openxmlformats.org/officeDocument/2006/relationships/hyperlink" Id="rId89" Target="https://doi.org/10.1111/1365-2435.13279" TargetMode="External" /><Relationship Type="http://schemas.openxmlformats.org/officeDocument/2006/relationships/hyperlink" Id="rId137" Target="https://doi.org/10.1111/1365-2656.14120" TargetMode="External" /><Relationship Type="http://schemas.openxmlformats.org/officeDocument/2006/relationships/hyperlink" Id="rId79" Target="https://doi.org/10.1111/2041-210X.14030" TargetMode="External" /><Relationship Type="http://schemas.openxmlformats.org/officeDocument/2006/relationships/hyperlink" Id="rId141" Target="https://doi.org/10.1111/2041-210x.14415" TargetMode="External" /><Relationship Type="http://schemas.openxmlformats.org/officeDocument/2006/relationships/hyperlink" Id="rId107" Target="https://doi.org/10.1111/ele.14421" TargetMode="External" /><Relationship Type="http://schemas.openxmlformats.org/officeDocument/2006/relationships/hyperlink" Id="rId68" Target="https://doi.org/10.1111/gcb.70315" TargetMode="External" /><Relationship Type="http://schemas.openxmlformats.org/officeDocument/2006/relationships/hyperlink" Id="rId125" Target="https://doi.org/10.1111/j.2041-210X.2010.00012.x" TargetMode="External" /><Relationship Type="http://schemas.openxmlformats.org/officeDocument/2006/relationships/hyperlink" Id="rId113" Target="https://doi.org/10.1126/science.aba9287" TargetMode="External" /><Relationship Type="http://schemas.openxmlformats.org/officeDocument/2006/relationships/hyperlink" Id="rId95" Target="https://doi.org/10.1198/tast.2009.0030" TargetMode="External" /><Relationship Type="http://schemas.openxmlformats.org/officeDocument/2006/relationships/hyperlink" Id="rId75" Target="https://doi.org/10.1201/9781420010138" TargetMode="External" /><Relationship Type="http://schemas.openxmlformats.org/officeDocument/2006/relationships/hyperlink" Id="rId83" Target="https://doi.org/10.1214/06-BA117A" TargetMode="External" /><Relationship Type="http://schemas.openxmlformats.org/officeDocument/2006/relationships/hyperlink" Id="rId135" Target="https://doi.org/10.1242/jeb.171629" TargetMode="External" /><Relationship Type="http://schemas.openxmlformats.org/officeDocument/2006/relationships/hyperlink" Id="rId105" Target="https://doi.org/10.1242/jeb.244514" TargetMode="External" /><Relationship Type="http://schemas.openxmlformats.org/officeDocument/2006/relationships/hyperlink" Id="rId139" Target="https://doi.org/10.1371/journal.pbio.2001104" TargetMode="External" /><Relationship Type="http://schemas.openxmlformats.org/officeDocument/2006/relationships/hyperlink" Id="rId119" Target="https://doi.org/10.1371/journal.pone.0146021" TargetMode="External" /><Relationship Type="http://schemas.openxmlformats.org/officeDocument/2006/relationships/hyperlink" Id="rId101" Target="https://doi.org/10.1614/WT-03-070R1" TargetMode="External" /><Relationship Type="http://schemas.openxmlformats.org/officeDocument/2006/relationships/hyperlink" Id="rId123" Target="https://doi.org/10.2307/2531483" TargetMode="External" /><Relationship Type="http://schemas.openxmlformats.org/officeDocument/2006/relationships/hyperlink" Id="rId87" Target="https://doi.org/10.7717/peerj.4794" TargetMode="External" /><Relationship Type="http://schemas.openxmlformats.org/officeDocument/2006/relationships/hyperlink" Id="rId85" Target="https://doi.org/10.7717/peerj.616" TargetMode="External" /></Relationships>
</file>

<file path=word/_rels/footnotes.xml.rels><?xml version="1.0" encoding="UTF-8"?><Relationships xmlns="http://schemas.openxmlformats.org/package/2006/relationships"><Relationship Type="http://schemas.openxmlformats.org/officeDocument/2006/relationships/hyperlink" Id="rId143" Target="https://doi.org/10.1002/ecog.08277" TargetMode="External" /><Relationship Type="http://schemas.openxmlformats.org/officeDocument/2006/relationships/hyperlink" Id="rId117" Target="https://doi.org/10.1002/etc.7" TargetMode="External" /><Relationship Type="http://schemas.openxmlformats.org/officeDocument/2006/relationships/hyperlink" Id="rId73" Target="https://doi.org/10.1002/sim.7141" TargetMode="External" /><Relationship Type="http://schemas.openxmlformats.org/officeDocument/2006/relationships/hyperlink" Id="rId121" Target="https://doi.org/10.1007/978-0-387-09616-2" TargetMode="External" /><Relationship Type="http://schemas.openxmlformats.org/officeDocument/2006/relationships/hyperlink" Id="rId99" Target="https://doi.org/10.1007/s10682-012-9555-5" TargetMode="External" /><Relationship Type="http://schemas.openxmlformats.org/officeDocument/2006/relationships/hyperlink" Id="rId97" Target="https://doi.org/10.1016/j.jtherbio.2023.103583" TargetMode="External" /><Relationship Type="http://schemas.openxmlformats.org/officeDocument/2006/relationships/hyperlink" Id="rId103" Target="https://doi.org/10.1016/j.tree.2026.01.009" TargetMode="External" /><Relationship Type="http://schemas.openxmlformats.org/officeDocument/2006/relationships/hyperlink" Id="rId133" Target="https://doi.org/10.1038/nclimate1539" TargetMode="External" /><Relationship Type="http://schemas.openxmlformats.org/officeDocument/2006/relationships/hyperlink" Id="rId127" Target="https://doi.org/10.1038/s41558-019-0412-1" TargetMode="External" /><Relationship Type="http://schemas.openxmlformats.org/officeDocument/2006/relationships/hyperlink" Id="rId109" Target="https://doi.org/10.1038/s41586-019-1132-4" TargetMode="External" /><Relationship Type="http://schemas.openxmlformats.org/officeDocument/2006/relationships/hyperlink" Id="rId93" Target="https://doi.org/10.1038/s41586-022-05334-4" TargetMode="External" /><Relationship Type="http://schemas.openxmlformats.org/officeDocument/2006/relationships/hyperlink" Id="rId111" Target="https://doi.org/10.1038/s41586-025-08665-0" TargetMode="External" /><Relationship Type="http://schemas.openxmlformats.org/officeDocument/2006/relationships/hyperlink" Id="rId91" Target="https://doi.org/10.1038/s41598-021-92004-6" TargetMode="External" /><Relationship Type="http://schemas.openxmlformats.org/officeDocument/2006/relationships/hyperlink" Id="rId129" Target="https://doi.org/10.1038/s44358-026-00142-4" TargetMode="External" /><Relationship Type="http://schemas.openxmlformats.org/officeDocument/2006/relationships/hyperlink" Id="rId77" Target="https://doi.org/10.1073/pnas.0709472105" TargetMode="External" /><Relationship Type="http://schemas.openxmlformats.org/officeDocument/2006/relationships/hyperlink" Id="rId71" Target="https://doi.org/10.1093/icb/icaf019" TargetMode="External" /><Relationship Type="http://schemas.openxmlformats.org/officeDocument/2006/relationships/hyperlink" Id="rId81" Target="https://doi.org/10.1093/jxb/erae096" TargetMode="External" /><Relationship Type="http://schemas.openxmlformats.org/officeDocument/2006/relationships/hyperlink" Id="rId131" Target="https://doi.org/10.1098/rspb.2010.1295" TargetMode="External" /><Relationship Type="http://schemas.openxmlformats.org/officeDocument/2006/relationships/hyperlink" Id="rId115" Target="https://doi.org/10.1111/1365-2435.12268" TargetMode="External" /><Relationship Type="http://schemas.openxmlformats.org/officeDocument/2006/relationships/hyperlink" Id="rId89" Target="https://doi.org/10.1111/1365-2435.13279" TargetMode="External" /><Relationship Type="http://schemas.openxmlformats.org/officeDocument/2006/relationships/hyperlink" Id="rId137" Target="https://doi.org/10.1111/1365-2656.14120" TargetMode="External" /><Relationship Type="http://schemas.openxmlformats.org/officeDocument/2006/relationships/hyperlink" Id="rId79" Target="https://doi.org/10.1111/2041-210X.14030" TargetMode="External" /><Relationship Type="http://schemas.openxmlformats.org/officeDocument/2006/relationships/hyperlink" Id="rId141" Target="https://doi.org/10.1111/2041-210x.14415" TargetMode="External" /><Relationship Type="http://schemas.openxmlformats.org/officeDocument/2006/relationships/hyperlink" Id="rId107" Target="https://doi.org/10.1111/ele.14421" TargetMode="External" /><Relationship Type="http://schemas.openxmlformats.org/officeDocument/2006/relationships/hyperlink" Id="rId68" Target="https://doi.org/10.1111/gcb.70315" TargetMode="External" /><Relationship Type="http://schemas.openxmlformats.org/officeDocument/2006/relationships/hyperlink" Id="rId125" Target="https://doi.org/10.1111/j.2041-210X.2010.00012.x" TargetMode="External" /><Relationship Type="http://schemas.openxmlformats.org/officeDocument/2006/relationships/hyperlink" Id="rId113" Target="https://doi.org/10.1126/science.aba9287" TargetMode="External" /><Relationship Type="http://schemas.openxmlformats.org/officeDocument/2006/relationships/hyperlink" Id="rId95" Target="https://doi.org/10.1198/tast.2009.0030" TargetMode="External" /><Relationship Type="http://schemas.openxmlformats.org/officeDocument/2006/relationships/hyperlink" Id="rId75" Target="https://doi.org/10.1201/9781420010138" TargetMode="External" /><Relationship Type="http://schemas.openxmlformats.org/officeDocument/2006/relationships/hyperlink" Id="rId83" Target="https://doi.org/10.1214/06-BA117A" TargetMode="External" /><Relationship Type="http://schemas.openxmlformats.org/officeDocument/2006/relationships/hyperlink" Id="rId135" Target="https://doi.org/10.1242/jeb.171629" TargetMode="External" /><Relationship Type="http://schemas.openxmlformats.org/officeDocument/2006/relationships/hyperlink" Id="rId105" Target="https://doi.org/10.1242/jeb.244514" TargetMode="External" /><Relationship Type="http://schemas.openxmlformats.org/officeDocument/2006/relationships/hyperlink" Id="rId139" Target="https://doi.org/10.1371/journal.pbio.2001104" TargetMode="External" /><Relationship Type="http://schemas.openxmlformats.org/officeDocument/2006/relationships/hyperlink" Id="rId119" Target="https://doi.org/10.1371/journal.pone.0146021" TargetMode="External" /><Relationship Type="http://schemas.openxmlformats.org/officeDocument/2006/relationships/hyperlink" Id="rId101" Target="https://doi.org/10.1614/WT-03-070R1" TargetMode="External" /><Relationship Type="http://schemas.openxmlformats.org/officeDocument/2006/relationships/hyperlink" Id="rId123" Target="https://doi.org/10.2307/2531483" TargetMode="External" /><Relationship Type="http://schemas.openxmlformats.org/officeDocument/2006/relationships/hyperlink" Id="rId87" Target="https://doi.org/10.7717/peerj.4794" TargetMode="External" /><Relationship Type="http://schemas.openxmlformats.org/officeDocument/2006/relationships/hyperlink" Id="rId85" Target="https://doi.org/10.7717/peerj.6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flexible modelling framework for estimating thermal tolerance and sensitivity</dc:title>
  <dc:creator/>
  <cp:keywords>thermal death time, tolerance landscape, hierarchical Bayesian model, 4-parameter logistic, heat injury, CT_max, ectotherm</cp:keywords>
  <dcterms:created xsi:type="dcterms:W3CDTF">2026-05-19T12:43:46Z</dcterms:created>
  <dcterms:modified xsi:type="dcterms:W3CDTF">2026-05-19T12:43:46Z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../bib/tdt_problems.bib</vt:lpwstr>
  </property>
  <property fmtid="{D5CDD505-2E9C-101B-9397-08002B2CF9AE}" pid="8" name="by-affiliation">
    <vt:lpwstr/>
  </property>
  <property fmtid="{D5CDD505-2E9C-101B-9397-08002B2CF9AE}" pid="9" name="by-author">
    <vt:lpwstr/>
  </property>
  <property fmtid="{D5CDD505-2E9C-101B-9397-08002B2CF9AE}" pid="10" name="csl">
    <vt:lpwstr>../bib/ecology-letters.csl</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vt:lpwstr>
  </property>
  <property fmtid="{D5CDD505-2E9C-101B-9397-08002B2CF9AE}" pid="19" name="toc-title">
    <vt:lpwstr>Table of contents</vt:lpwstr>
  </property>
</Properties>
</file>