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95.png" ContentType="image/png"/>
  <Override PartName="/word/media/rId190.png" ContentType="image/png"/>
  <Override PartName="/word/media/rId163.png" ContentType="image/png"/>
  <Override PartName="/word/media/rId200.png" ContentType="image/png"/>
  <Override PartName="/word/media/rId147.png" ContentType="image/png"/>
  <Override PartName="/word/media/rId170.png" ContentType="image/png"/>
  <Override PartName="/word/media/rId138.png" ContentType="image/png"/>
  <Override PartName="/word/media/rId18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uthor"/>
      </w:pPr>
      <w:r>
        <w:t xml:space="preserve">Daniel W.A. Noble</w:t>
      </w:r>
    </w:p>
    <w:p>
      <w:pPr>
        <w:pStyle w:val="Author"/>
      </w:pPr>
      <w:r>
        <w:t xml:space="preserve">Pieter A. Arnold</w:t>
      </w:r>
    </w:p>
    <w:p>
      <w:pPr>
        <w:pStyle w:val="Author"/>
      </w:pPr>
      <w:r>
        <w:t xml:space="preserve">Patrice Pottier</w:t>
      </w:r>
    </w:p>
    <w:p>
      <w:pPr>
        <w:pStyle w:val="Date"/>
      </w:pPr>
      <w:r>
        <w:t xml:space="preserve">2026-05-08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1. Preface</w:t>
      </w:r>
    </w:p>
    <w:bookmarkEnd w:id="20"/>
    <w:bookmarkStart w:id="21" w:name="preface-1"/>
    <w:p>
      <w:pPr>
        <w:pStyle w:val="Heading1"/>
      </w:pPr>
      <w:r>
        <w:t xml:space="preserve">Preface</w:t>
      </w:r>
    </w:p>
    <w:p>
      <w:pPr>
        <w:pStyle w:val="FirstParagraph"/>
      </w:pPr>
      <w:r>
        <w:t xml:space="preserve">This book bundles the main manuscript and supplementary information for</w:t>
      </w:r>
      <w:r>
        <w:t xml:space="preserve"> </w:t>
      </w:r>
      <w:r>
        <w:rPr>
          <w:i/>
          <w:iCs/>
        </w:rPr>
        <w:t xml:space="preserve">A flexible modelling framework for estimating thermal sensitivity across life</w:t>
      </w:r>
      <w:r>
        <w:t xml:space="preserve">. The manuscript follows in the next chapter; supplementary material — including the simulation tutorials, equivalence demonstrations, and worked examples — comes after.</w:t>
      </w:r>
    </w:p>
    <w:bookmarkEnd w:id="21"/>
    <w:bookmarkStart w:id="22" w:name="X5d0ffc1f8695dadfae440ac7456c457d7646c6d"/>
    <w:p>
      <w:pPr>
        <w:pStyle w:val="Heading1"/>
      </w:pPr>
      <w:r>
        <w:t xml:space="preserve">2.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p>
    <w:p>
      <w:pPr>
        <w:numPr>
          <w:ilvl w:val="0"/>
          <w:numId w:val="1001"/>
        </w:numPr>
      </w:pPr>
      <w:r>
        <w:t xml:space="preserve">The thermal load sensitivity (TLS) framework is the gold standard</w:t>
      </w:r>
      <w:r>
        <w:t xml:space="preserve"> </w:t>
      </w:r>
      <w:r>
        <w:t xml:space="preserve">for estimating and predicting thermal tolerance in nature, but its</w:t>
      </w:r>
      <w:r>
        <w:t xml:space="preserve"> </w:t>
      </w:r>
      <w:r>
        <w:t xml:space="preserve">standard two-step pipeline — point-estimate LT50 extraction at each</w:t>
      </w:r>
      <w:r>
        <w:t xml:space="preserve"> </w:t>
      </w:r>
      <w:r>
        <w:t xml:space="preserve">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w:t>
      </w:r>
      <w:r>
        <w:t xml:space="preserve"> </w:t>
      </w:r>
      <w:r>
        <w:t xml:space="preserve">assumptions that are routinely violated and that bias every</w:t>
      </w:r>
      <w:r>
        <w:t xml:space="preserve"> </w:t>
      </w:r>
      <w:r>
        <w:t xml:space="preserve">downstream quantity (z, CTmax, heat-injury predictions).</w:t>
      </w:r>
    </w:p>
    <w:p>
      <w:pPr>
        <w:numPr>
          <w:ilvl w:val="0"/>
          <w:numId w:val="1001"/>
        </w:numPr>
      </w:pPr>
      <w:r>
        <w:t xml:space="preserve">We describe a flexible Bayesian, single-stage four-parameter</w:t>
      </w:r>
      <w:r>
        <w:t xml:space="preserve"> </w:t>
      </w:r>
      <w:r>
        <w:t xml:space="preserve">logistic (4PL) model for modelling the impact of temperature and</w:t>
      </w:r>
      <w:r>
        <w:t xml:space="preserve"> </w:t>
      </w:r>
      <w:r>
        <w:t xml:space="preserve">time on survival and fertility. We demonstrate how such an approach</w:t>
      </w:r>
      <w:r>
        <w:t xml:space="preserve"> </w:t>
      </w:r>
      <w:r>
        <w:t xml:space="preserve">can recover all the classical TDT output typical of a two-stage</w:t>
      </w:r>
      <w:r>
        <w:t xml:space="preserve"> </w:t>
      </w:r>
      <w:r>
        <w:t xml:space="preserve">modelling framework — including thermal sensitivity (</w:t>
      </w:r>
      <m:oMath>
        <m:r>
          <m:t>z</m:t>
        </m:r>
      </m:oMath>
      <w:r>
        <w:t xml:space="preserve">, slopes),</w:t>
      </w:r>
      <w:r>
        <w:t xml:space="preserve"> </w:t>
      </w:r>
      <w:r>
        <w:t xml:space="preserve">critical thermal limit (</w:t>
      </w:r>
      <m:oMath>
        <m:r>
          <m:t>C</m:t>
        </m:r>
        <m:sSub>
          <m:e>
            <m:r>
              <m:t>T</m:t>
            </m:r>
          </m:e>
          <m:sub>
            <m:r>
              <m:t>m</m:t>
            </m:r>
            <m:r>
              <m:t>a</m:t>
            </m:r>
            <m:sSub>
              <m:e>
                <m:r>
                  <m:t>x</m:t>
                </m:r>
              </m:e>
              <m:sub>
                <m:r>
                  <m:t>1</m:t>
                </m:r>
                <m:r>
                  <m:t>h</m:t>
                </m:r>
                <m:r>
                  <m:t>r</m:t>
                </m:r>
              </m:sub>
            </m:sSub>
          </m:sub>
        </m:sSub>
      </m:oMath>
      <w:r>
        <w:t xml:space="preserve">) and the heat-injury (HI)</w:t>
      </w:r>
      <w:r>
        <w:t xml:space="preserve"> </w:t>
      </w:r>
      <w:r>
        <w:t xml:space="preserve">integral, which allows for one to predict thermal injury in nature</w:t>
      </w:r>
      <w:r>
        <w:t xml:space="preserve"> </w:t>
      </w:r>
      <w:r>
        <w:t xml:space="preserve">under realistic exposure temperatures. Given its fully Bayesian</w:t>
      </w:r>
      <w:r>
        <w:t xml:space="preserve"> </w:t>
      </w:r>
      <w:r>
        <w:t xml:space="preserve">implementation, it allows for error propagation to account for</w:t>
      </w:r>
      <w:r>
        <w:t xml:space="preserve"> </w:t>
      </w:r>
      <w:r>
        <w:t xml:space="preserve">uncertainty at all stages of modelling as well as improved</w:t>
      </w:r>
      <w:r>
        <w:t xml:space="preserve"> </w:t>
      </w:r>
      <w:r>
        <w:t xml:space="preserve">inferences.</w:t>
      </w:r>
    </w:p>
    <w:p>
      <w:pPr>
        <w:numPr>
          <w:ilvl w:val="0"/>
          <w:numId w:val="1001"/>
        </w:numPr>
      </w:pPr>
      <w:r>
        <w:t xml:space="preserve">We applied our new modelling framework to data from brown shrimp</w:t>
      </w:r>
      <w:r>
        <w:t xml:space="preserve"> </w:t>
      </w:r>
      <w:r>
        <w:t xml:space="preserve">(</w:t>
      </w:r>
      <w:r>
        <w:rPr>
          <w:i/>
          <w:iCs/>
        </w:rPr>
        <w:t xml:space="preserve">Crangon crangon</w:t>
      </w:r>
      <w:r>
        <w:t xml:space="preserve">) and XX to demonstrate the equivalencies and</w:t>
      </w:r>
      <w:r>
        <w:t xml:space="preserve"> </w:t>
      </w:r>
      <w:r>
        <w:t xml:space="preserve">benefits of such an approach.</w:t>
      </w:r>
    </w:p>
    <w:p>
      <w:pPr>
        <w:numPr>
          <w:ilvl w:val="0"/>
          <w:numId w:val="1001"/>
        </w:numPr>
      </w:pPr>
      <w:r>
        <w:t xml:space="preserve">We show that the classical and Bayesian frameworks are equivalent,</w:t>
      </w:r>
      <w:r>
        <w:t xml:space="preserve"> </w:t>
      </w:r>
      <w:r>
        <w:t xml:space="preserve">but that the hierarchical 4PL delivers properly propagated</w:t>
      </w:r>
      <w:r>
        <w:t xml:space="preserve"> </w:t>
      </w:r>
      <w:r>
        <w:t xml:space="preserve">uncertainty, can account for complex hierarchical data (i.e., random</w:t>
      </w:r>
      <w:r>
        <w:t xml:space="preserve"> </w:t>
      </w:r>
      <w:r>
        <w:t xml:space="preserve">effects), can accommodate censoring and overdispersion, , and</w:t>
      </w:r>
      <w:r>
        <w:t xml:space="preserve"> </w:t>
      </w:r>
      <w:r>
        <w:t xml:space="preserve">unlocks outputs the two-step pipeline cannot provide (full survival</w:t>
      </w:r>
      <w:r>
        <w:t xml:space="preserve"> </w:t>
      </w:r>
      <w:r>
        <w:t xml:space="preserve">surface, arbitrary mortality percentiles, decomposable between-group</w:t>
      </w:r>
      <w:r>
        <w:t xml:space="preserve"> </w:t>
      </w:r>
      <w:r>
        <w:t xml:space="preserve">contrasts, dynamic-regime predictions). We provide reusable R</w:t>
      </w:r>
      <w:r>
        <w:t xml:space="preserve"> </w:t>
      </w:r>
      <w:r>
        <w:t xml:space="preserve">helpers and recommend the hierarchical 4PL as the default analysis</w:t>
      </w:r>
      <w:r>
        <w:t xml:space="preserve"> </w:t>
      </w:r>
      <w:r>
        <w:t xml:space="preserve">for new TDT data.</w:t>
      </w:r>
    </w:p>
    <w:p>
      <w:pPr>
        <w:pStyle w:val="FirstParagraph"/>
      </w:pPr>
      <w:r>
        <w:br/>
      </w:r>
    </w:p>
    <w:bookmarkEnd w:id="22"/>
    <w:bookmarkStart w:id="23" w:name="introduction"/>
    <w:p>
      <w:pPr>
        <w:pStyle w:val="Heading1"/>
      </w:pPr>
      <w:r>
        <w:t xml:space="preserve">3. 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introduce a well known dose-response model, the four-parameter logistic function</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and discuss how it can be used to overcome many of the existing challenges of the two-step thermal load sensitivity models.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model, while also easily allowing for predictions of heat injury accumulation. We develop these models within a Bayesian framework which allows for better uncertainty calibration and error propagation with complex hierarchical data structures.</w:t>
      </w:r>
    </w:p>
    <w:bookmarkEnd w:id="23"/>
    <w:bookmarkStart w:id="27" w:name="X4ae69e6473582f743e31b9e3b0100c4bac3c9f9"/>
    <w:p>
      <w:pPr>
        <w:pStyle w:val="Heading1"/>
      </w:pPr>
      <w:r>
        <w:t xml:space="preserve">4. A non-linear Bayesian hierarchical model for characterizing thermal load sensitivity</w:t>
      </w:r>
    </w:p>
    <w:p>
      <w:pPr>
        <w:pStyle w:val="FirstParagraph"/>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w:t>
      </w:r>
    </w:p>
    <w:p>
      <w:pPr>
        <w:pStyle w:val="BodyText"/>
      </w:pPr>
      <w:r>
        <w:t xml:space="preserve">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Although we use the four-parameter log-logistic form throughout for its flexibility — it accommodates curves that do not saturate at 0% or 100% survival/mortality —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the simpler nested versions in particular simplify or eliminate the asymmetry correction derived below.</w:t>
      </w:r>
    </w:p>
    <w:p>
      <w:pPr>
        <w:pStyle w:val="BodyText"/>
      </w:pPr>
      <w:r>
        <w:t xml:space="preserve">Below, we describe the 4PL model, discuss the flexibility in estimating different parameters, derive the classical TLS quantities, show how the model can be used to estimate heat injury, and apply the framework to two case studies that demonstrate equivalence with the classical pipeline as well as outputs only the joint fit provides. In our case studies we highlight the power of Bayesian approaches in carrying uncertainty through to predictions and derived quantities.</w:t>
      </w:r>
    </w:p>
    <w:bookmarkStart w:id="26" w:name="model-specification"/>
    <w:p>
      <w:pPr>
        <w:pStyle w:val="Heading2"/>
      </w:pPr>
      <w:r>
        <w:t xml:space="preserve">4.1 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4"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4"/>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5"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5"/>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6"/>
    <w:bookmarkEnd w:id="27"/>
    <w:bookmarkStart w:id="32" w:name="X46eb6268dcffa0b752ad63ad3dfd63180af2bd8"/>
    <w:p>
      <w:pPr>
        <w:pStyle w:val="Heading1"/>
      </w:pPr>
      <w:r>
        <w:t xml:space="preserve">5. 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8"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8"/>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9"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9"/>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Without this subtraction, the intercept would estimate</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30"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30"/>
    </w:p>
    <w:p>
      <w:pPr>
        <w:pStyle w:val="FirstParagraph"/>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31"/>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32"/>
    <w:bookmarkStart w:id="37" w:name="X748caa9d6c5389c1517c1b3b0c0fd7ca3896022"/>
    <w:p>
      <w:pPr>
        <w:pStyle w:val="Heading1"/>
      </w:pPr>
      <w:r>
        <w:t xml:space="preserve">6. 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3"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3"/>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is then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The key parameters,</w:t>
      </w:r>
      <w:r>
        <w:t xml:space="preserve"> </w:t>
      </w:r>
      <m:oMath>
        <m:r>
          <m:rPr>
            <m:sty m:val="p"/>
          </m:rPr>
          <m:t>*</m:t>
        </m:r>
      </m:oMath>
      <w:r>
        <w:t xml:space="preserve">z$ 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 </w:t>
      </w:r>
      <w:r>
        <w:t xml:space="preserve">— propagating parameter uncertainty directly into the resulting</w:t>
      </w:r>
      <w:r>
        <w:t xml:space="preserve"> </w:t>
      </w:r>
      <m:oMath>
        <m:r>
          <m:t>H</m:t>
        </m:r>
        <m:r>
          <m:t>I</m:t>
        </m:r>
      </m:oMath>
      <w:r>
        <w:t xml:space="preserve"> </w:t>
      </w:r>
      <w:r>
        <w:t xml:space="preserve">predictions.</w:t>
      </w:r>
    </w:p>
    <w:p>
      <w:pPr>
        <w:pStyle w:val="BodyText"/>
      </w:pPr>
      <w:r>
        <w:t xml:space="preserve">Importantly, the Bayesian dose-response model can also be used directly to calculate survival and / or</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draws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4"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8</m:t>
              </m:r>
            </m:e>
          </m:d>
        </m:oMath>
      </m:oMathPara>
      <w:bookmarkEnd w:id="34"/>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anchored at any survival threshold of interest —</w:t>
      </w:r>
      <w:r>
        <w:t xml:space="preserve"> </w:t>
      </w:r>
      <m:oMath>
        <m:r>
          <m:t>L</m:t>
        </m:r>
        <m:sSub>
          <m:e>
            <m:r>
              <m:t>T</m:t>
            </m:r>
          </m:e>
          <m:sub>
            <m:r>
              <m:t>10</m:t>
            </m:r>
          </m:sub>
        </m:sSub>
      </m:oMath>
      <w:r>
        <w:t xml:space="preserve"> </w:t>
      </w:r>
      <w:r>
        <w:t xml:space="preserve">for the onset of mortality (useful for sublethal early-warning predictions) or</w:t>
      </w:r>
      <w:r>
        <w:t xml:space="preserve"> </w:t>
      </w:r>
      <m:oMath>
        <m:r>
          <m:t>L</m:t>
        </m:r>
        <m:sSub>
          <m:e>
            <m:r>
              <m:t>T</m:t>
            </m:r>
          </m:e>
          <m:sub>
            <m:r>
              <m:t>90</m:t>
            </m:r>
          </m:sub>
        </m:sSub>
      </m:oMath>
      <w:r>
        <w:t xml:space="preserve"> </w:t>
      </w:r>
      <w:r>
        <w:t xml:space="preserve">for catastrophic loss (useful for population-collapse thresholds), with the same posterior uncertainty propagation as</w:t>
      </w:r>
      <w:r>
        <w:t xml:space="preserve"> </w:t>
      </w:r>
      <w:hyperlink w:anchor="eq-hi">
        <w:r>
          <w:rPr>
            <w:rStyle w:val="Hyperlink"/>
          </w:rPr>
          <w:t xml:space="preserve">Equation 7</w:t>
        </w:r>
      </w:hyperlink>
      <w:r>
        <w:t xml:space="preserve">.</w:t>
      </w:r>
    </w:p>
    <w:p>
      <w:pPr>
        <w:pStyle w:val="BodyText"/>
      </w:pPr>
      <w:r>
        <w:t xml:space="preserve">A more natural prediction to make would be instead to predict population-level survival probability over time through accumulated damage. This has the advantage of allowing for a more natural connection to population dynamical modelling</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Concretely, given any temperature trajectory</w:t>
      </w:r>
      <w:r>
        <w:t xml:space="preserve"> </w:t>
      </w:r>
      <m:oMath>
        <m:r>
          <m:t>T</m:t>
        </m:r>
        <m:d>
          <m:dPr>
            <m:begChr m:val="("/>
            <m:sepChr m:val=""/>
            <m:endChr m:val=")"/>
            <m:grow/>
          </m:dPr>
          <m:e>
            <m:r>
              <m:t>i</m:t>
            </m:r>
          </m:e>
        </m:d>
      </m:oMath>
      <w:r>
        <w:t xml:space="preserve">, we accumulate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w:t>
      </w:r>
      <w:r>
        <w:t xml:space="preserve">— adding more effective time at hot temperatures and less at cool ones, in proportion to the TDT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5"/>
    </w:p>
    <w:p>
      <w:pPr>
        <w:pStyle w:val="FirstParagraph"/>
      </w:pPr>
      <w:r>
        <w:t xml:space="preserve">and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4PL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The per-time posterior survival can be fed directly into demographic and population-dynamical models, where per-period mortality enters as a hazard term</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bookmarkEnd w:id="37"/>
    <w:bookmarkStart w:id="40" w:name="X874ed648d04cd4061333629ea007cfb78435af7"/>
    <w:p>
      <w:pPr>
        <w:pStyle w:val="Heading1"/>
      </w:pPr>
      <w:r>
        <w:t xml:space="preserve">7. 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8"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8"/>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9"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40"/>
    <w:bookmarkStart w:id="42" w:name="Xec90b6140c5c716811717eebe02c3ac6d8434ca"/>
    <w:p>
      <w:pPr>
        <w:pStyle w:val="Heading1"/>
      </w:pPr>
      <w:r>
        <w:t xml:space="preserve">8. Case Study 1: Thermal sensitivity estimation across life stages in shrimp</w:t>
      </w:r>
    </w:p>
    <w:bookmarkStart w:id="41" w:name="X83c280133a78de915d3b14a666f30d6a82dc387"/>
    <w:p>
      <w:pPr>
        <w:pStyle w:val="Heading2"/>
      </w:pPr>
      <w:r>
        <w:t xml:space="preserve">8.1 What the 4PL delivers that the two-step cannot</w:t>
      </w:r>
    </w:p>
    <w:bookmarkEnd w:id="41"/>
    <w:bookmarkEnd w:id="42"/>
    <w:bookmarkStart w:id="49" w:name="X2a14174f4c72db593bce4e6516c6528cdb497de"/>
    <w:p>
      <w:pPr>
        <w:pStyle w:val="Heading1"/>
      </w:pPr>
      <w:r>
        <w:t xml:space="preserve">9. Worked example: brown shrimp thermal tolerance</w:t>
      </w:r>
    </w:p>
    <w:bookmarkStart w:id="43" w:name="data-and-experimental-design"/>
    <w:p>
      <w:pPr>
        <w:pStyle w:val="Heading2"/>
      </w:pPr>
      <w:r>
        <w:t xml:space="preserve">9.1 Data and experimental design</w:t>
      </w:r>
    </w:p>
    <w:bookmarkEnd w:id="43"/>
    <w:bookmarkStart w:id="44" w:name="lethal-tdt-hierarchical-4pl-on-counts"/>
    <w:p>
      <w:pPr>
        <w:pStyle w:val="Heading2"/>
      </w:pPr>
      <w:r>
        <w:t xml:space="preserve">9.2 Lethal TDT — hierarchical 4PL on counts</w:t>
      </w:r>
    </w:p>
    <w:bookmarkEnd w:id="44"/>
    <w:bookmarkStart w:id="45" w:name="sublethal-time-to-death"/>
    <w:p>
      <w:pPr>
        <w:pStyle w:val="Heading2"/>
      </w:pPr>
      <w:r>
        <w:t xml:space="preserve">9.3 Sublethal time-to-death</w:t>
      </w:r>
    </w:p>
    <w:bookmarkEnd w:id="45"/>
    <w:bookmarkStart w:id="46" w:name="dynamic-ctmax-across-ramping-rates"/>
    <w:p>
      <w:pPr>
        <w:pStyle w:val="Heading2"/>
      </w:pPr>
      <w:r>
        <w:t xml:space="preserve">9.4 Dynamic CTmax across ramping rates</w:t>
      </w:r>
    </w:p>
    <w:bookmarkEnd w:id="46"/>
    <w:bookmarkStart w:id="47" w:name="Xa764bbb0ef06e1b16f1b866442815364d0000f8"/>
    <w:p>
      <w:pPr>
        <w:pStyle w:val="Heading2"/>
      </w:pPr>
      <w:r>
        <w:t xml:space="preserve">9.5 Reconciling the three endpoints via the Jørgensen ramping equation</w:t>
      </w:r>
    </w:p>
    <w:bookmarkEnd w:id="47"/>
    <w:bookmarkStart w:id="48" w:name="Xc9d8a39a8777a97080af0145482f0bf85ce7458"/>
    <w:p>
      <w:pPr>
        <w:pStyle w:val="Heading2"/>
      </w:pPr>
      <w:r>
        <w:t xml:space="preserve">9.6 Field-temperature heat-injury projections under warming scenarios</w:t>
      </w:r>
    </w:p>
    <w:bookmarkEnd w:id="48"/>
    <w:bookmarkEnd w:id="49"/>
    <w:bookmarkStart w:id="53" w:name="discussion"/>
    <w:p>
      <w:pPr>
        <w:pStyle w:val="Heading1"/>
      </w:pPr>
      <w:r>
        <w:t xml:space="preserve">10. Discussion</w:t>
      </w:r>
    </w:p>
    <w:bookmarkStart w:id="50" w:name="X5dac85fa1a4411486a220dbeaf8627ab0091f32"/>
    <w:p>
      <w:pPr>
        <w:pStyle w:val="Heading2"/>
      </w:pPr>
      <w:r>
        <w:t xml:space="preserve">10.1 What changes for the field if the hierarchical 4PL becomes the default</w:t>
      </w:r>
    </w:p>
    <w:bookmarkEnd w:id="50"/>
    <w:bookmarkStart w:id="51" w:name="limits-of-the-present-analysis"/>
    <w:p>
      <w:pPr>
        <w:pStyle w:val="Heading2"/>
      </w:pPr>
      <w:r>
        <w:t xml:space="preserve">10.2 Limits of the present analysis</w:t>
      </w:r>
    </w:p>
    <w:bookmarkEnd w:id="51"/>
    <w:bookmarkStart w:id="52" w:name="Xf0d52b04feeaedf0b5abcee2b4d231c85971023"/>
    <w:p>
      <w:pPr>
        <w:pStyle w:val="Heading2"/>
      </w:pPr>
      <w:r>
        <w:t xml:space="preserve">10.3 Recommendations for primary studies and meta-analyses</w:t>
      </w:r>
    </w:p>
    <w:bookmarkEnd w:id="52"/>
    <w:bookmarkEnd w:id="53"/>
    <w:bookmarkStart w:id="54" w:name="conclusions"/>
    <w:p>
      <w:pPr>
        <w:pStyle w:val="Heading1"/>
      </w:pPr>
      <w:r>
        <w:t xml:space="preserve">11. Conclusions</w:t>
      </w:r>
    </w:p>
    <w:bookmarkEnd w:id="54"/>
    <w:bookmarkStart w:id="55" w:name="acknowledgements"/>
    <w:p>
      <w:pPr>
        <w:pStyle w:val="Heading1"/>
      </w:pPr>
      <w:r>
        <w:t xml:space="preserve">12. Acknowledgements</w:t>
      </w:r>
    </w:p>
    <w:bookmarkEnd w:id="55"/>
    <w:bookmarkStart w:id="56" w:name="author-contributions"/>
    <w:p>
      <w:pPr>
        <w:pStyle w:val="Heading1"/>
      </w:pPr>
      <w:r>
        <w:t xml:space="preserve">Author contributions</w:t>
      </w:r>
    </w:p>
    <w:p>
      <w:pPr>
        <w:pStyle w:val="FirstParagraph"/>
      </w:pPr>
      <w:r>
        <w:t xml:space="preserve">DN conceived the project, performed the analyses, and wrote the manuscript.</w:t>
      </w:r>
    </w:p>
    <w:bookmarkEnd w:id="56"/>
    <w:bookmarkStart w:id="60"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7">
        <w:r>
          <w:rPr>
            <w:rStyle w:val="Hyperlink"/>
          </w:rPr>
          <w:t xml:space="preserve">https://github.com/...</w:t>
        </w:r>
      </w:hyperlink>
      <w:r>
        <w:t xml:space="preserve">. The hierarchical 4PL is implemented in</w:t>
      </w:r>
      <w:r>
        <w:t xml:space="preserve"> </w:t>
      </w:r>
      <w:hyperlink r:id="rId58">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9">
        <w:r>
          <w:rPr>
            <w:rStyle w:val="VerbatimChar"/>
          </w:rPr>
          <w:t xml:space="preserve">cmdstanr</w:t>
        </w:r>
      </w:hyperlink>
      <w:r>
        <w:t xml:space="preserve"> </w:t>
      </w:r>
      <w:r>
        <w:t xml:space="preserve">as the Stan backend.</w:t>
      </w:r>
    </w:p>
    <w:bookmarkEnd w:id="60"/>
    <w:bookmarkStart w:id="61" w:name="conflict-of-interest"/>
    <w:p>
      <w:pPr>
        <w:pStyle w:val="Heading1"/>
      </w:pPr>
      <w:r>
        <w:t xml:space="preserve">Conflict of interest</w:t>
      </w:r>
    </w:p>
    <w:p>
      <w:pPr>
        <w:pStyle w:val="FirstParagraph"/>
      </w:pPr>
      <w:r>
        <w:t xml:space="preserve">The authors declare no competing interests.</w:t>
      </w:r>
    </w:p>
    <w:bookmarkEnd w:id="61"/>
    <w:bookmarkStart w:id="134" w:name="references"/>
    <w:p>
      <w:pPr>
        <w:pStyle w:val="Heading1"/>
      </w:pPr>
      <w:r>
        <w:t xml:space="preserve">References</w:t>
      </w:r>
    </w:p>
    <w:bookmarkStart w:id="133" w:name="refs"/>
    <w:bookmarkStart w:id="63"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3"/>
    <w:bookmarkStart w:id="64"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4"/>
    <w:bookmarkStart w:id="66" w:name="ref-buckley_damage_2025"/>
    <w:p>
      <w:pPr>
        <w:pStyle w:val="Bibliography"/>
      </w:pPr>
      <w:r>
        <w:t xml:space="preserve">Buckley, L.B., Huey, R.B. &amp; Ma, C.-S. (2025).</w:t>
      </w:r>
      <w:r>
        <w:t xml:space="preserve"> </w:t>
      </w:r>
      <w:hyperlink r:id="rId65">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6"/>
    <w:bookmarkStart w:id="68" w:name="ref-burke_ipd_2017"/>
    <w:p>
      <w:pPr>
        <w:pStyle w:val="Bibliography"/>
      </w:pPr>
      <w:r>
        <w:t xml:space="preserve">Burke, D.L., Ensor, J. &amp; Riley, R.D. (2017).</w:t>
      </w:r>
      <w:r>
        <w:t xml:space="preserve"> </w:t>
      </w:r>
      <w:hyperlink r:id="rId67">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8"/>
    <w:bookmarkStart w:id="70" w:name="ref-burkner_brms_2017"/>
    <w:p>
      <w:pPr>
        <w:pStyle w:val="Bibliography"/>
      </w:pPr>
      <w:r>
        <w:t xml:space="preserve">Bürkner, P.-C. (2017).</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70"/>
    <w:bookmarkStart w:id="72" w:name="ref-carroll_measurement_2006"/>
    <w:p>
      <w:pPr>
        <w:pStyle w:val="Bibliography"/>
      </w:pPr>
      <w:r>
        <w:t xml:space="preserve">Carroll, R.J., Ruppert, D., Stefanski, L.A. &amp; Crainiceanu, C.M. (2006).</w:t>
      </w:r>
      <w:r>
        <w:t xml:space="preserve"> </w:t>
      </w:r>
      <w:hyperlink r:id="rId71">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72"/>
    <w:bookmarkStart w:id="74"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3">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4"/>
    <w:bookmarkStart w:id="76" w:name="ref-gelman_priors_2006"/>
    <w:p>
      <w:pPr>
        <w:pStyle w:val="Bibliography"/>
      </w:pPr>
      <w:r>
        <w:t xml:space="preserve">Gelman, A. (2006).</w:t>
      </w:r>
      <w:r>
        <w:t xml:space="preserve"> </w:t>
      </w:r>
      <w:hyperlink r:id="rId75">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6"/>
    <w:bookmarkStart w:id="78" w:name="ref-harrison_olre_2014"/>
    <w:p>
      <w:pPr>
        <w:pStyle w:val="Bibliography"/>
      </w:pPr>
      <w:r>
        <w:t xml:space="preserve">Harrison, X.A. (2014).</w:t>
      </w:r>
      <w:r>
        <w:t xml:space="preserve"> </w:t>
      </w:r>
      <w:hyperlink r:id="rId77">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8"/>
    <w:bookmarkStart w:id="80"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9">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0"/>
    <w:bookmarkStart w:id="82" w:name="ref-jorgensen_drosophila_2019"/>
    <w:p>
      <w:pPr>
        <w:pStyle w:val="Bibliography"/>
      </w:pPr>
      <w:r>
        <w:t xml:space="preserve">Jørgensen, L.B., Malte, H. &amp; Overgaard, J. (2019).</w:t>
      </w:r>
      <w:r>
        <w:t xml:space="preserve"> </w:t>
      </w:r>
      <w:hyperlink r:id="rId81">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82"/>
    <w:bookmarkStart w:id="84" w:name="ref-jorgensen_unifying_2021"/>
    <w:p>
      <w:pPr>
        <w:pStyle w:val="Bibliography"/>
      </w:pPr>
      <w:r>
        <w:t xml:space="preserve">Jørgensen, L.B., Malte, H. &amp; Overgaard, J. (2021).</w:t>
      </w:r>
      <w:r>
        <w:t xml:space="preserve"> </w:t>
      </w:r>
      <w:hyperlink r:id="rId83">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4"/>
    <w:bookmarkStart w:id="86" w:name="ref-jorgensen_nature_2022"/>
    <w:p>
      <w:pPr>
        <w:pStyle w:val="Bibliography"/>
      </w:pPr>
      <w:r>
        <w:t xml:space="preserve">Jørgensen, L.B., Ørsted, M., Malte, H., Wang, T. &amp; Overgaard, J. (2022).</w:t>
      </w:r>
      <w:r>
        <w:t xml:space="preserve"> </w:t>
      </w:r>
      <w:hyperlink r:id="rId85">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6"/>
    <w:bookmarkStart w:id="88" w:name="ref-kingsolver_umbanhowar_2018"/>
    <w:p>
      <w:pPr>
        <w:pStyle w:val="Bibliography"/>
      </w:pPr>
      <w:r>
        <w:t xml:space="preserve">Kingsolver, J.G. &amp; Umbanhowar, J. (2018).</w:t>
      </w:r>
      <w:r>
        <w:t xml:space="preserve"> </w:t>
      </w:r>
      <w:hyperlink r:id="rId87">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88"/>
    <w:bookmarkStart w:id="90"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9">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0"/>
    <w:bookmarkStart w:id="92" w:name="ref-nakagawa_santos_2012"/>
    <w:p>
      <w:pPr>
        <w:pStyle w:val="Bibliography"/>
      </w:pPr>
      <w:r>
        <w:t xml:space="preserve">Nakagawa, S. &amp; Santos, E.S.A. (2012).</w:t>
      </w:r>
      <w:r>
        <w:t xml:space="preserve"> </w:t>
      </w:r>
      <w:hyperlink r:id="rId91">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92"/>
    <w:bookmarkStart w:id="94" w:name="ref-nielsen_nlmm_2004"/>
    <w:p>
      <w:pPr>
        <w:pStyle w:val="Bibliography"/>
      </w:pPr>
      <w:r>
        <w:t xml:space="preserve">Nielsen, O.K., Ritz, C. &amp; Streibig, J.C. (2004).</w:t>
      </w:r>
      <w:r>
        <w:t xml:space="preserve"> </w:t>
      </w:r>
      <w:hyperlink r:id="rId93">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94"/>
    <w:bookmarkStart w:id="96"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w:t>
      </w:r>
    </w:p>
    <w:bookmarkEnd w:id="96"/>
    <w:bookmarkStart w:id="98" w:name="ref-orsted_finding_2022"/>
    <w:p>
      <w:pPr>
        <w:pStyle w:val="Bibliography"/>
      </w:pPr>
      <w:r>
        <w:t xml:space="preserve">Ørsted, M., Jørgensen, L.B. &amp; Overgaard, J. (2022).</w:t>
      </w:r>
      <w:r>
        <w:t xml:space="preserve"> </w:t>
      </w:r>
      <w:hyperlink r:id="rId9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8"/>
    <w:bookmarkStart w:id="100" w:name="ref-orsted_suzukii_2024"/>
    <w:p>
      <w:pPr>
        <w:pStyle w:val="Bibliography"/>
      </w:pPr>
      <w:r>
        <w:t xml:space="preserve">Ørsted, M., Willot, Q., Olsen, A.K., Kongsgaard, V. &amp; Overgaard, J. (2024).</w:t>
      </w:r>
      <w:r>
        <w:t xml:space="preserve"> </w:t>
      </w:r>
      <w:hyperlink r:id="rId9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00"/>
    <w:bookmarkStart w:id="102" w:name="ref-pinsky_marine_2019"/>
    <w:p>
      <w:pPr>
        <w:pStyle w:val="Bibliography"/>
      </w:pPr>
      <w:r>
        <w:t xml:space="preserve">Pinsky, M.L., Eikeset, A.M., McCauley, D.J., Payne, J.L. &amp; Sunday, J.M. (2019).</w:t>
      </w:r>
      <w:r>
        <w:t xml:space="preserve"> </w:t>
      </w:r>
      <w:hyperlink r:id="rId101">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02"/>
    <w:bookmarkStart w:id="104"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3">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04"/>
    <w:bookmarkStart w:id="106" w:name="ref-rezende_drosophila_mortality_2020"/>
    <w:p>
      <w:pPr>
        <w:pStyle w:val="Bibliography"/>
      </w:pPr>
      <w:r>
        <w:t xml:space="preserve">Rezende, E.L., Bozinovic, F., Szilágyi, A. &amp; Santos, M. (2020).</w:t>
      </w:r>
      <w:r>
        <w:t xml:space="preserve"> </w:t>
      </w:r>
      <w:hyperlink r:id="rId10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6"/>
    <w:bookmarkStart w:id="108" w:name="ref-rezende_landscapes_2014"/>
    <w:p>
      <w:pPr>
        <w:pStyle w:val="Bibliography"/>
      </w:pPr>
      <w:r>
        <w:t xml:space="preserve">Rezende, E.L., Castañeda, L.E. &amp; Santos, M. (2014).</w:t>
      </w:r>
      <w:r>
        <w:t xml:space="preserve"> </w:t>
      </w:r>
      <w:hyperlink r:id="rId10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8"/>
    <w:bookmarkStart w:id="110" w:name="ref-ritz_ecotox_2010"/>
    <w:p>
      <w:pPr>
        <w:pStyle w:val="Bibliography"/>
      </w:pPr>
      <w:r>
        <w:t xml:space="preserve">Ritz, C. (2010).</w:t>
      </w:r>
      <w:r>
        <w:t xml:space="preserve"> </w:t>
      </w:r>
      <w:hyperlink r:id="rId109">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10"/>
    <w:bookmarkStart w:id="112" w:name="ref-ritz_drc_2015"/>
    <w:p>
      <w:pPr>
        <w:pStyle w:val="Bibliography"/>
      </w:pPr>
      <w:r>
        <w:t xml:space="preserve">Ritz, C., Baty, F., Streibig, J.C. &amp; Gerhard, D. (2015).</w:t>
      </w:r>
      <w:r>
        <w:t xml:space="preserve"> </w:t>
      </w:r>
      <w:hyperlink r:id="rId111">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12"/>
    <w:bookmarkStart w:id="114" w:name="ref-ritz_streibig_2008"/>
    <w:p>
      <w:pPr>
        <w:pStyle w:val="Bibliography"/>
      </w:pPr>
      <w:r>
        <w:t xml:space="preserve">Ritz, C. &amp; Streibig, J.C. (2008).</w:t>
      </w:r>
      <w:r>
        <w:t xml:space="preserve"> </w:t>
      </w:r>
      <w:hyperlink r:id="rId113">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14"/>
    <w:bookmarkStart w:id="116" w:name="ref-rudemo_random_1989"/>
    <w:p>
      <w:pPr>
        <w:pStyle w:val="Bibliography"/>
      </w:pPr>
      <w:r>
        <w:t xml:space="preserve">Rudemo, M., Ruppert, D. &amp; Streibig, J.C. (1989).</w:t>
      </w:r>
      <w:r>
        <w:t xml:space="preserve"> </w:t>
      </w:r>
      <w:hyperlink r:id="rId115">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6"/>
    <w:bookmarkStart w:id="118" w:name="ref-schielzeth_centering_2010"/>
    <w:p>
      <w:pPr>
        <w:pStyle w:val="Bibliography"/>
      </w:pPr>
      <w:r>
        <w:t xml:space="preserve">Schielzeth, H. (2010).</w:t>
      </w:r>
      <w:r>
        <w:t xml:space="preserve"> </w:t>
      </w:r>
      <w:hyperlink r:id="rId117">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8"/>
    <w:bookmarkStart w:id="120"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9">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20"/>
    <w:bookmarkStart w:id="122" w:name="ref-snook_fertility_2026"/>
    <w:p>
      <w:pPr>
        <w:pStyle w:val="Bibliography"/>
      </w:pPr>
      <w:r>
        <w:t xml:space="preserve">Snook, R.R., Bretman, A., Dougherty, L.R. &amp; Fricke, C. (2026).</w:t>
      </w:r>
      <w:r>
        <w:t xml:space="preserve"> </w:t>
      </w:r>
      <w:hyperlink r:id="rId121">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22"/>
    <w:bookmarkStart w:id="124" w:name="ref-sunday_global_2011"/>
    <w:p>
      <w:pPr>
        <w:pStyle w:val="Bibliography"/>
      </w:pPr>
      <w:r>
        <w:t xml:space="preserve">Sunday, J.M., Bates, A.E. &amp; Dulvy, N.K. (2011).</w:t>
      </w:r>
      <w:r>
        <w:t xml:space="preserve"> </w:t>
      </w:r>
      <w:hyperlink r:id="rId123">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24"/>
    <w:bookmarkStart w:id="126" w:name="ref-sunday_redistribution_2012"/>
    <w:p>
      <w:pPr>
        <w:pStyle w:val="Bibliography"/>
      </w:pPr>
      <w:r>
        <w:t xml:space="preserve">Sunday, J.M., Bates, A.E. &amp; Dulvy, N.K. (2012).</w:t>
      </w:r>
      <w:r>
        <w:t xml:space="preserve"> </w:t>
      </w:r>
      <w:hyperlink r:id="rId125">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6"/>
    <w:bookmarkStart w:id="128" w:name="ref-truebano2018"/>
    <w:p>
      <w:pPr>
        <w:pStyle w:val="Bibliography"/>
      </w:pPr>
      <w:r>
        <w:t xml:space="preserve">Truebano, M., Fenner, P., Tills, O., Rundle, S. &amp; Rezende, E. (2018).</w:t>
      </w:r>
      <w:r>
        <w:t xml:space="preserve"> </w:t>
      </w:r>
      <w:hyperlink r:id="rId12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8"/>
    <w:bookmarkStart w:id="130" w:name="ref-villeneuve_dynamic_2024"/>
    <w:p>
      <w:pPr>
        <w:pStyle w:val="Bibliography"/>
      </w:pPr>
      <w:r>
        <w:t xml:space="preserve">Villeneuve, A.R. &amp; White, E.R. (2024).</w:t>
      </w:r>
      <w:r>
        <w:t xml:space="preserve"> </w:t>
      </w:r>
      <w:hyperlink r:id="rId129">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30"/>
    <w:bookmarkStart w:id="132" w:name="ref-wiens_localextinctions_2016"/>
    <w:p>
      <w:pPr>
        <w:pStyle w:val="Bibliography"/>
      </w:pPr>
      <w:r>
        <w:t xml:space="preserve">Wiens, J.J. (2016).</w:t>
      </w:r>
      <w:r>
        <w:t xml:space="preserve"> </w:t>
      </w:r>
      <w:hyperlink r:id="rId131">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32"/>
    <w:bookmarkEnd w:id="133"/>
    <w:bookmarkEnd w:id="134"/>
    <w:bookmarkStart w:id="135" w:name="X0a6b9f6e1b4d87c3bcd816dd30505d2c7e986ca"/>
    <w:p>
      <w:pPr>
        <w:pStyle w:val="Heading1"/>
      </w:pPr>
      <w:r>
        <w:t xml:space="preserve">13. Supplementary information for: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r>
        <w:br/>
      </w:r>
      <w:r>
        <w:t xml:space="preserve">today</w:t>
      </w:r>
    </w:p>
    <w:p>
      <w:pPr>
        <w:pStyle w:val="BodyText"/>
      </w:pPr>
      <w:r>
        <w:br/>
      </w:r>
    </w:p>
    <w:bookmarkEnd w:id="135"/>
    <w:bookmarkStart w:id="206" w:name="a-tutorial-with-simulations"/>
    <w:p>
      <w:pPr>
        <w:pStyle w:val="Heading1"/>
      </w:pPr>
      <w:r>
        <w:t xml:space="preserve">14.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144" w:name="simulating-data"/>
    <w:p>
      <w:pPr>
        <w:pStyle w:val="Heading3"/>
      </w:pPr>
      <w:r>
        <w:t xml:space="preserve">14.0.1</w:t>
      </w:r>
      <w:r>
        <w:t xml:space="preserve"> </w:t>
      </w:r>
      <w:r>
        <w:rPr>
          <w:i/>
          <w:iCs/>
        </w:rPr>
        <w:t xml:space="preserve">Simulating Data</w:t>
      </w:r>
    </w:p>
    <w:bookmarkStart w:id="136" w:name="sec-sim-step1"/>
    <w:p>
      <w:pPr>
        <w:pStyle w:val="Heading4"/>
      </w:pPr>
      <w:r>
        <w:t xml:space="preserve">14.0.1.1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136"/>
    <w:bookmarkStart w:id="137" w:name="sec-sim-step2"/>
    <w:p>
      <w:pPr>
        <w:pStyle w:val="Heading4"/>
      </w:pPr>
      <w:r>
        <w:t xml:space="preserve">14.0.1.2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137"/>
    <w:bookmarkStart w:id="142" w:name="sec-sim-step3"/>
    <w:p>
      <w:pPr>
        <w:pStyle w:val="Heading4"/>
      </w:pPr>
      <w:r>
        <w:t xml:space="preserve">14.0.1.3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supp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141" w:name="suppfig-true-surface"/>
          <w:p>
            <w:pPr>
              <w:jc w:val="center"/>
            </w:pPr>
            <w:r>
              <w:drawing>
                <wp:inline>
                  <wp:extent cx="5943600" cy="3396342"/>
                  <wp:effectExtent b="0" l="0" r="0" t="0"/>
                  <wp:docPr descr="" title="" id="139" name="Picture"/>
                  <a:graphic>
                    <a:graphicData uri="http://schemas.openxmlformats.org/drawingml/2006/picture">
                      <pic:pic>
                        <pic:nvPicPr>
                          <pic:cNvPr descr="ms/supplement_files/figure-docx/plot-true-surface-1.png" id="140" name="Picture"/>
                          <pic:cNvPicPr>
                            <a:picLocks noChangeArrowheads="1" noChangeAspect="1"/>
                          </pic:cNvPicPr>
                        </pic:nvPicPr>
                        <pic:blipFill>
                          <a:blip r:embed="rId1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141"/>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142"/>
    <w:bookmarkStart w:id="143" w:name="sec-sim-step4"/>
    <w:p>
      <w:pPr>
        <w:pStyle w:val="Heading4"/>
      </w:pPr>
      <w:r>
        <w:t xml:space="preserve">14.0.1.4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143"/>
    <w:bookmarkEnd w:id="144"/>
    <w:bookmarkStart w:id="155" w:name="sec-twostage"/>
    <w:p>
      <w:pPr>
        <w:pStyle w:val="Heading3"/>
      </w:pPr>
      <w:r>
        <w:t xml:space="preserve">14.0.2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146" w:name="sec-twostage-step1"/>
    <w:p>
      <w:pPr>
        <w:pStyle w:val="Heading4"/>
      </w:pPr>
      <w:r>
        <w:t xml:space="preserve">14.0.2.1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145" w:name="supptbl-stage1-lt50"/>
          <w:p>
            <w:pPr>
              <w:jc w:val="center"/>
            </w:pPr>
            <w:pPr>
              <w:jc w:val="start"/>
              <w:spacing w:before="200"/>
              <w:pStyle w:val="ImageCaption"/>
            </w:pPr>
            <w:r>
              <w:t xml:space="preserve">Table S1: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4"/>
              <w:gridCol w:w="1989"/>
              <w:gridCol w:w="1842"/>
              <w:gridCol w:w="179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bb_log10_lt50</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2.082</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w:t>
                  </w:r>
                </w:p>
              </w:tc>
            </w:tr>
            <w:tr>
              <w:trPr>
                <w:trHeight w:val="569"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0.954</w:t>
                  </w:r>
                </w:p>
              </w:tc>
            </w:tr>
          </w:tbl>
          <w:bookmarkEnd w:id="145"/>
        </w:tc>
      </w:tr>
    </w:tbl>
    <w:p>
      <w:pPr>
        <w:pStyle w:val="BodyText"/>
      </w:pPr>
      <w:r>
        <w:t xml:space="preserve">With the simulation’s true asymptotes near 0 and 1, the 2PL’s forced-asymptote constraint introduces negligible bias here, so each Stage-1 estimate sits close to the simulation truth.</w:t>
      </w:r>
    </w:p>
    <w:bookmarkEnd w:id="146"/>
    <w:bookmarkStart w:id="154" w:name="sec-twostage-step2"/>
    <w:p>
      <w:pPr>
        <w:pStyle w:val="Heading4"/>
      </w:pPr>
      <w:r>
        <w:t xml:space="preserve">14.0.2.2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supp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supptbl-stage1-lt50">
        <w:r>
          <w:rPr>
            <w:rStyle w:val="Hyperlink"/>
          </w:rPr>
          <w:t xml:space="preserve">Table S1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150" w:name="suppfig-stage2-regression"/>
          <w:p>
            <w:pPr>
              <w:jc w:val="center"/>
            </w:pPr>
            <w:r>
              <w:drawing>
                <wp:inline>
                  <wp:extent cx="5943600" cy="3820885"/>
                  <wp:effectExtent b="0" l="0" r="0" t="0"/>
                  <wp:docPr descr="" title="" id="148" name="Picture"/>
                  <a:graphic>
                    <a:graphicData uri="http://schemas.openxmlformats.org/drawingml/2006/picture">
                      <pic:pic>
                        <pic:nvPicPr>
                          <pic:cNvPr descr="ms/supplement_files/figure-docx/plot-stage2-regression-1.png" id="149" name="Picture"/>
                          <pic:cNvPicPr>
                            <a:picLocks noChangeArrowheads="1" noChangeAspect="1"/>
                          </pic:cNvPicPr>
                        </pic:nvPicPr>
                        <pic:blipFill>
                          <a:blip r:embed="rId147"/>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150"/>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154"/>
    <w:bookmarkEnd w:id="155"/>
    <w:bookmarkStart w:id="168" w:name="sec-joint"/>
    <w:p>
      <w:pPr>
        <w:pStyle w:val="Heading3"/>
      </w:pPr>
      <w:r>
        <w:t xml:space="preserve">14.0.3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160" w:name="sec-joint-spec"/>
    <w:p>
      <w:pPr>
        <w:pStyle w:val="Heading4"/>
      </w:pPr>
      <w:r>
        <w:t xml:space="preserve">14.0.3.1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156"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13</m:t>
              </m:r>
            </m:e>
          </m:d>
        </m:oMath>
      </m:oMathPara>
      <w:bookmarkEnd w:id="156"/>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157"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14</m:t>
              </m:r>
            </m:e>
          </m:d>
        </m:oMath>
      </m:oMathPara>
      <w:bookmarkEnd w:id="157"/>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13</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14</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14.0.6</w:t>
              </w:r>
            </w:hyperlink>
            <w:r>
              <w:t xml:space="preserve">.</w:t>
            </w:r>
          </w:p>
        </w:tc>
      </w:tr>
    </w:tbl>
    <w:bookmarkEnd w:id="160"/>
    <w:bookmarkStart w:id="161" w:name="sec-joint-fit"/>
    <w:p>
      <w:pPr>
        <w:pStyle w:val="Heading4"/>
      </w:pPr>
      <w:r>
        <w:t xml:space="preserve">14.0.3.2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161"/>
    <w:bookmarkStart w:id="167" w:name="sec-joint-recovery"/>
    <w:p>
      <w:pPr>
        <w:pStyle w:val="Heading4"/>
      </w:pPr>
      <w:r>
        <w:t xml:space="preserve">14.0.3.3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supptbl-recovery">
        <w:r>
          <w:rPr>
            <w:rStyle w:val="Hyperlink"/>
          </w:rPr>
          <w:t xml:space="preserve">Table S2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162" w:name="supptbl-recovery"/>
          <w:p>
            <w:pPr>
              <w:jc w:val="center"/>
            </w:pPr>
            <w:pPr>
              <w:jc w:val="start"/>
              <w:spacing w:before="200"/>
              <w:pStyle w:val="ImageCaption"/>
            </w:pPr>
            <w:r>
              <w:t xml:space="preserve">Table S2: Posterior medians and 95% credible intervals for the four 4PL parameters and the temperature slope, compared to the known truth used to generate the simulated data. Recovery is judged successful when the credible interval covers the truth.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1034"/>
              <w:gridCol w:w="1548"/>
              <w:gridCol w:w="1352"/>
              <w:gridCol w:w="1389"/>
              <w:gridCol w:w="1499"/>
              <w:gridCol w:w="1303"/>
              <w:gridCol w:w="134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r>
            <w:tr>
              <w:trPr>
                <w:trHeight w:val="57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0.974</w:t>
                  </w:r>
                </w:p>
              </w:tc>
            </w:tr>
            <w:tr>
              <w:trPr>
                <w:trHeight w:val="57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8.328</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1.537</w:t>
                  </w:r>
                </w:p>
              </w:tc>
            </w:tr>
            <w:tr>
              <w:trPr>
                <w:trHeight w:val="59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w:t>
                  </w:r>
                </w:p>
              </w:tc>
            </w:tr>
          </w:tbl>
          <w:bookmarkEnd w:id="162"/>
        </w:tc>
      </w:tr>
    </w:tbl>
    <w:p>
      <w:pPr>
        <w:pStyle w:val="BodyText"/>
      </w:pPr>
      <w:r>
        <w:t xml:space="preserve">We can also overlay the posterior fitted curves on the simulated data (</w:t>
      </w:r>
      <w:hyperlink w:anchor="supp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166" w:name="suppfig-recovery-fit"/>
          <w:p>
            <w:pPr>
              <w:jc w:val="center"/>
            </w:pPr>
            <w:r>
              <w:drawing>
                <wp:inline>
                  <wp:extent cx="5943600" cy="3714750"/>
                  <wp:effectExtent b="0" l="0" r="0" t="0"/>
                  <wp:docPr descr="" title="" id="164" name="Picture"/>
                  <a:graphic>
                    <a:graphicData uri="http://schemas.openxmlformats.org/drawingml/2006/picture">
                      <pic:pic>
                        <pic:nvPicPr>
                          <pic:cNvPr descr="ms/supplement_files/figure-docx/plot-recovery-fit-1.png" id="165" name="Picture"/>
                          <pic:cNvPicPr>
                            <a:picLocks noChangeArrowheads="1" noChangeAspect="1"/>
                          </pic:cNvPicPr>
                        </pic:nvPicPr>
                        <pic:blipFill>
                          <a:blip r:embed="rId163"/>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166"/>
        </w:tc>
      </w:tr>
    </w:tbl>
    <w:bookmarkEnd w:id="167"/>
    <w:bookmarkEnd w:id="168"/>
    <w:bookmarkStart w:id="177" w:name="sec-joint-derive"/>
    <w:p>
      <w:pPr>
        <w:pStyle w:val="Heading3"/>
      </w:pPr>
      <w:r>
        <w:t xml:space="preserve">14.0.4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rPr>
          <w:rStyle w:val="NormalTok"/>
        </w:rPr>
        <w:t xml:space="preserve">      </w:t>
      </w:r>
      <w:r>
        <w:rPr>
          <w:rStyle w:val="CommentTok"/>
        </w:rPr>
        <w:t xml:space="preserve"># Pulls out posterior distribution for each parameter from the model as a data frame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    </w:t>
      </w:r>
      <w:r>
        <w:rPr>
          <w:rStyle w:val="CommentTok"/>
        </w:rPr>
        <w:t xml:space="preserve"># Take each draw from the model and calculate a value of z, giving us a poetrior distribution of sensitivity values, z</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Take upper, lower and slope of temp (along with overall mean) to caluclate the intercept.</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 </w:t>
      </w:r>
      <w:r>
        <w:rPr>
          <w:rStyle w:val="CommentTok"/>
        </w:rPr>
        <w:t xml:space="preserve"># Now, use alpha and temperature slope on midpoints, referencing at 1hour, to calculate CTmax</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 </w:t>
      </w:r>
      <w:r>
        <w:rPr>
          <w:rStyle w:val="CommentTok"/>
        </w:rPr>
        <w:t xml:space="preserve"># Select out the whole posterior distribution for our new derived variables</w:t>
      </w:r>
      <w:r>
        <w:br/>
      </w:r>
      <w:r>
        <w:rPr>
          <w:rStyle w:val="NormalTok"/>
        </w:rPr>
        <w:t xml:space="preserve">}</w:t>
      </w:r>
      <w:r>
        <w:br/>
      </w:r>
      <w:r>
        <w:br/>
      </w:r>
      <w:r>
        <w:rPr>
          <w:rStyle w:val="CommentTok"/>
        </w:rPr>
        <w:t xml:space="preserve"># Now, lets use our function to extract the estimates from these two fitted models.</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tbl>
      <w:tblPr>
        <w:tblStyle w:val="Table"/>
        <w:tblW w:type="pct" w:w="5000"/>
        <w:tblLayout w:type="fixed"/>
        <w:tblLook w:firstRow="0" w:lastRow="0" w:firstColumn="0" w:lastColumn="0" w:noHBand="0" w:noVBand="0" w:val="0000"/>
      </w:tblPr>
      <w:tblGrid>
        <w:gridCol w:w="7920"/>
      </w:tblGrid>
      <w:tr>
        <w:tc>
          <w:tcPr/>
          <w:bookmarkStart w:id="169" w:name="supptbl-tls-recovery"/>
          <w:p>
            <w:pPr>
              <w:jc w:val="center"/>
            </w:pPr>
            <w:pPr>
              <w:jc w:val="start"/>
              <w:spacing w:before="200"/>
              <w:pStyle w:val="ImageCaption"/>
            </w:pPr>
            <w:r>
              <w:t xml:space="preserve">Table S3: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1548"/>
              <w:gridCol w:w="1352"/>
              <w:gridCol w:w="1389"/>
              <w:gridCol w:w="1499"/>
              <w:gridCol w:w="1303"/>
              <w:gridCol w:w="1340"/>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fig-tls-recovery"/>
          <w:p>
            <w:pPr>
              <w:jc w:val="center"/>
            </w:pPr>
            <w:r>
              <w:drawing>
                <wp:inline>
                  <wp:extent cx="5943600" cy="2971800"/>
                  <wp:effectExtent b="0" l="0" r="0" t="0"/>
                  <wp:docPr descr="" title="" id="171" name="Picture"/>
                  <a:graphic>
                    <a:graphicData uri="http://schemas.openxmlformats.org/drawingml/2006/picture">
                      <pic:pic>
                        <pic:nvPicPr>
                          <pic:cNvPr descr="ms/supplement_files/figure-docx/plot-tls-recovery-1.png" id="172" name="Picture"/>
                          <pic:cNvPicPr>
                            <a:picLocks noChangeArrowheads="1" noChangeAspect="1"/>
                          </pic:cNvPicPr>
                        </pic:nvPicPr>
                        <pic:blipFill>
                          <a:blip r:embed="rId17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173"/>
        </w:tc>
      </w:tr>
    </w:tbl>
    <w:p>
      <w:pPr>
        <w:pStyle w:val="BodyText"/>
      </w:pPr>
      <w:r>
        <w:t xml:space="preserve">The two derived quantities recover their simulation truth in both fits (</w:t>
      </w:r>
      <w:hyperlink w:anchor="supptbl-tls-recovery">
        <w:r>
          <w:rPr>
            <w:rStyle w:val="Hyperlink"/>
          </w:rPr>
          <w:t xml:space="preserve">Table S3</w:t>
        </w:r>
      </w:hyperlink>
      <w:r>
        <w:t xml:space="preserve">,</w:t>
      </w:r>
      <w:r>
        <w:t xml:space="preserve"> </w:t>
      </w:r>
      <w:hyperlink w:anchor="suppfig-tls-recovery">
        <w:r>
          <w:rPr>
            <w:rStyle w:val="Hyperlink"/>
          </w:rPr>
          <w:t xml:space="preserve">Figure S4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tbl>
      <w:tblPr>
        <w:tblStyle w:val="Table"/>
        <w:tblW w:type="pct" w:w="5000"/>
        <w:tblLayout w:type="fixed"/>
        <w:tblLook w:firstRow="0" w:lastRow="0" w:firstColumn="0" w:lastColumn="0" w:noHBand="0" w:noVBand="0" w:val="0000"/>
      </w:tblPr>
      <w:tblGrid>
        <w:gridCol w:w="7920"/>
      </w:tblGrid>
      <w:tr>
        <w:tc>
          <w:tcPr/>
          <w:bookmarkStart w:id="174" w:name="supptbl-uncert-z-ct"/>
          <w:p>
            <w:pPr>
              <w:jc w:val="center"/>
            </w:pPr>
            <w:pPr>
              <w:jc w:val="start"/>
              <w:spacing w:before="200"/>
              <w:pStyle w:val="ImageCaption"/>
            </w:pPr>
            <w:r>
              <w:t xml:space="preserve">Table S4: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p>
            <w:pPr>
              <w:pStyle w:val="SourceCode"/>
              <w:jc w:val="center"/>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(uncert_summary)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"Quantity"</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StringTok"/>
              </w:rPr>
              <w:t xml:space="preserve">"Likelihood"</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tringTok"/>
              </w:rPr>
              <w:t xml:space="preserve">"SD"</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StringTok"/>
              </w:rPr>
              <w:t xml:space="preserve">"2.5%"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StringTok"/>
              </w:rPr>
              <w:t xml:space="preserve">"97.5%"</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756"/>
              <w:gridCol w:w="1084"/>
              <w:gridCol w:w="961"/>
              <w:gridCol w:w="1132"/>
              <w:gridCol w:w="1084"/>
              <w:gridCol w:w="1084"/>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Likelihood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74"/>
        </w:tc>
      </w:tr>
    </w:tbl>
    <w:p>
      <w:pPr>
        <w:pStyle w:val="FirstParagraph"/>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important.png" id="176"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177"/>
    <w:bookmarkStart w:id="180" w:name="sec-compare"/>
    <w:p>
      <w:pPr>
        <w:pStyle w:val="Heading3"/>
      </w:pPr>
      <w:r>
        <w:t xml:space="preserve">14.0.5</w:t>
      </w:r>
      <w:r>
        <w:t xml:space="preserve"> </w:t>
      </w:r>
      <w:r>
        <w:rPr>
          <w:i/>
          <w:iCs/>
        </w:rPr>
        <w:t xml:space="preserve">Comparing the two pipelines</w:t>
      </w:r>
    </w:p>
    <w:bookmarkStart w:id="179" w:name="sec-compare-table"/>
    <w:p>
      <w:pPr>
        <w:pStyle w:val="Heading4"/>
      </w:pPr>
      <w:r>
        <w:t xml:space="preserve">14.0.5.1 Point-estimate agreement on the same data</w:t>
      </w:r>
    </w:p>
    <w:p>
      <w:pPr>
        <w:pStyle w:val="FirstParagraph"/>
      </w:pPr>
      <w:hyperlink w:anchor="supptbl-twostage-compare">
        <w:r>
          <w:rPr>
            <w:rStyle w:val="Hyperlink"/>
          </w:rPr>
          <w:t xml:space="preserve">Table S5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178" w:name="supptbl-twostage-compare"/>
          <w:p>
            <w:pPr>
              <w:jc w:val="center"/>
            </w:pPr>
            <w:pPr>
              <w:jc w:val="start"/>
              <w:spacing w:before="200"/>
              <w:pStyle w:val="ImageCaption"/>
            </w:pPr>
            <w:r>
              <w:t xml:space="preserve">Table S5: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2465"/>
              <w:gridCol w:w="2868"/>
              <w:gridCol w:w="2966"/>
              <w:gridCol w:w="3370"/>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(beta-binomial)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(beta-binomial)</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r>
          </w:tbl>
          <w:bookmarkEnd w:id="178"/>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179"/>
    <w:bookmarkEnd w:id="180"/>
    <w:bookmarkStart w:id="189" w:name="sec-joint-extend"/>
    <w:p>
      <w:pPr>
        <w:pStyle w:val="Heading3"/>
      </w:pPr>
      <w:r>
        <w:t xml:space="preserve">14.0.6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3"/>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3"/>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3"/>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181"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15</m:t>
              </m:r>
            </m:e>
          </m:d>
        </m:oMath>
      </m:oMathPara>
      <w:bookmarkEnd w:id="181"/>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4"/>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4"/>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182" w:name="sec-joint-extend-recipe"/>
    <w:p>
      <w:pPr>
        <w:pStyle w:val="Heading4"/>
      </w:pPr>
      <w:r>
        <w:t xml:space="preserve">14.0.6.1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1    30  6.68  6.57  6.81</w:t>
      </w:r>
      <w:r>
        <w:br/>
      </w:r>
      <w:r>
        <w:rPr>
          <w:rStyle w:val="VerbatimChar"/>
        </w:rPr>
        <w:t xml:space="preserve">2    32  6.68  6.57  6.81</w:t>
      </w:r>
      <w:r>
        <w:br/>
      </w:r>
      <w:r>
        <w:rPr>
          <w:rStyle w:val="VerbatimChar"/>
        </w:rPr>
        <w:t xml:space="preserve">3    34  6.68  6.57  6.81</w:t>
      </w:r>
      <w:r>
        <w:br/>
      </w:r>
      <w:r>
        <w:rPr>
          <w:rStyle w:val="VerbatimChar"/>
        </w:rPr>
        <w:t xml:space="preserve">4    36  6.68  6.57  6.81</w:t>
      </w:r>
      <w:r>
        <w:br/>
      </w:r>
      <w:r>
        <w:rPr>
          <w:rStyle w:val="VerbatimChar"/>
        </w:rPr>
        <w:t xml:space="preserve">5    38  6.68  6.57  6.81</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14.0.4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14.0.4</w:t>
        </w:r>
      </w:hyperlink>
      <w:r>
        <w:t xml:space="preserve">.</w:t>
      </w:r>
    </w:p>
    <w:bookmarkEnd w:id="182"/>
    <w:bookmarkStart w:id="188" w:name="sec-joint-extend-example"/>
    <w:p>
      <w:pPr>
        <w:pStyle w:val="Heading4"/>
      </w:pPr>
      <w:r>
        <w:t xml:space="preserve">14.0.6.2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supp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6" w:name="suppfig-true-surface-ext"/>
          <w:p>
            <w:pPr>
              <w:jc w:val="center"/>
            </w:pPr>
            <w:r>
              <w:drawing>
                <wp:inline>
                  <wp:extent cx="5943600" cy="3714750"/>
                  <wp:effectExtent b="0" l="0" r="0" t="0"/>
                  <wp:docPr descr="" title="" id="184" name="Picture"/>
                  <a:graphic>
                    <a:graphicData uri="http://schemas.openxmlformats.org/drawingml/2006/picture">
                      <pic:pic>
                        <pic:nvPicPr>
                          <pic:cNvPr descr="ms/supplement_files/figure-docx/plot-true-surface-ext-1.png" id="185" name="Picture"/>
                          <pic:cNvPicPr>
                            <a:picLocks noChangeArrowheads="1" noChangeAspect="1"/>
                          </pic:cNvPicPr>
                        </pic:nvPicPr>
                        <pic:blipFill>
                          <a:blip r:embed="rId183"/>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186"/>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-2.32      0.11    -2.54    -2.12 1.00     3257     2894</w:t>
      </w:r>
      <w:r>
        <w:br/>
      </w:r>
      <w:r>
        <w:rPr>
          <w:rStyle w:val="VerbatimChar"/>
        </w:rPr>
        <w:t xml:space="preserve">uraw_Intercept       1.60      0.09     1.42     1.78 1.00     3165     3234</w:t>
      </w:r>
      <w:r>
        <w:br/>
      </w:r>
      <w:r>
        <w:rPr>
          <w:rStyle w:val="VerbatimChar"/>
        </w:rPr>
        <w:t xml:space="preserve">uraw_T_c            -0.20      0.03    -0.26    -0.15 1.00     3844     2983</w:t>
      </w:r>
      <w:r>
        <w:br/>
      </w:r>
      <w:r>
        <w:rPr>
          <w:rStyle w:val="VerbatimChar"/>
        </w:rPr>
        <w:t xml:space="preserve">logk_Intercept       2.17      0.07     2.03     2.33 1.00     3204     2945</w:t>
      </w:r>
      <w:r>
        <w:br/>
      </w:r>
      <w:r>
        <w:rPr>
          <w:rStyle w:val="VerbatimChar"/>
        </w:rPr>
        <w:t xml:space="preserve">logk_T_c             0.13      0.02     0.09     0.18 1.00     3572     3059</w:t>
      </w:r>
      <w:r>
        <w:br/>
      </w:r>
      <w:r>
        <w:rPr>
          <w:rStyle w:val="VerbatimChar"/>
        </w:rPr>
        <w:t xml:space="preserve">mid_Intercept        1.51      0.01     1.48     1.53 1.00     3516     3127</w:t>
      </w:r>
      <w:r>
        <w:br/>
      </w:r>
      <w:r>
        <w:rPr>
          <w:rStyle w:val="VerbatimChar"/>
        </w:rPr>
        <w:t xml:space="preserve">mid_T_c             -0.15      0.00    -0.16    -0.14 1.00     5514     3074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5.79      0.44     4.97     6.67 1.00     3487     2727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187" w:name="supptbl-ext-recovery"/>
          <w:p>
            <w:pPr>
              <w:jc w:val="center"/>
            </w:pPr>
            <w:pPr>
              <w:jc w:val="start"/>
              <w:spacing w:before="200"/>
              <w:pStyle w:val="ImageCaption"/>
            </w:pPr>
            <w:r>
              <w:t xml:space="preserve">Table S6: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2125"/>
              <w:gridCol w:w="1084"/>
              <w:gridCol w:w="2074"/>
              <w:gridCol w:w="1084"/>
              <w:gridCol w:w="1084"/>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Temperature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Posterior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2.159</w:t>
                  </w:r>
                </w:p>
              </w:tc>
            </w:tr>
            <w:tr>
              <w:trPr>
                <w:trHeight w:val="56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7.623</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1.839</w:t>
                  </w:r>
                </w:p>
              </w:tc>
            </w:tr>
            <w:tr>
              <w:trPr>
                <w:trHeight w:val="56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1.525</w:t>
                  </w:r>
                </w:p>
              </w:tc>
            </w:tr>
            <w:tr>
              <w:trPr>
                <w:trHeight w:val="5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0.929</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14.312</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1.226</w:t>
                  </w:r>
                </w:p>
              </w:tc>
            </w:tr>
            <w:tr>
              <w:trPr>
                <w:trHeight w:val="5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0.904</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20.132</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0.932</w:t>
                  </w:r>
                </w:p>
              </w:tc>
            </w:tr>
            <w:tr>
              <w:trPr>
                <w:trHeight w:val="57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0.876</w:t>
                  </w:r>
                </w:p>
              </w:tc>
            </w:tr>
            <w:tr>
              <w:trPr>
                <w:trHeight w:val="615"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phi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6.674</w:t>
                  </w:r>
                </w:p>
              </w:tc>
            </w:tr>
          </w:tbl>
          <w:bookmarkEnd w:id="187"/>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1    30  6.00  5.55  6.40</w:t>
      </w:r>
      <w:r>
        <w:br/>
      </w:r>
      <w:r>
        <w:rPr>
          <w:rStyle w:val="VerbatimChar"/>
        </w:rPr>
        <w:t xml:space="preserve">2    32  6.21  5.90  6.61</w:t>
      </w:r>
      <w:r>
        <w:br/>
      </w:r>
      <w:r>
        <w:rPr>
          <w:rStyle w:val="VerbatimChar"/>
        </w:rPr>
        <w:t xml:space="preserve">3    34  6.29  5.91  6.73</w:t>
      </w:r>
      <w:r>
        <w:br/>
      </w:r>
      <w:r>
        <w:rPr>
          <w:rStyle w:val="VerbatimChar"/>
        </w:rPr>
        <w:t xml:space="preserve">4    36  6.33  5.91  6.78</w:t>
      </w:r>
      <w:r>
        <w:br/>
      </w:r>
      <w:r>
        <w:rPr>
          <w:rStyle w:val="VerbatimChar"/>
        </w:rPr>
        <w:t xml:space="preserve">5    38  6.34  5.90  6.81</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1          32.2         32.0         32.4</w:t>
      </w:r>
    </w:p>
    <w:p>
      <w:pPr>
        <w:pStyle w:val="FirstParagraph"/>
      </w:pPr>
      <w:r>
        <w:t xml:space="preserve">In the simple-model fit (</w:t>
      </w:r>
      <w:hyperlink w:anchor="sec-joint-derive">
        <w:r>
          <w:rPr>
            <w:rStyle w:val="Hyperlink"/>
          </w:rPr>
          <w:t xml:space="preserve">Section 14.0.4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1  6.22  5.89  6.62</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6.22 °C with 95% credible interval [5.89, 6.62]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188"/>
    <w:bookmarkEnd w:id="189"/>
    <w:bookmarkStart w:id="205" w:name="Xe7aa7dad2263dcc53896638c26df8fa36c3ac15"/>
    <w:p>
      <w:pPr>
        <w:pStyle w:val="Heading3"/>
      </w:pPr>
      <w:r>
        <w:t xml:space="preserve">14.0.7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at</w:t>
      </w:r>
      <w:r>
        <w:t xml:space="preserve"> </w:t>
      </w:r>
      <w:hyperlink w:anchor="eq-S-pred">
        <w:r>
          <w:rPr>
            <w:rStyle w:val="Hyperlink"/>
          </w:rPr>
          <w:t xml:space="preserve">Equation 10</w:t>
        </w:r>
      </w:hyperlink>
      <w:r>
        <w:t xml:space="preserve">.</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14.0.4</w:t>
        </w:r>
      </w:hyperlink>
      <w:r>
        <w:t xml:space="preserve">.</w:t>
      </w:r>
    </w:p>
    <w:bookmarkStart w:id="194" w:name="X2565bbe8bf2ef4bf1ac0b43de14fb322f1e6d4c"/>
    <w:p>
      <w:pPr>
        <w:pStyle w:val="Heading4"/>
      </w:pPr>
      <w:r>
        <w:t xml:space="preserve">14.0.7.1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14.0.1.1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93" w:name="suppfig-hi-trace"/>
          <w:p>
            <w:pPr>
              <w:jc w:val="center"/>
            </w:pPr>
            <w:r>
              <w:drawing>
                <wp:inline>
                  <wp:extent cx="5943600" cy="2122714"/>
                  <wp:effectExtent b="0" l="0" r="0" t="0"/>
                  <wp:docPr descr="" title="" id="191" name="Picture"/>
                  <a:graphic>
                    <a:graphicData uri="http://schemas.openxmlformats.org/drawingml/2006/picture">
                      <pic:pic>
                        <pic:nvPicPr>
                          <pic:cNvPr descr="ms/supplement_files/figure-docx/plot-hi-trace-1.png" id="192" name="Picture"/>
                          <pic:cNvPicPr>
                            <a:picLocks noChangeArrowheads="1" noChangeAspect="1"/>
                          </pic:cNvPicPr>
                        </pic:nvPicPr>
                        <pic:blipFill>
                          <a:blip r:embed="rId190"/>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193"/>
        </w:tc>
      </w:tr>
    </w:tbl>
    <w:bookmarkEnd w:id="194"/>
    <w:bookmarkStart w:id="199" w:name="Xe6877a6f5dc983cb0dd5eab502e7dafa22c855c"/>
    <w:p>
      <w:pPr>
        <w:pStyle w:val="Heading4"/>
      </w:pPr>
      <w:r>
        <w:t xml:space="preserve">14.0.7.2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w:t>
      </w:r>
      <w:hyperlink w:anchor="eq-hi">
        <w:r>
          <w:rPr>
            <w:rStyle w:val="Hyperlink"/>
          </w:rPr>
          <w:t xml:space="preserve">Equation 7</w:t>
        </w:r>
      </w:hyperlink>
      <w:r>
        <w:t xml:space="preserve">)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8" w:name="suppfig-hi-accumulation"/>
          <w:p>
            <w:pPr>
              <w:jc w:val="center"/>
            </w:pPr>
            <w:r>
              <w:drawing>
                <wp:inline>
                  <wp:extent cx="5943600" cy="2971800"/>
                  <wp:effectExtent b="0" l="0" r="0" t="0"/>
                  <wp:docPr descr="" title="" id="196" name="Picture"/>
                  <a:graphic>
                    <a:graphicData uri="http://schemas.openxmlformats.org/drawingml/2006/picture">
                      <pic:pic>
                        <pic:nvPicPr>
                          <pic:cNvPr descr="ms/supplement_files/figure-docx/plot-hi-accumulation-1.png" id="197" name="Picture"/>
                          <pic:cNvPicPr>
                            <a:picLocks noChangeArrowheads="1" noChangeAspect="1"/>
                          </pic:cNvPicPr>
                        </pic:nvPicPr>
                        <pic:blipFill>
                          <a:blip r:embed="rId19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198"/>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199"/>
    <w:bookmarkStart w:id="204" w:name="Xb3b11273ea892ff4aeb7c2ae041ff3fdc5de6b0"/>
    <w:p>
      <w:pPr>
        <w:pStyle w:val="Heading4"/>
      </w:pPr>
      <w:r>
        <w:t xml:space="preserve">14.0.7.3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w:t>
      </w:r>
      <w:hyperlink w:anchor="eq-S-pred">
        <w:r>
          <w:rPr>
            <w:rStyle w:val="Hyperlink"/>
          </w:rPr>
          <w:t xml:space="preserve">Equation 10</w:t>
        </w:r>
      </w:hyperlink>
      <w:r>
        <w:t xml:space="preserve">).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suppfig-survival-pred"/>
          <w:p>
            <w:pPr>
              <w:jc w:val="center"/>
            </w:pPr>
            <w:r>
              <w:drawing>
                <wp:inline>
                  <wp:extent cx="5943600" cy="2971800"/>
                  <wp:effectExtent b="0" l="0" r="0" t="0"/>
                  <wp:docPr descr="" title="" id="201" name="Picture"/>
                  <a:graphic>
                    <a:graphicData uri="http://schemas.openxmlformats.org/drawingml/2006/picture">
                      <pic:pic>
                        <pic:nvPicPr>
                          <pic:cNvPr descr="ms/supplement_files/figure-docx/plot-s-pred-1.png" id="202" name="Picture"/>
                          <pic:cNvPicPr>
                            <a:picLocks noChangeArrowheads="1" noChangeAspect="1"/>
                          </pic:cNvPicPr>
                        </pic:nvPicPr>
                        <pic:blipFill>
                          <a:blip r:embed="rId20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Posterior predicted population-level survival fraction under the 5-day field trace, computed from the model (</w:t>
            </w:r>
            <w:hyperlink w:anchor="eq-S-pred">
              <w:r>
                <w:rPr>
                  <w:rStyle w:val="Hyperlink"/>
                </w:rPr>
                <w:t xml:space="preserve">Equation 10</w:t>
              </w:r>
            </w:hyperlink>
            <w:r>
              <w:t xml:space="preserve">).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203"/>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204"/>
    <w:bookmarkEnd w:id="205"/>
    <w:bookmarkEnd w:id="206"/>
    <w:bookmarkStart w:id="244" w:name="references-1"/>
    <w:p>
      <w:pPr>
        <w:pStyle w:val="Heading1"/>
      </w:pPr>
      <w:r>
        <w:t xml:space="preserve">15. </w:t>
      </w:r>
      <w:r>
        <w:rPr>
          <w:b/>
          <w:bCs/>
        </w:rPr>
        <w:t xml:space="preserve">References</w:t>
      </w:r>
    </w:p>
    <w:bookmarkStart w:id="243" w:name="refs"/>
    <w:bookmarkStart w:id="207"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07"/>
    <w:bookmarkStart w:id="208"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208"/>
    <w:bookmarkStart w:id="209" w:name="ref-buckley_damage_2025"/>
    <w:p>
      <w:pPr>
        <w:pStyle w:val="Bibliography"/>
      </w:pPr>
      <w:r>
        <w:t xml:space="preserve">Buckley, L.B., Huey, R.B. &amp; Ma, C.-S. (2025).</w:t>
      </w:r>
      <w:r>
        <w:t xml:space="preserve"> </w:t>
      </w:r>
      <w:hyperlink r:id="rId65">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209"/>
    <w:bookmarkStart w:id="210" w:name="ref-burke_ipd_2017"/>
    <w:p>
      <w:pPr>
        <w:pStyle w:val="Bibliography"/>
      </w:pPr>
      <w:r>
        <w:t xml:space="preserve">Burke, D.L., Ensor, J. &amp; Riley, R.D. (2017).</w:t>
      </w:r>
      <w:r>
        <w:t xml:space="preserve"> </w:t>
      </w:r>
      <w:hyperlink r:id="rId67">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210"/>
    <w:bookmarkStart w:id="211" w:name="ref-burkner_brms_2017"/>
    <w:p>
      <w:pPr>
        <w:pStyle w:val="Bibliography"/>
      </w:pPr>
      <w:r>
        <w:t xml:space="preserve">Bürkner, P.-C. (2017).</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211"/>
    <w:bookmarkStart w:id="212" w:name="ref-carroll_measurement_2006"/>
    <w:p>
      <w:pPr>
        <w:pStyle w:val="Bibliography"/>
      </w:pPr>
      <w:r>
        <w:t xml:space="preserve">Carroll, R.J., Ruppert, D., Stefanski, L.A. &amp; Crainiceanu, C.M. (2006).</w:t>
      </w:r>
      <w:r>
        <w:t xml:space="preserve"> </w:t>
      </w:r>
      <w:hyperlink r:id="rId71">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212"/>
    <w:bookmarkStart w:id="213"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3">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213"/>
    <w:bookmarkStart w:id="214" w:name="ref-gelman_priors_2006"/>
    <w:p>
      <w:pPr>
        <w:pStyle w:val="Bibliography"/>
      </w:pPr>
      <w:r>
        <w:t xml:space="preserve">Gelman, A. (2006).</w:t>
      </w:r>
      <w:r>
        <w:t xml:space="preserve"> </w:t>
      </w:r>
      <w:hyperlink r:id="rId75">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214"/>
    <w:bookmarkStart w:id="215" w:name="ref-harrison_olre_2014"/>
    <w:p>
      <w:pPr>
        <w:pStyle w:val="Bibliography"/>
      </w:pPr>
      <w:r>
        <w:t xml:space="preserve">Harrison, X.A. (2014).</w:t>
      </w:r>
      <w:r>
        <w:t xml:space="preserve"> </w:t>
      </w:r>
      <w:hyperlink r:id="rId77">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215"/>
    <w:bookmarkStart w:id="216"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9">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216"/>
    <w:bookmarkStart w:id="217" w:name="ref-jorgensen_drosophila_2019"/>
    <w:p>
      <w:pPr>
        <w:pStyle w:val="Bibliography"/>
      </w:pPr>
      <w:r>
        <w:t xml:space="preserve">Jørgensen, L.B., Malte, H. &amp; Overgaard, J. (2019).</w:t>
      </w:r>
      <w:r>
        <w:t xml:space="preserve"> </w:t>
      </w:r>
      <w:hyperlink r:id="rId81">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217"/>
    <w:bookmarkStart w:id="218" w:name="ref-jorgensen_unifying_2021"/>
    <w:p>
      <w:pPr>
        <w:pStyle w:val="Bibliography"/>
      </w:pPr>
      <w:r>
        <w:t xml:space="preserve">Jørgensen, L.B., Malte, H. &amp; Overgaard, J. (2021).</w:t>
      </w:r>
      <w:r>
        <w:t xml:space="preserve"> </w:t>
      </w:r>
      <w:hyperlink r:id="rId83">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18"/>
    <w:bookmarkStart w:id="219" w:name="ref-jorgensen_nature_2022"/>
    <w:p>
      <w:pPr>
        <w:pStyle w:val="Bibliography"/>
      </w:pPr>
      <w:r>
        <w:t xml:space="preserve">Jørgensen, L.B., Ørsted, M., Malte, H., Wang, T. &amp; Overgaard, J. (2022).</w:t>
      </w:r>
      <w:r>
        <w:t xml:space="preserve"> </w:t>
      </w:r>
      <w:hyperlink r:id="rId85">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219"/>
    <w:bookmarkStart w:id="220" w:name="ref-kingsolver_umbanhowar_2018"/>
    <w:p>
      <w:pPr>
        <w:pStyle w:val="Bibliography"/>
      </w:pPr>
      <w:r>
        <w:t xml:space="preserve">Kingsolver, J.G. &amp; Umbanhowar, J. (2018).</w:t>
      </w:r>
      <w:r>
        <w:t xml:space="preserve"> </w:t>
      </w:r>
      <w:hyperlink r:id="rId87">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220"/>
    <w:bookmarkStart w:id="221"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9">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21"/>
    <w:bookmarkStart w:id="222" w:name="ref-nakagawa_santos_2012"/>
    <w:p>
      <w:pPr>
        <w:pStyle w:val="Bibliography"/>
      </w:pPr>
      <w:r>
        <w:t xml:space="preserve">Nakagawa, S. &amp; Santos, E.S.A. (2012).</w:t>
      </w:r>
      <w:r>
        <w:t xml:space="preserve"> </w:t>
      </w:r>
      <w:hyperlink r:id="rId91">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222"/>
    <w:bookmarkStart w:id="223" w:name="ref-nielsen_nlmm_2004"/>
    <w:p>
      <w:pPr>
        <w:pStyle w:val="Bibliography"/>
      </w:pPr>
      <w:r>
        <w:t xml:space="preserve">Nielsen, O.K., Ritz, C. &amp; Streibig, J.C. (2004).</w:t>
      </w:r>
      <w:r>
        <w:t xml:space="preserve"> </w:t>
      </w:r>
      <w:hyperlink r:id="rId93">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223"/>
    <w:bookmarkStart w:id="22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w:t>
      </w:r>
    </w:p>
    <w:bookmarkEnd w:id="224"/>
    <w:bookmarkStart w:id="225" w:name="ref-orsted_finding_2022"/>
    <w:p>
      <w:pPr>
        <w:pStyle w:val="Bibliography"/>
      </w:pPr>
      <w:r>
        <w:t xml:space="preserve">Ørsted, M., Jørgensen, L.B. &amp; Overgaard, J. (2022).</w:t>
      </w:r>
      <w:r>
        <w:t xml:space="preserve"> </w:t>
      </w:r>
      <w:hyperlink r:id="rId9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25"/>
    <w:bookmarkStart w:id="226" w:name="ref-orsted_suzukii_2024"/>
    <w:p>
      <w:pPr>
        <w:pStyle w:val="Bibliography"/>
      </w:pPr>
      <w:r>
        <w:t xml:space="preserve">Ørsted, M., Willot, Q., Olsen, A.K., Kongsgaard, V. &amp; Overgaard, J. (2024).</w:t>
      </w:r>
      <w:r>
        <w:t xml:space="preserve"> </w:t>
      </w:r>
      <w:hyperlink r:id="rId9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26"/>
    <w:bookmarkStart w:id="227" w:name="ref-pinsky_marine_2019"/>
    <w:p>
      <w:pPr>
        <w:pStyle w:val="Bibliography"/>
      </w:pPr>
      <w:r>
        <w:t xml:space="preserve">Pinsky, M.L., Eikeset, A.M., McCauley, D.J., Payne, J.L. &amp; Sunday, J.M. (2019).</w:t>
      </w:r>
      <w:r>
        <w:t xml:space="preserve"> </w:t>
      </w:r>
      <w:hyperlink r:id="rId101">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227"/>
    <w:bookmarkStart w:id="228"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3">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228"/>
    <w:bookmarkStart w:id="229" w:name="ref-rezende_drosophila_mortality_2020"/>
    <w:p>
      <w:pPr>
        <w:pStyle w:val="Bibliography"/>
      </w:pPr>
      <w:r>
        <w:t xml:space="preserve">Rezende, E.L., Bozinovic, F., Szilágyi, A. &amp; Santos, M. (2020).</w:t>
      </w:r>
      <w:r>
        <w:t xml:space="preserve"> </w:t>
      </w:r>
      <w:hyperlink r:id="rId10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29"/>
    <w:bookmarkStart w:id="230" w:name="ref-rezende_landscapes_2014"/>
    <w:p>
      <w:pPr>
        <w:pStyle w:val="Bibliography"/>
      </w:pPr>
      <w:r>
        <w:t xml:space="preserve">Rezende, E.L., Castañeda, L.E. &amp; Santos, M. (2014).</w:t>
      </w:r>
      <w:r>
        <w:t xml:space="preserve"> </w:t>
      </w:r>
      <w:hyperlink r:id="rId10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30"/>
    <w:bookmarkStart w:id="231" w:name="ref-ritz_ecotox_2010"/>
    <w:p>
      <w:pPr>
        <w:pStyle w:val="Bibliography"/>
      </w:pPr>
      <w:r>
        <w:t xml:space="preserve">Ritz, C. (2010).</w:t>
      </w:r>
      <w:r>
        <w:t xml:space="preserve"> </w:t>
      </w:r>
      <w:hyperlink r:id="rId109">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231"/>
    <w:bookmarkStart w:id="232" w:name="ref-ritz_drc_2015"/>
    <w:p>
      <w:pPr>
        <w:pStyle w:val="Bibliography"/>
      </w:pPr>
      <w:r>
        <w:t xml:space="preserve">Ritz, C., Baty, F., Streibig, J.C. &amp; Gerhard, D. (2015).</w:t>
      </w:r>
      <w:r>
        <w:t xml:space="preserve"> </w:t>
      </w:r>
      <w:hyperlink r:id="rId111">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232"/>
    <w:bookmarkStart w:id="233" w:name="ref-ritz_streibig_2008"/>
    <w:p>
      <w:pPr>
        <w:pStyle w:val="Bibliography"/>
      </w:pPr>
      <w:r>
        <w:t xml:space="preserve">Ritz, C. &amp; Streibig, J.C. (2008).</w:t>
      </w:r>
      <w:r>
        <w:t xml:space="preserve"> </w:t>
      </w:r>
      <w:hyperlink r:id="rId113">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233"/>
    <w:bookmarkStart w:id="234" w:name="ref-rudemo_random_1989"/>
    <w:p>
      <w:pPr>
        <w:pStyle w:val="Bibliography"/>
      </w:pPr>
      <w:r>
        <w:t xml:space="preserve">Rudemo, M., Ruppert, D. &amp; Streibig, J.C. (1989).</w:t>
      </w:r>
      <w:r>
        <w:t xml:space="preserve"> </w:t>
      </w:r>
      <w:hyperlink r:id="rId115">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234"/>
    <w:bookmarkStart w:id="235" w:name="ref-schielzeth_centering_2010"/>
    <w:p>
      <w:pPr>
        <w:pStyle w:val="Bibliography"/>
      </w:pPr>
      <w:r>
        <w:t xml:space="preserve">Schielzeth, H. (2010).</w:t>
      </w:r>
      <w:r>
        <w:t xml:space="preserve"> </w:t>
      </w:r>
      <w:hyperlink r:id="rId117">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235"/>
    <w:bookmarkStart w:id="236"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9">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236"/>
    <w:bookmarkStart w:id="237" w:name="ref-snook_fertility_2026"/>
    <w:p>
      <w:pPr>
        <w:pStyle w:val="Bibliography"/>
      </w:pPr>
      <w:r>
        <w:t xml:space="preserve">Snook, R.R., Bretman, A., Dougherty, L.R. &amp; Fricke, C. (2026).</w:t>
      </w:r>
      <w:r>
        <w:t xml:space="preserve"> </w:t>
      </w:r>
      <w:hyperlink r:id="rId121">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237"/>
    <w:bookmarkStart w:id="238" w:name="ref-sunday_global_2011"/>
    <w:p>
      <w:pPr>
        <w:pStyle w:val="Bibliography"/>
      </w:pPr>
      <w:r>
        <w:t xml:space="preserve">Sunday, J.M., Bates, A.E. &amp; Dulvy, N.K. (2011).</w:t>
      </w:r>
      <w:r>
        <w:t xml:space="preserve"> </w:t>
      </w:r>
      <w:hyperlink r:id="rId123">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238"/>
    <w:bookmarkStart w:id="239" w:name="ref-sunday_redistribution_2012"/>
    <w:p>
      <w:pPr>
        <w:pStyle w:val="Bibliography"/>
      </w:pPr>
      <w:r>
        <w:t xml:space="preserve">Sunday, J.M., Bates, A.E. &amp; Dulvy, N.K. (2012).</w:t>
      </w:r>
      <w:r>
        <w:t xml:space="preserve"> </w:t>
      </w:r>
      <w:hyperlink r:id="rId125">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239"/>
    <w:bookmarkStart w:id="240" w:name="ref-truebano2018"/>
    <w:p>
      <w:pPr>
        <w:pStyle w:val="Bibliography"/>
      </w:pPr>
      <w:r>
        <w:t xml:space="preserve">Truebano, M., Fenner, P., Tills, O., Rundle, S. &amp; Rezende, E. (2018).</w:t>
      </w:r>
      <w:r>
        <w:t xml:space="preserve"> </w:t>
      </w:r>
      <w:hyperlink r:id="rId12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240"/>
    <w:bookmarkStart w:id="241" w:name="ref-villeneuve_dynamic_2024"/>
    <w:p>
      <w:pPr>
        <w:pStyle w:val="Bibliography"/>
      </w:pPr>
      <w:r>
        <w:t xml:space="preserve">Villeneuve, A.R. &amp; White, E.R. (2024).</w:t>
      </w:r>
      <w:r>
        <w:t xml:space="preserve"> </w:t>
      </w:r>
      <w:hyperlink r:id="rId129">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241"/>
    <w:bookmarkStart w:id="242" w:name="ref-wiens_localextinctions_2016"/>
    <w:p>
      <w:pPr>
        <w:pStyle w:val="Bibliography"/>
      </w:pPr>
      <w:r>
        <w:t xml:space="preserve">Wiens, J.J. (2016).</w:t>
      </w:r>
      <w:r>
        <w:t xml:space="preserve"> </w:t>
      </w:r>
      <w:hyperlink r:id="rId131">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242"/>
    <w:bookmarkEnd w:id="243"/>
    <w:bookmarkEnd w:id="244"/>
    <w:bookmarkStart w:id="245" w:name="session-information"/>
    <w:p>
      <w:pPr>
        <w:pStyle w:val="Heading1"/>
      </w:pPr>
      <w:r>
        <w:t xml:space="preserve">16.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flextable(v.0.9.9)</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fontquiver(v.0.2.1)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askpass(v.1.2.1)</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xml2(v.1.5.2)</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stats4(v.4.5.3)</w:t>
      </w:r>
      <w:r>
        <w:t xml:space="preserve">,</w:t>
      </w:r>
      <w:r>
        <w:t xml:space="preserve"> </w:t>
      </w:r>
      <w:r>
        <w:rPr>
          <w:i/>
          <w:iCs/>
        </w:rPr>
        <w:t xml:space="preserve">grid(v.4.5.3)</w:t>
      </w:r>
      <w:r>
        <w:t xml:space="preserve">,</w:t>
      </w:r>
      <w:r>
        <w:t xml:space="preserve"> </w:t>
      </w:r>
      <w:r>
        <w:rPr>
          <w:i/>
          <w:iCs/>
        </w:rPr>
        <w:t xml:space="preserve">gdtools(v.0.4.2)</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katex(v.1.5.0)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fontBitstreamVera(v.0.1.1)</w:t>
      </w:r>
      <w:r>
        <w:t xml:space="preserve">,</w:t>
      </w:r>
      <w:r>
        <w:t xml:space="preserve"> </w:t>
      </w:r>
      <w:r>
        <w:rPr>
          <w:i/>
          <w:iCs/>
        </w:rPr>
        <w:t xml:space="preserve">arrayhelpers(v.1.1-0)</w:t>
      </w:r>
      <w:r>
        <w:t xml:space="preserve">,</w:t>
      </w:r>
      <w:r>
        <w:t xml:space="preserve"> </w:t>
      </w:r>
      <w:r>
        <w:rPr>
          <w:i/>
          <w:iCs/>
        </w:rPr>
        <w:t xml:space="preserve">systemfonts(v.1.3.2)</w:t>
      </w:r>
      <w:r>
        <w:t xml:space="preserve">,</w:t>
      </w:r>
      <w:r>
        <w:t xml:space="preserve"> </w:t>
      </w:r>
      <w:r>
        <w:rPr>
          <w:i/>
          <w:iCs/>
        </w:rPr>
        <w:t xml:space="preserve">xslt(v.1.5.1)</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equatags(v.0.2.1)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openssl(v.2.4.0)</w:t>
      </w:r>
      <w:r>
        <w:t xml:space="preserve">,</w:t>
      </w:r>
      <w:r>
        <w:t xml:space="preserve"> </w:t>
      </w:r>
      <w:r>
        <w:rPr>
          <w:i/>
          <w:iCs/>
        </w:rPr>
        <w:t xml:space="preserve">R6(v.2.6.1)</w:t>
      </w:r>
      <w:r>
        <w:t xml:space="preserve">,</w:t>
      </w:r>
      <w:r>
        <w:t xml:space="preserve"> </w:t>
      </w:r>
      <w:r>
        <w:rPr>
          <w:i/>
          <w:iCs/>
        </w:rPr>
        <w:t xml:space="preserve">textshaping(v.1.0.5)</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fontLiberation(v.0.1.0)</w:t>
      </w:r>
      <w:r>
        <w:t xml:space="preserve">,</w:t>
      </w:r>
      <w:r>
        <w:t xml:space="preserve"> </w:t>
      </w:r>
      <w:r>
        <w:rPr>
          <w:i/>
          <w:iCs/>
        </w:rPr>
        <w:t xml:space="preserve">rstantools(v.2.6.0)</w:t>
      </w:r>
      <w:r>
        <w:t xml:space="preserve">,</w:t>
      </w:r>
      <w:r>
        <w:t xml:space="preserve"> </w:t>
      </w:r>
      <w:r>
        <w:rPr>
          <w:i/>
          <w:iCs/>
        </w:rPr>
        <w:t xml:space="preserve">zip(v.2.3.3)</w:t>
      </w:r>
      <w:r>
        <w:t xml:space="preserve">,</w:t>
      </w:r>
      <w:r>
        <w:t xml:space="preserve"> </w:t>
      </w:r>
      <w:r>
        <w:rPr>
          <w:i/>
          <w:iCs/>
        </w:rPr>
        <w:t xml:space="preserve">uuid(v.1.2-2)</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officer(v.0.6.10)</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45"/>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95" Target="media/rId195.png" /><Relationship Type="http://schemas.openxmlformats.org/officeDocument/2006/relationships/image" Id="rId190" Target="media/rId190.png" /><Relationship Type="http://schemas.openxmlformats.org/officeDocument/2006/relationships/image" Id="rId163" Target="media/rId163.png" /><Relationship Type="http://schemas.openxmlformats.org/officeDocument/2006/relationships/image" Id="rId200" Target="media/rId200.png" /><Relationship Type="http://schemas.openxmlformats.org/officeDocument/2006/relationships/image" Id="rId147" Target="media/rId147.png" /><Relationship Type="http://schemas.openxmlformats.org/officeDocument/2006/relationships/image" Id="rId170" Target="media/rId170.png" /><Relationship Type="http://schemas.openxmlformats.org/officeDocument/2006/relationships/image" Id="rId138" Target="media/rId138.png" /><Relationship Type="http://schemas.openxmlformats.org/officeDocument/2006/relationships/image" Id="rId183" Target="media/rId183.png" /><Relationship Type="http://schemas.openxmlformats.org/officeDocument/2006/relationships/hyperlink" Id="rId109" Target="https://doi.org/10.1002/etc.7" TargetMode="External" /><Relationship Type="http://schemas.openxmlformats.org/officeDocument/2006/relationships/hyperlink" Id="rId67" Target="https://doi.org/10.1002/sim.7141" TargetMode="External" /><Relationship Type="http://schemas.openxmlformats.org/officeDocument/2006/relationships/hyperlink" Id="rId113" Target="https://doi.org/10.1007/978-0-387-09616-2" TargetMode="External" /><Relationship Type="http://schemas.openxmlformats.org/officeDocument/2006/relationships/hyperlink" Id="rId91" Target="https://doi.org/10.1007/s10682-012-9555-5" TargetMode="External" /><Relationship Type="http://schemas.openxmlformats.org/officeDocument/2006/relationships/hyperlink" Id="rId89" Target="https://doi.org/10.1016/j.jtherbio.2023.103583" TargetMode="External" /><Relationship Type="http://schemas.openxmlformats.org/officeDocument/2006/relationships/hyperlink" Id="rId95" Target="https://doi.org/10.1016/j.tree.2026.01.009" TargetMode="External" /><Relationship Type="http://schemas.openxmlformats.org/officeDocument/2006/relationships/hyperlink" Id="rId125" Target="https://doi.org/10.1038/nclimate1539" TargetMode="External" /><Relationship Type="http://schemas.openxmlformats.org/officeDocument/2006/relationships/hyperlink" Id="rId119" Target="https://doi.org/10.1038/s41558-019-0412-1" TargetMode="External" /><Relationship Type="http://schemas.openxmlformats.org/officeDocument/2006/relationships/hyperlink" Id="rId101" Target="https://doi.org/10.1038/s41586-019-1132-4" TargetMode="External" /><Relationship Type="http://schemas.openxmlformats.org/officeDocument/2006/relationships/hyperlink" Id="rId85" Target="https://doi.org/10.1038/s41586-022-05334-4" TargetMode="External" /><Relationship Type="http://schemas.openxmlformats.org/officeDocument/2006/relationships/hyperlink" Id="rId103" Target="https://doi.org/10.1038/s41586-025-08665-0" TargetMode="External" /><Relationship Type="http://schemas.openxmlformats.org/officeDocument/2006/relationships/hyperlink" Id="rId83" Target="https://doi.org/10.1038/s41598-021-92004-6" TargetMode="External" /><Relationship Type="http://schemas.openxmlformats.org/officeDocument/2006/relationships/hyperlink" Id="rId121" Target="https://doi.org/10.1038/s44358-026-00142-4" TargetMode="External" /><Relationship Type="http://schemas.openxmlformats.org/officeDocument/2006/relationships/hyperlink" Id="rId73" Target="https://doi.org/10.1073/pnas.0709472105" TargetMode="External" /><Relationship Type="http://schemas.openxmlformats.org/officeDocument/2006/relationships/hyperlink" Id="rId65" Target="https://doi.org/10.1093/icb/icaf019" TargetMode="External" /><Relationship Type="http://schemas.openxmlformats.org/officeDocument/2006/relationships/hyperlink" Id="rId123" Target="https://doi.org/10.1098/rspb.2010.1295" TargetMode="External" /><Relationship Type="http://schemas.openxmlformats.org/officeDocument/2006/relationships/hyperlink" Id="rId107" Target="https://doi.org/10.1111/1365-2435.12268" TargetMode="External" /><Relationship Type="http://schemas.openxmlformats.org/officeDocument/2006/relationships/hyperlink" Id="rId81" Target="https://doi.org/10.1111/1365-2435.13279" TargetMode="External" /><Relationship Type="http://schemas.openxmlformats.org/officeDocument/2006/relationships/hyperlink" Id="rId129" Target="https://doi.org/10.1111/1365-2656.14120" TargetMode="External" /><Relationship Type="http://schemas.openxmlformats.org/officeDocument/2006/relationships/hyperlink" Id="rId99" Target="https://doi.org/10.1111/ele.14421" TargetMode="External" /><Relationship Type="http://schemas.openxmlformats.org/officeDocument/2006/relationships/hyperlink" Id="rId62" Target="https://doi.org/10.1111/gcb.70315" TargetMode="External" /><Relationship Type="http://schemas.openxmlformats.org/officeDocument/2006/relationships/hyperlink" Id="rId117" Target="https://doi.org/10.1111/j.2041-210X.2010.00012.x" TargetMode="External" /><Relationship Type="http://schemas.openxmlformats.org/officeDocument/2006/relationships/hyperlink" Id="rId105" Target="https://doi.org/10.1126/science.aba9287" TargetMode="External" /><Relationship Type="http://schemas.openxmlformats.org/officeDocument/2006/relationships/hyperlink" Id="rId71" Target="https://doi.org/10.1201/9781420010138" TargetMode="External" /><Relationship Type="http://schemas.openxmlformats.org/officeDocument/2006/relationships/hyperlink" Id="rId75" Target="https://doi.org/10.1214/06-BA117A" TargetMode="External" /><Relationship Type="http://schemas.openxmlformats.org/officeDocument/2006/relationships/hyperlink" Id="rId87" Target="https://doi.org/10.1242/jeb.167858" TargetMode="External" /><Relationship Type="http://schemas.openxmlformats.org/officeDocument/2006/relationships/hyperlink" Id="rId127" Target="https://doi.org/10.1242/jeb.171629" TargetMode="External" /><Relationship Type="http://schemas.openxmlformats.org/officeDocument/2006/relationships/hyperlink" Id="rId97" Target="https://doi.org/10.1242/jeb.244514" TargetMode="External" /><Relationship Type="http://schemas.openxmlformats.org/officeDocument/2006/relationships/hyperlink" Id="rId131" Target="https://doi.org/10.1371/journal.pbio.2001104" TargetMode="External" /><Relationship Type="http://schemas.openxmlformats.org/officeDocument/2006/relationships/hyperlink" Id="rId111" Target="https://doi.org/10.1371/journal.pone.0146021" TargetMode="External" /><Relationship Type="http://schemas.openxmlformats.org/officeDocument/2006/relationships/hyperlink" Id="rId93" Target="https://doi.org/10.1614/WT-03-070R1" TargetMode="External" /><Relationship Type="http://schemas.openxmlformats.org/officeDocument/2006/relationships/hyperlink" Id="rId69" Target="https://doi.org/10.18637/jss.v080.i01" TargetMode="External" /><Relationship Type="http://schemas.openxmlformats.org/officeDocument/2006/relationships/hyperlink" Id="rId115" Target="https://doi.org/10.2307/2531483" TargetMode="External" /><Relationship Type="http://schemas.openxmlformats.org/officeDocument/2006/relationships/hyperlink" Id="rId79" Target="https://doi.org/10.7717/peerj.4794" TargetMode="External" /><Relationship Type="http://schemas.openxmlformats.org/officeDocument/2006/relationships/hyperlink" Id="rId77" Target="https://doi.org/10.7717/peerj.616" TargetMode="External" /><Relationship Type="http://schemas.openxmlformats.org/officeDocument/2006/relationships/hyperlink" Id="rId57" Target="https://github.com/..." TargetMode="External" /><Relationship Type="http://schemas.openxmlformats.org/officeDocument/2006/relationships/hyperlink" Id="rId59" Target="https://mc-stan.org/cmdstanr/" TargetMode="External" /><Relationship Type="http://schemas.openxmlformats.org/officeDocument/2006/relationships/hyperlink" Id="rId58"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2/etc.7" TargetMode="External" /><Relationship Type="http://schemas.openxmlformats.org/officeDocument/2006/relationships/hyperlink" Id="rId67" Target="https://doi.org/10.1002/sim.7141" TargetMode="External" /><Relationship Type="http://schemas.openxmlformats.org/officeDocument/2006/relationships/hyperlink" Id="rId113" Target="https://doi.org/10.1007/978-0-387-09616-2" TargetMode="External" /><Relationship Type="http://schemas.openxmlformats.org/officeDocument/2006/relationships/hyperlink" Id="rId91" Target="https://doi.org/10.1007/s10682-012-9555-5" TargetMode="External" /><Relationship Type="http://schemas.openxmlformats.org/officeDocument/2006/relationships/hyperlink" Id="rId89" Target="https://doi.org/10.1016/j.jtherbio.2023.103583" TargetMode="External" /><Relationship Type="http://schemas.openxmlformats.org/officeDocument/2006/relationships/hyperlink" Id="rId95" Target="https://doi.org/10.1016/j.tree.2026.01.009" TargetMode="External" /><Relationship Type="http://schemas.openxmlformats.org/officeDocument/2006/relationships/hyperlink" Id="rId125" Target="https://doi.org/10.1038/nclimate1539" TargetMode="External" /><Relationship Type="http://schemas.openxmlformats.org/officeDocument/2006/relationships/hyperlink" Id="rId119" Target="https://doi.org/10.1038/s41558-019-0412-1" TargetMode="External" /><Relationship Type="http://schemas.openxmlformats.org/officeDocument/2006/relationships/hyperlink" Id="rId101" Target="https://doi.org/10.1038/s41586-019-1132-4" TargetMode="External" /><Relationship Type="http://schemas.openxmlformats.org/officeDocument/2006/relationships/hyperlink" Id="rId85" Target="https://doi.org/10.1038/s41586-022-05334-4" TargetMode="External" /><Relationship Type="http://schemas.openxmlformats.org/officeDocument/2006/relationships/hyperlink" Id="rId103" Target="https://doi.org/10.1038/s41586-025-08665-0" TargetMode="External" /><Relationship Type="http://schemas.openxmlformats.org/officeDocument/2006/relationships/hyperlink" Id="rId83" Target="https://doi.org/10.1038/s41598-021-92004-6" TargetMode="External" /><Relationship Type="http://schemas.openxmlformats.org/officeDocument/2006/relationships/hyperlink" Id="rId121" Target="https://doi.org/10.1038/s44358-026-00142-4" TargetMode="External" /><Relationship Type="http://schemas.openxmlformats.org/officeDocument/2006/relationships/hyperlink" Id="rId73" Target="https://doi.org/10.1073/pnas.0709472105" TargetMode="External" /><Relationship Type="http://schemas.openxmlformats.org/officeDocument/2006/relationships/hyperlink" Id="rId65" Target="https://doi.org/10.1093/icb/icaf019" TargetMode="External" /><Relationship Type="http://schemas.openxmlformats.org/officeDocument/2006/relationships/hyperlink" Id="rId123" Target="https://doi.org/10.1098/rspb.2010.1295" TargetMode="External" /><Relationship Type="http://schemas.openxmlformats.org/officeDocument/2006/relationships/hyperlink" Id="rId107" Target="https://doi.org/10.1111/1365-2435.12268" TargetMode="External" /><Relationship Type="http://schemas.openxmlformats.org/officeDocument/2006/relationships/hyperlink" Id="rId81" Target="https://doi.org/10.1111/1365-2435.13279" TargetMode="External" /><Relationship Type="http://schemas.openxmlformats.org/officeDocument/2006/relationships/hyperlink" Id="rId129" Target="https://doi.org/10.1111/1365-2656.14120" TargetMode="External" /><Relationship Type="http://schemas.openxmlformats.org/officeDocument/2006/relationships/hyperlink" Id="rId99" Target="https://doi.org/10.1111/ele.14421" TargetMode="External" /><Relationship Type="http://schemas.openxmlformats.org/officeDocument/2006/relationships/hyperlink" Id="rId62" Target="https://doi.org/10.1111/gcb.70315" TargetMode="External" /><Relationship Type="http://schemas.openxmlformats.org/officeDocument/2006/relationships/hyperlink" Id="rId117" Target="https://doi.org/10.1111/j.2041-210X.2010.00012.x" TargetMode="External" /><Relationship Type="http://schemas.openxmlformats.org/officeDocument/2006/relationships/hyperlink" Id="rId105" Target="https://doi.org/10.1126/science.aba9287" TargetMode="External" /><Relationship Type="http://schemas.openxmlformats.org/officeDocument/2006/relationships/hyperlink" Id="rId71" Target="https://doi.org/10.1201/9781420010138" TargetMode="External" /><Relationship Type="http://schemas.openxmlformats.org/officeDocument/2006/relationships/hyperlink" Id="rId75" Target="https://doi.org/10.1214/06-BA117A" TargetMode="External" /><Relationship Type="http://schemas.openxmlformats.org/officeDocument/2006/relationships/hyperlink" Id="rId87" Target="https://doi.org/10.1242/jeb.167858" TargetMode="External" /><Relationship Type="http://schemas.openxmlformats.org/officeDocument/2006/relationships/hyperlink" Id="rId127" Target="https://doi.org/10.1242/jeb.171629" TargetMode="External" /><Relationship Type="http://schemas.openxmlformats.org/officeDocument/2006/relationships/hyperlink" Id="rId97" Target="https://doi.org/10.1242/jeb.244514" TargetMode="External" /><Relationship Type="http://schemas.openxmlformats.org/officeDocument/2006/relationships/hyperlink" Id="rId131" Target="https://doi.org/10.1371/journal.pbio.2001104" TargetMode="External" /><Relationship Type="http://schemas.openxmlformats.org/officeDocument/2006/relationships/hyperlink" Id="rId111" Target="https://doi.org/10.1371/journal.pone.0146021" TargetMode="External" /><Relationship Type="http://schemas.openxmlformats.org/officeDocument/2006/relationships/hyperlink" Id="rId93" Target="https://doi.org/10.1614/WT-03-070R1" TargetMode="External" /><Relationship Type="http://schemas.openxmlformats.org/officeDocument/2006/relationships/hyperlink" Id="rId69" Target="https://doi.org/10.18637/jss.v080.i01" TargetMode="External" /><Relationship Type="http://schemas.openxmlformats.org/officeDocument/2006/relationships/hyperlink" Id="rId115" Target="https://doi.org/10.2307/2531483" TargetMode="External" /><Relationship Type="http://schemas.openxmlformats.org/officeDocument/2006/relationships/hyperlink" Id="rId79" Target="https://doi.org/10.7717/peerj.4794" TargetMode="External" /><Relationship Type="http://schemas.openxmlformats.org/officeDocument/2006/relationships/hyperlink" Id="rId77" Target="https://doi.org/10.7717/peerj.616" TargetMode="External" /><Relationship Type="http://schemas.openxmlformats.org/officeDocument/2006/relationships/hyperlink" Id="rId57" Target="https://github.com/..." TargetMode="External" /><Relationship Type="http://schemas.openxmlformats.org/officeDocument/2006/relationships/hyperlink" Id="rId59" Target="https://mc-stan.org/cmdstanr/" TargetMode="External" /><Relationship Type="http://schemas.openxmlformats.org/officeDocument/2006/relationships/hyperlink" Id="rId58"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Daniel W.A. Noble; Pieter A. Arnold; Patrice Pottier</dc:creator>
  <cp:keywords/>
  <dcterms:created xsi:type="dcterms:W3CDTF">2026-05-08T11:00:50Z</dcterms:created>
  <dcterms:modified xsi:type="dcterms:W3CDTF">2026-05-08T11:00:50Z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bib/ecology-letters.csl</vt:lpwstr>
  </property>
  <property fmtid="{D5CDD505-2E9C-101B-9397-08002B2CF9AE}" pid="11" name="date">
    <vt:lpwstr>2026-05-08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