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7.png" ContentType="image/png"/>
  <Override PartName="/word/media/rId140.png" ContentType="image/png"/>
  <Override PartName="/word/media/rId144.png" ContentType="image/png"/>
  <Override PartName="/word/media/rId132.png" ContentType="image/png"/>
  <Override PartName="/word/media/rId136.png" ContentType="image/png"/>
  <Override PartName="/word/media/rId128.png" ContentType="image/png"/>
  <Override PartName="/word/media/rId124.png" ContentType="image/png"/>
  <Override PartName="/word/media/rId113.png" ContentType="image/png"/>
  <Override PartName="/word/media/rId108.png" ContentType="image/png"/>
  <Override PartName="/word/media/rId119.png" ContentType="image/png"/>
  <Override PartName="/word/media/rId88.png" ContentType="image/png"/>
  <Override PartName="/word/media/rId93.png" ContentType="image/png"/>
  <Override PartName="/word/media/rId83.png" ContentType="image/png"/>
  <Override PartName="/word/media/rId79.png" ContentType="image/png"/>
  <Override PartName="/word/media/rId50.png" ContentType="image/png"/>
  <Override PartName="/word/media/rId158.png" ContentType="image/png"/>
  <Override PartName="/word/media/rId34.png" ContentType="image/png"/>
  <Override PartName="/word/media/rId62.png" ContentType="image/png"/>
  <Override PartName="/word/media/rId25.png" ContentType="image/png"/>
  <Override PartName="/word/media/rId7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2026-05-13</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"daniel1noble/tls_model_equivalence"</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62"/>
              <w:tblLayout w:type="fixed"/>
              <w:tblLook w:firstRow="1" w:lastRow="0" w:firstColumn="0" w:lastColumn="0" w:noHBand="0" w:noVBand="0" w:val="0020"/>
            </w:tblPr>
            <w:tblGrid>
              <w:gridCol w:w="1020"/>
              <w:gridCol w:w="2160"/>
              <w:gridCol w:w="4680"/>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 tdt_4pl_workflow object.</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derive_ltx_curve()</w:t>
                  </w:r>
                </w:p>
              </w:tc>
              <w:tc>
                <w:tcPr/>
                <w:p>
                  <w:pPr>
                    <w:pStyle w:val="Compact"/>
                    <w:jc w:val="center"/>
                  </w:pPr>
                  <w:r>
                    <w:t xml:space="preserve">Time-to-x-survival across temperature (per-draw inversion).</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survival = X for a fixed exposure duration.</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CTmax, T_crit posteriors in one call.</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plot_ltx_curve()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0"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0.9885111 0.000117092 0.9882313 0.9886848</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0.9278098 0.001148178 0.9251855 0.9296789</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0.0313</w:t>
                  </w:r>
                </w:p>
              </w:tc>
              <w:tc>
                <w:tcPr/>
                <w:p>
                  <w:pPr>
                    <w:pStyle w:val="Compact"/>
                    <w:jc w:val="center"/>
                  </w:pPr>
                  <w:r>
                    <w:t xml:space="preserve">0.0268</w:t>
                  </w:r>
                </w:p>
              </w:tc>
              <w:tc>
                <w:tcPr/>
                <w:p>
                  <w:pPr>
                    <w:pStyle w:val="Compact"/>
                    <w:jc w:val="center"/>
                  </w:pPr>
                  <w:r>
                    <w:t xml:space="preserve">0.036</w:t>
                  </w:r>
                </w:p>
              </w:tc>
              <w:tc>
                <w:tcPr/>
                <w:p>
                  <w:pPr>
                    <w:pStyle w:val="Compact"/>
                    <w:jc w:val="center"/>
                  </w:pPr>
                  <w:r>
                    <w:t xml:space="preserve">0.0302</w:t>
                  </w:r>
                </w:p>
              </w:tc>
              <w:tc>
                <w:tcPr/>
                <w:p>
                  <w:pPr>
                    <w:pStyle w:val="Compact"/>
                    <w:jc w:val="center"/>
                  </w:pPr>
                  <w:r>
                    <w:t xml:space="preserve">0.0199</w:t>
                  </w:r>
                </w:p>
              </w:tc>
              <w:tc>
                <w:tcPr/>
                <w:p>
                  <w:pPr>
                    <w:pStyle w:val="Compact"/>
                    <w:jc w:val="center"/>
                  </w:pPr>
                  <w:r>
                    <w:t xml:space="preserve">0.0409</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0.9707</w:t>
                  </w:r>
                </w:p>
              </w:tc>
              <w:tc>
                <w:tcPr/>
                <w:p>
                  <w:pPr>
                    <w:pStyle w:val="Compact"/>
                    <w:jc w:val="center"/>
                  </w:pPr>
                  <w:r>
                    <w:t xml:space="preserve">0.9669</w:t>
                  </w:r>
                </w:p>
              </w:tc>
              <w:tc>
                <w:tcPr/>
                <w:p>
                  <w:pPr>
                    <w:pStyle w:val="Compact"/>
                    <w:jc w:val="center"/>
                  </w:pPr>
                  <w:r>
                    <w:t xml:space="preserve">0.974</w:t>
                  </w:r>
                </w:p>
              </w:tc>
              <w:tc>
                <w:tcPr/>
                <w:p>
                  <w:pPr>
                    <w:pStyle w:val="Compact"/>
                    <w:jc w:val="center"/>
                  </w:pPr>
                  <w:r>
                    <w:t xml:space="preserve">0.9707</w:t>
                  </w:r>
                </w:p>
              </w:tc>
              <w:tc>
                <w:tcPr/>
                <w:p>
                  <w:pPr>
                    <w:pStyle w:val="Compact"/>
                    <w:jc w:val="center"/>
                  </w:pPr>
                  <w:r>
                    <w:t xml:space="preserve">0.9624</w:t>
                  </w:r>
                </w:p>
              </w:tc>
              <w:tc>
                <w:tcPr/>
                <w:p>
                  <w:pPr>
                    <w:pStyle w:val="Compact"/>
                    <w:jc w:val="center"/>
                  </w:pPr>
                  <w:r>
                    <w:t xml:space="preserve">0.9781</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8.0948</w:t>
                  </w:r>
                </w:p>
              </w:tc>
              <w:tc>
                <w:tcPr/>
                <w:p>
                  <w:pPr>
                    <w:pStyle w:val="Compact"/>
                    <w:jc w:val="center"/>
                  </w:pPr>
                  <w:r>
                    <w:t xml:space="preserve">7.704</w:t>
                  </w:r>
                </w:p>
              </w:tc>
              <w:tc>
                <w:tcPr/>
                <w:p>
                  <w:pPr>
                    <w:pStyle w:val="Compact"/>
                    <w:jc w:val="center"/>
                  </w:pPr>
                  <w:r>
                    <w:t xml:space="preserve">8.505</w:t>
                  </w:r>
                </w:p>
              </w:tc>
              <w:tc>
                <w:tcPr/>
                <w:p>
                  <w:pPr>
                    <w:pStyle w:val="Compact"/>
                    <w:jc w:val="center"/>
                  </w:pPr>
                  <w:r>
                    <w:t xml:space="preserve">7.7165</w:t>
                  </w:r>
                </w:p>
              </w:tc>
              <w:tc>
                <w:tcPr/>
                <w:p>
                  <w:pPr>
                    <w:pStyle w:val="Compact"/>
                    <w:jc w:val="center"/>
                  </w:pPr>
                  <w:r>
                    <w:t xml:space="preserve">6.8915</w:t>
                  </w:r>
                </w:p>
              </w:tc>
              <w:tc>
                <w:tcPr/>
                <w:p>
                  <w:pPr>
                    <w:pStyle w:val="Compact"/>
                    <w:jc w:val="center"/>
                  </w:pPr>
                  <w:r>
                    <w:t xml:space="preserve">8.684</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1.4976</w:t>
                  </w:r>
                </w:p>
              </w:tc>
              <w:tc>
                <w:tcPr/>
                <w:p>
                  <w:pPr>
                    <w:pStyle w:val="Compact"/>
                    <w:jc w:val="center"/>
                  </w:pPr>
                  <w:r>
                    <w:t xml:space="preserve">1.4891</w:t>
                  </w:r>
                </w:p>
              </w:tc>
              <w:tc>
                <w:tcPr/>
                <w:p>
                  <w:pPr>
                    <w:pStyle w:val="Compact"/>
                    <w:jc w:val="center"/>
                  </w:pPr>
                  <w:r>
                    <w:t xml:space="preserve">1.507</w:t>
                  </w:r>
                </w:p>
              </w:tc>
              <w:tc>
                <w:tcPr/>
                <w:p>
                  <w:pPr>
                    <w:pStyle w:val="Compact"/>
                    <w:jc w:val="center"/>
                  </w:pPr>
                  <w:r>
                    <w:t xml:space="preserve">1.5054</w:t>
                  </w:r>
                </w:p>
              </w:tc>
              <w:tc>
                <w:tcPr/>
                <w:p>
                  <w:pPr>
                    <w:pStyle w:val="Compact"/>
                    <w:jc w:val="center"/>
                  </w:pPr>
                  <w:r>
                    <w:t xml:space="preserve">1.4847</w:t>
                  </w:r>
                </w:p>
              </w:tc>
              <w:tc>
                <w:tcPr/>
                <w:p>
                  <w:pPr>
                    <w:pStyle w:val="Compact"/>
                    <w:jc w:val="center"/>
                  </w:pPr>
                  <w:r>
                    <w:t xml:space="preserve">1.5258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-0.1497</w:t>
                  </w:r>
                </w:p>
              </w:tc>
              <w:tc>
                <w:tcPr/>
                <w:p>
                  <w:pPr>
                    <w:pStyle w:val="Compact"/>
                    <w:jc w:val="center"/>
                  </w:pPr>
                  <w:r>
                    <w:t xml:space="preserve">-0.1527</w:t>
                  </w:r>
                </w:p>
              </w:tc>
              <w:tc>
                <w:tcPr/>
                <w:p>
                  <w:pPr>
                    <w:pStyle w:val="Compact"/>
                    <w:jc w:val="center"/>
                  </w:pPr>
                  <w:r>
                    <w:t xml:space="preserve">-0.147</w:t>
                  </w:r>
                </w:p>
              </w:tc>
              <w:tc>
                <w:tcPr/>
                <w:p>
                  <w:pPr>
                    <w:pStyle w:val="Compact"/>
                    <w:jc w:val="center"/>
                  </w:pPr>
                  <w:r>
                    <w:t xml:space="preserve">-0.1544</w:t>
                  </w:r>
                </w:p>
              </w:tc>
              <w:tc>
                <w:tcPr/>
                <w:p>
                  <w:pPr>
                    <w:pStyle w:val="Compact"/>
                    <w:jc w:val="center"/>
                  </w:pPr>
                  <w:r>
                    <w:t xml:space="preserve">-0.1617</w:t>
                  </w:r>
                </w:p>
              </w:tc>
              <w:tc>
                <w:tcPr/>
                <w:p>
                  <w:pPr>
                    <w:pStyle w:val="Compact"/>
                    <w:jc w:val="center"/>
                  </w:pPr>
                  <w:r>
                    <w:t xml:space="preserve">-0.1471</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69"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bundles three of them:</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r>
          <m:rPr>
            <m:nor/>
            <m:sty m:val="p"/>
          </m:rPr>
          <m:t>LT50</m:t>
        </m:r>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50% survival after 1 hour exposure, obtained by inverting the fitted 4PL at the reference time, per posterior draw.</w:t>
      </w:r>
    </w:p>
    <w:p>
      <w:pPr>
        <w:pStyle w:val="Compact"/>
        <w:numPr>
          <w:ilvl w:val="0"/>
          <w:numId w:val="1003"/>
        </w:numPr>
      </w:pPr>
      <m:oMath>
        <m:sSub>
          <m:e>
            <m:r>
              <m:t>T</m:t>
            </m:r>
          </m:e>
          <m:sub>
            <m:r>
              <m:t>c</m:t>
            </m:r>
            <m:r>
              <m:t>r</m:t>
            </m:r>
            <m:r>
              <m:t>i</m:t>
            </m:r>
            <m:r>
              <m:t>t</m:t>
            </m:r>
          </m:sub>
        </m:sSub>
      </m:oMath>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w:t>
      </w:r>
      <w:r>
        <w:t xml:space="preserve"> </w:t>
      </w:r>
      <w:r>
        <w:rPr>
          <w:b/>
          <w:bCs/>
        </w:rPr>
        <w:t xml:space="preserve">havro_faber_2023</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p>
      <w:pPr>
        <w:pStyle w:val="BodyText"/>
      </w:pPr>
      <w:r>
        <w:t xml:space="preserve">All three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0"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0"/>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derive_ltx_curve()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T_crit uses the</w:t>
      </w:r>
      <w:r>
        <w:br/>
      </w:r>
      <w:r>
        <w:rPr>
          <w:rStyle w:val="CommentTok"/>
        </w:rPr>
        <w:t xml:space="preserve"># rate-multiplier integration; default TC_rate_range = c(0.1, 1) % HI per hour.</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18.6</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fig-tls-recovery"/>
          <w:p>
            <w:pPr>
              <w:jc w:val="center"/>
            </w:pPr>
            <w:r>
              <w:drawing>
                <wp:inline>
                  <wp:extent cx="5943600" cy="2311400"/>
                  <wp:effectExtent b="0" l="0" r="0" t="0"/>
                  <wp:docPr descr="" title="" id="63" name="Picture"/>
                  <a:graphic>
                    <a:graphicData uri="http://schemas.openxmlformats.org/drawingml/2006/picture">
                      <pic:pic>
                        <pic:nvPicPr>
                          <pic:cNvPr descr="supplement_files/figure-docx/plot-tls-recovery-1.png" id="64" name="Picture"/>
                          <pic:cNvPicPr>
                            <a:picLocks noChangeArrowheads="1" noChangeAspect="1"/>
                          </pic:cNvPicPr>
                        </pic:nvPicPr>
                        <pic:blipFill>
                          <a:blip r:embed="rId62"/>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5"/>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6"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0.064</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32.13</w:t>
                  </w:r>
                </w:p>
              </w:tc>
              <w:tc>
                <w:tcPr/>
                <w:p>
                  <w:pPr>
                    <w:pStyle w:val="Compact"/>
                    <w:jc w:val="center"/>
                  </w:pPr>
                  <w:r>
                    <w:t xml:space="preserve">0.0332</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15.36</w:t>
                  </w:r>
                </w:p>
              </w:tc>
              <w:tc>
                <w:tcPr/>
                <w:p>
                  <w:pPr>
                    <w:pStyle w:val="Compact"/>
                    <w:jc w:val="center"/>
                  </w:pPr>
                  <w:r>
                    <w:t xml:space="preserve">1.8796</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18.59</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6.49</w:t>
                  </w:r>
                </w:p>
              </w:tc>
              <w:tc>
                <w:tcPr/>
                <w:p>
                  <w:pPr>
                    <w:pStyle w:val="Compact"/>
                    <w:jc w:val="center"/>
                  </w:pPr>
                  <w:r>
                    <w:t xml:space="preserve">0.1422</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32.23</w:t>
                  </w:r>
                </w:p>
              </w:tc>
              <w:tc>
                <w:tcPr/>
                <w:p>
                  <w:pPr>
                    <w:pStyle w:val="Compact"/>
                    <w:jc w:val="center"/>
                  </w:pPr>
                  <w:r>
                    <w:t xml:space="preserve">0.0738</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16</w:t>
                  </w:r>
                </w:p>
              </w:tc>
              <w:tc>
                <w:tcPr/>
                <w:p>
                  <w:pPr>
                    <w:pStyle w:val="Compact"/>
                    <w:jc w:val="center"/>
                  </w:pPr>
                  <w:r>
                    <w:t xml:space="preserve">1.912</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6"/>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0.24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0.14 °C; on</w:t>
      </w:r>
      <w:r>
        <w:t xml:space="preserve"> </w:t>
      </w:r>
      <m:oMath>
        <m:r>
          <m:t>C</m:t>
        </m:r>
        <m:sSub>
          <m:e>
            <m:r>
              <m:t>T</m:t>
            </m:r>
          </m:e>
          <m:sub>
            <m:r>
              <m:t>m</m:t>
            </m:r>
            <m:r>
              <m:t>a</m:t>
            </m:r>
            <m:sSub>
              <m:e>
                <m:r>
                  <m:t>x</m:t>
                </m:r>
              </m:e>
              <m:sub>
                <m:r>
                  <m:t>1</m:t>
                </m:r>
                <m:r>
                  <m:t>h</m:t>
                </m:r>
                <m:r>
                  <m:t>r</m:t>
                </m:r>
              </m:sub>
            </m:sSub>
          </m:sub>
        </m:sSub>
      </m:oMath>
      <w:r>
        <w:t xml:space="preserve">: 0.07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69"/>
    <w:bookmarkStart w:id="72" w:name="sec-compare"/>
    <w:p>
      <w:pPr>
        <w:pStyle w:val="Heading3"/>
      </w:pPr>
      <w:r>
        <w:t xml:space="preserve">2.0.5</w:t>
      </w:r>
      <w:r>
        <w:t xml:space="preserve"> </w:t>
      </w:r>
      <w:r>
        <w:rPr>
          <w:i/>
          <w:iCs/>
        </w:rPr>
        <w:t xml:space="preserve">Comparing the two pipelines</w:t>
      </w:r>
    </w:p>
    <w:bookmarkStart w:id="71"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70"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6.49</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32.13</w:t>
                  </w:r>
                </w:p>
              </w:tc>
              <w:tc>
                <w:tcPr/>
                <w:p>
                  <w:pPr>
                    <w:pStyle w:val="Compact"/>
                    <w:jc w:val="center"/>
                  </w:pPr>
                  <w:r>
                    <w:t xml:space="preserve">32.1</w:t>
                  </w:r>
                </w:p>
              </w:tc>
              <w:tc>
                <w:tcPr/>
                <w:p>
                  <w:pPr>
                    <w:pStyle w:val="Compact"/>
                    <w:jc w:val="center"/>
                  </w:pPr>
                  <w:r>
                    <w:t xml:space="preserve">32.23</w:t>
                  </w:r>
                </w:p>
              </w:tc>
            </w:tr>
          </w:tbl>
          <w:bookmarkEnd w:id="70"/>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1"/>
    <w:bookmarkEnd w:id="72"/>
    <w:bookmarkStart w:id="87"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true-surface-ext"/>
          <w:p>
            <w:pPr>
              <w:jc w:val="center"/>
            </w:pPr>
            <w:r>
              <w:drawing>
                <wp:inline>
                  <wp:extent cx="5943600" cy="3714750"/>
                  <wp:effectExtent b="0" l="0" r="0" t="0"/>
                  <wp:docPr descr="" title="" id="74" name="Picture"/>
                  <a:graphic>
                    <a:graphicData uri="http://schemas.openxmlformats.org/drawingml/2006/picture">
                      <pic:pic>
                        <pic:nvPicPr>
                          <pic:cNvPr descr="supplement_files/figure-docx/plot-true-surface-ext-1.png" id="75" name="Picture"/>
                          <pic:cNvPicPr>
                            <a:picLocks noChangeArrowheads="1" noChangeAspect="1"/>
                          </pic:cNvPicPr>
                        </pic:nvPicPr>
                        <pic:blipFill>
                          <a:blip r:embed="rId73"/>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6"/>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p>
    <w:p>
      <w:pPr>
        <w:pStyle w:val="SourceCode"/>
      </w:pPr>
      <w:r>
        <w:rPr>
          <w:rStyle w:val="VerbatimChar"/>
        </w:rPr>
        <w:t xml:space="preserve">Running MCMC with 4 parallel chains...</w:t>
      </w:r>
      <w:r>
        <w:br/>
      </w:r>
      <w:r>
        <w:br/>
      </w:r>
      <w:r>
        <w:rPr>
          <w:rStyle w:val="VerbatimChar"/>
        </w:rPr>
        <w:t xml:space="preserve">Chain 1 Iteration:    1 / 2000 [  0%]  (Warmup) </w:t>
      </w:r>
      <w:r>
        <w:br/>
      </w:r>
      <w:r>
        <w:rPr>
          <w:rStyle w:val="VerbatimChar"/>
        </w:rPr>
        <w:t xml:space="preserve">Chain 2 Iteration:    1 / 2000 [  0%]  (Warmup) </w:t>
      </w:r>
      <w:r>
        <w:br/>
      </w:r>
      <w:r>
        <w:rPr>
          <w:rStyle w:val="VerbatimChar"/>
        </w:rPr>
        <w:t xml:space="preserve">Chain 3 Iteration:    1 / 2000 [  0%]  (Warmup) </w:t>
      </w:r>
      <w:r>
        <w:br/>
      </w:r>
      <w:r>
        <w:rPr>
          <w:rStyle w:val="VerbatimChar"/>
        </w:rPr>
        <w:t xml:space="preserve">Chain 4 Iteration:    1 / 2000 [  0%]  (Warmup) </w:t>
      </w:r>
      <w:r>
        <w:br/>
      </w:r>
      <w:r>
        <w:rPr>
          <w:rStyle w:val="VerbatimChar"/>
        </w:rPr>
        <w:t xml:space="preserve">Chain 3 Iteration:  100 / 2000 [  5%]  (Warmup) </w:t>
      </w:r>
      <w:r>
        <w:br/>
      </w:r>
      <w:r>
        <w:rPr>
          <w:rStyle w:val="VerbatimChar"/>
        </w:rPr>
        <w:t xml:space="preserve">Chain 2 Iteration:  100 / 2000 [  5%]  (Warmup) </w:t>
      </w:r>
      <w:r>
        <w:br/>
      </w:r>
      <w:r>
        <w:rPr>
          <w:rStyle w:val="VerbatimChar"/>
        </w:rPr>
        <w:t xml:space="preserve">Chain 4 Iteration:  100 / 2000 [  5%]  (Warmup) </w:t>
      </w:r>
      <w:r>
        <w:br/>
      </w:r>
      <w:r>
        <w:rPr>
          <w:rStyle w:val="VerbatimChar"/>
        </w:rPr>
        <w:t xml:space="preserve">Chain 3 Iteration:  200 / 2000 [ 10%]  (Warmup) </w:t>
      </w:r>
      <w:r>
        <w:br/>
      </w:r>
      <w:r>
        <w:rPr>
          <w:rStyle w:val="VerbatimChar"/>
        </w:rPr>
        <w:t xml:space="preserve">Chain 1 Iteration:  100 / 2000 [  5%]  (Warmup) </w:t>
      </w:r>
      <w:r>
        <w:br/>
      </w:r>
      <w:r>
        <w:rPr>
          <w:rStyle w:val="VerbatimChar"/>
        </w:rPr>
        <w:t xml:space="preserve">Chain 2 Iteration:  200 / 2000 [ 10%]  (Warmup) </w:t>
      </w:r>
      <w:r>
        <w:br/>
      </w:r>
      <w:r>
        <w:rPr>
          <w:rStyle w:val="VerbatimChar"/>
        </w:rPr>
        <w:t xml:space="preserve">Chain 4 Iteration:  200 / 2000 [ 10%]  (Warmup) </w:t>
      </w:r>
      <w:r>
        <w:br/>
      </w:r>
      <w:r>
        <w:rPr>
          <w:rStyle w:val="VerbatimChar"/>
        </w:rPr>
        <w:t xml:space="preserve">Chain 3 Iteration:  300 / 2000 [ 15%]  (Warmup) </w:t>
      </w:r>
      <w:r>
        <w:br/>
      </w:r>
      <w:r>
        <w:rPr>
          <w:rStyle w:val="VerbatimChar"/>
        </w:rPr>
        <w:t xml:space="preserve">Chain 2 Iteration:  300 / 2000 [ 15%]  (Warmup) </w:t>
      </w:r>
      <w:r>
        <w:br/>
      </w:r>
      <w:r>
        <w:rPr>
          <w:rStyle w:val="VerbatimChar"/>
        </w:rPr>
        <w:t xml:space="preserve">Chain 1 Iteration:  200 / 2000 [ 10%]  (Warmup) </w:t>
      </w:r>
      <w:r>
        <w:br/>
      </w:r>
      <w:r>
        <w:rPr>
          <w:rStyle w:val="VerbatimChar"/>
        </w:rPr>
        <w:t xml:space="preserve">Chain 3 Iteration:  400 / 2000 [ 20%]  (Warmup) </w:t>
      </w:r>
      <w:r>
        <w:br/>
      </w:r>
      <w:r>
        <w:rPr>
          <w:rStyle w:val="VerbatimChar"/>
        </w:rPr>
        <w:t xml:space="preserve">Chain 4 Iteration:  300 / 2000 [ 15%]  (Warmup) </w:t>
      </w:r>
      <w:r>
        <w:br/>
      </w:r>
      <w:r>
        <w:rPr>
          <w:rStyle w:val="VerbatimChar"/>
        </w:rPr>
        <w:t xml:space="preserve">Chain 2 Iteration:  400 / 2000 [ 20%]  (Warmup) </w:t>
      </w:r>
      <w:r>
        <w:br/>
      </w:r>
      <w:r>
        <w:rPr>
          <w:rStyle w:val="VerbatimChar"/>
        </w:rPr>
        <w:t xml:space="preserve">Chain 3 Iteration:  500 / 2000 [ 25%]  (Warmup) </w:t>
      </w:r>
      <w:r>
        <w:br/>
      </w:r>
      <w:r>
        <w:rPr>
          <w:rStyle w:val="VerbatimChar"/>
        </w:rPr>
        <w:t xml:space="preserve">Chain 4 Iteration:  400 / 2000 [ 20%]  (Warmup) </w:t>
      </w:r>
      <w:r>
        <w:br/>
      </w:r>
      <w:r>
        <w:rPr>
          <w:rStyle w:val="VerbatimChar"/>
        </w:rPr>
        <w:t xml:space="preserve">Chain 1 Iteration:  300 / 2000 [ 15%]  (Warmup) </w:t>
      </w:r>
      <w:r>
        <w:br/>
      </w:r>
      <w:r>
        <w:rPr>
          <w:rStyle w:val="VerbatimChar"/>
        </w:rPr>
        <w:t xml:space="preserve">Chain 2 Iteration:  500 / 2000 [ 25%]  (Warmup) </w:t>
      </w:r>
      <w:r>
        <w:br/>
      </w:r>
      <w:r>
        <w:rPr>
          <w:rStyle w:val="VerbatimChar"/>
        </w:rPr>
        <w:t xml:space="preserve">Chain 3 Iteration:  600 / 2000 [ 30%]  (Warmup) </w:t>
      </w:r>
      <w:r>
        <w:br/>
      </w:r>
      <w:r>
        <w:rPr>
          <w:rStyle w:val="VerbatimChar"/>
        </w:rPr>
        <w:t xml:space="preserve">Chain 1 Iteration:  400 / 2000 [ 20%]  (Warmup) </w:t>
      </w:r>
      <w:r>
        <w:br/>
      </w:r>
      <w:r>
        <w:rPr>
          <w:rStyle w:val="VerbatimChar"/>
        </w:rPr>
        <w:t xml:space="preserve">Chain 4 Iteration:  500 / 2000 [ 25%]  (Warmup) </w:t>
      </w:r>
      <w:r>
        <w:br/>
      </w:r>
      <w:r>
        <w:rPr>
          <w:rStyle w:val="VerbatimChar"/>
        </w:rPr>
        <w:t xml:space="preserve">Chain 3 Iteration:  700 / 2000 [ 35%]  (Warmup) </w:t>
      </w:r>
      <w:r>
        <w:br/>
      </w:r>
      <w:r>
        <w:rPr>
          <w:rStyle w:val="VerbatimChar"/>
        </w:rPr>
        <w:t xml:space="preserve">Chain 2 Iteration:  600 / 2000 [ 30%]  (Warmup) </w:t>
      </w:r>
      <w:r>
        <w:br/>
      </w:r>
      <w:r>
        <w:rPr>
          <w:rStyle w:val="VerbatimChar"/>
        </w:rPr>
        <w:t xml:space="preserve">Chain 4 Iteration:  600 / 2000 [ 30%]  (Warmup) </w:t>
      </w:r>
      <w:r>
        <w:br/>
      </w:r>
      <w:r>
        <w:rPr>
          <w:rStyle w:val="VerbatimChar"/>
        </w:rPr>
        <w:t xml:space="preserve">Chain 1 Iteration:  500 / 2000 [ 25%]  (Warmup) </w:t>
      </w:r>
      <w:r>
        <w:br/>
      </w:r>
      <w:r>
        <w:rPr>
          <w:rStyle w:val="VerbatimChar"/>
        </w:rPr>
        <w:t xml:space="preserve">Chain 3 Iteration:  800 / 2000 [ 40%]  (Warmup) </w:t>
      </w:r>
      <w:r>
        <w:br/>
      </w:r>
      <w:r>
        <w:rPr>
          <w:rStyle w:val="VerbatimChar"/>
        </w:rPr>
        <w:t xml:space="preserve">Chain 2 Iteration:  700 / 2000 [ 35%]  (Warmup) </w:t>
      </w:r>
      <w:r>
        <w:br/>
      </w:r>
      <w:r>
        <w:rPr>
          <w:rStyle w:val="VerbatimChar"/>
        </w:rPr>
        <w:t xml:space="preserve">Chain 4 Iteration:  700 / 2000 [ 35%]  (Warmup) </w:t>
      </w:r>
      <w:r>
        <w:br/>
      </w:r>
      <w:r>
        <w:rPr>
          <w:rStyle w:val="VerbatimChar"/>
        </w:rPr>
        <w:t xml:space="preserve">Chain 1 Iteration:  600 / 2000 [ 30%]  (Warmup) </w:t>
      </w:r>
      <w:r>
        <w:br/>
      </w:r>
      <w:r>
        <w:rPr>
          <w:rStyle w:val="VerbatimChar"/>
        </w:rPr>
        <w:t xml:space="preserve">Chain 2 Iteration:  800 / 2000 [ 40%]  (Warmup) </w:t>
      </w:r>
      <w:r>
        <w:br/>
      </w:r>
      <w:r>
        <w:rPr>
          <w:rStyle w:val="VerbatimChar"/>
        </w:rPr>
        <w:t xml:space="preserve">Chain 3 Iteration:  900 / 2000 [ 45%]  (Warmup) </w:t>
      </w:r>
      <w:r>
        <w:br/>
      </w:r>
      <w:r>
        <w:rPr>
          <w:rStyle w:val="VerbatimChar"/>
        </w:rPr>
        <w:t xml:space="preserve">Chain 4 Iteration:  800 / 2000 [ 40%]  (Warmup) </w:t>
      </w:r>
      <w:r>
        <w:br/>
      </w:r>
      <w:r>
        <w:rPr>
          <w:rStyle w:val="VerbatimChar"/>
        </w:rPr>
        <w:t xml:space="preserve">Chain 1 Iteration:  700 / 2000 [ 35%]  (Warmup) </w:t>
      </w:r>
      <w:r>
        <w:br/>
      </w:r>
      <w:r>
        <w:rPr>
          <w:rStyle w:val="VerbatimChar"/>
        </w:rPr>
        <w:t xml:space="preserve">Chain 2 Iteration:  900 / 2000 [ 45%]  (Warmup) </w:t>
      </w:r>
      <w:r>
        <w:br/>
      </w:r>
      <w:r>
        <w:rPr>
          <w:rStyle w:val="VerbatimChar"/>
        </w:rPr>
        <w:t xml:space="preserve">Chain 3 Iteration: 1000 / 2000 [ 50%]  (Warmup) </w:t>
      </w:r>
      <w:r>
        <w:br/>
      </w:r>
      <w:r>
        <w:rPr>
          <w:rStyle w:val="VerbatimChar"/>
        </w:rPr>
        <w:t xml:space="preserve">Chain 3 Iteration: 1001 / 2000 [ 50%]  (Sampling) </w:t>
      </w:r>
      <w:r>
        <w:br/>
      </w:r>
      <w:r>
        <w:rPr>
          <w:rStyle w:val="VerbatimChar"/>
        </w:rPr>
        <w:t xml:space="preserve">Chain 4 Iteration:  900 / 2000 [ 45%]  (Warmup) </w:t>
      </w:r>
      <w:r>
        <w:br/>
      </w:r>
      <w:r>
        <w:rPr>
          <w:rStyle w:val="VerbatimChar"/>
        </w:rPr>
        <w:t xml:space="preserve">Chain 1 Iteration:  800 / 2000 [ 40%]  (Warmup) </w:t>
      </w:r>
      <w:r>
        <w:br/>
      </w:r>
      <w:r>
        <w:rPr>
          <w:rStyle w:val="VerbatimChar"/>
        </w:rPr>
        <w:t xml:space="preserve">Chain 2 Iteration: 1000 / 2000 [ 50%]  (Warmup) </w:t>
      </w:r>
      <w:r>
        <w:br/>
      </w:r>
      <w:r>
        <w:rPr>
          <w:rStyle w:val="VerbatimChar"/>
        </w:rPr>
        <w:t xml:space="preserve">Chain 2 Iteration: 1001 / 2000 [ 50%]  (Sampling) </w:t>
      </w:r>
      <w:r>
        <w:br/>
      </w:r>
      <w:r>
        <w:rPr>
          <w:rStyle w:val="VerbatimChar"/>
        </w:rPr>
        <w:t xml:space="preserve">Chain 3 Iteration: 1100 / 2000 [ 55%]  (Sampling) </w:t>
      </w:r>
      <w:r>
        <w:br/>
      </w:r>
      <w:r>
        <w:rPr>
          <w:rStyle w:val="VerbatimChar"/>
        </w:rPr>
        <w:t xml:space="preserve">Chain 4 Iteration: 1000 / 2000 [ 50%]  (Warmup) </w:t>
      </w:r>
      <w:r>
        <w:br/>
      </w:r>
      <w:r>
        <w:rPr>
          <w:rStyle w:val="VerbatimChar"/>
        </w:rPr>
        <w:t xml:space="preserve">Chain 4 Iteration: 1001 / 2000 [ 50%]  (Sampling) </w:t>
      </w:r>
      <w:r>
        <w:br/>
      </w:r>
      <w:r>
        <w:rPr>
          <w:rStyle w:val="VerbatimChar"/>
        </w:rPr>
        <w:t xml:space="preserve">Chain 1 Iteration:  900 / 2000 [ 45%]  (Warmup) </w:t>
      </w:r>
      <w:r>
        <w:br/>
      </w:r>
      <w:r>
        <w:rPr>
          <w:rStyle w:val="VerbatimChar"/>
        </w:rPr>
        <w:t xml:space="preserve">Chain 2 Iteration: 1100 / 2000 [ 55%]  (Sampling) </w:t>
      </w:r>
      <w:r>
        <w:br/>
      </w:r>
      <w:r>
        <w:rPr>
          <w:rStyle w:val="VerbatimChar"/>
        </w:rPr>
        <w:t xml:space="preserve">Chain 3 Iteration: 1200 / 2000 [ 60%]  (Sampling) </w:t>
      </w:r>
      <w:r>
        <w:br/>
      </w:r>
      <w:r>
        <w:rPr>
          <w:rStyle w:val="VerbatimChar"/>
        </w:rPr>
        <w:t xml:space="preserve">Chain 4 Iteration: 1100 / 2000 [ 55%]  (Sampling) </w:t>
      </w:r>
      <w:r>
        <w:br/>
      </w:r>
      <w:r>
        <w:rPr>
          <w:rStyle w:val="VerbatimChar"/>
        </w:rPr>
        <w:t xml:space="preserve">Chain 1 Iteration: 1000 / 2000 [ 50%]  (Warmup) </w:t>
      </w:r>
      <w:r>
        <w:br/>
      </w:r>
      <w:r>
        <w:rPr>
          <w:rStyle w:val="VerbatimChar"/>
        </w:rPr>
        <w:t xml:space="preserve">Chain 1 Iteration: 1001 / 2000 [ 50%]  (Sampling) </w:t>
      </w:r>
      <w:r>
        <w:br/>
      </w:r>
      <w:r>
        <w:rPr>
          <w:rStyle w:val="VerbatimChar"/>
        </w:rPr>
        <w:t xml:space="preserve">Chain 2 Iteration: 1200 / 2000 [ 60%]  (Sampling) </w:t>
      </w:r>
      <w:r>
        <w:br/>
      </w:r>
      <w:r>
        <w:rPr>
          <w:rStyle w:val="VerbatimChar"/>
        </w:rPr>
        <w:t xml:space="preserve">Chain 4 Iteration: 1200 / 2000 [ 60%]  (Sampling) </w:t>
      </w:r>
      <w:r>
        <w:br/>
      </w:r>
      <w:r>
        <w:rPr>
          <w:rStyle w:val="VerbatimChar"/>
        </w:rPr>
        <w:t xml:space="preserve">Chain 3 Iteration: 1300 / 2000 [ 65%]  (Sampling) </w:t>
      </w:r>
      <w:r>
        <w:br/>
      </w:r>
      <w:r>
        <w:rPr>
          <w:rStyle w:val="VerbatimChar"/>
        </w:rPr>
        <w:t xml:space="preserve">Chain 1 Iteration: 1100 / 2000 [ 55%]  (Sampling) </w:t>
      </w:r>
      <w:r>
        <w:br/>
      </w:r>
      <w:r>
        <w:rPr>
          <w:rStyle w:val="VerbatimChar"/>
        </w:rPr>
        <w:t xml:space="preserve">Chain 2 Iteration: 1300 / 2000 [ 65%]  (Sampling) </w:t>
      </w:r>
      <w:r>
        <w:br/>
      </w:r>
      <w:r>
        <w:rPr>
          <w:rStyle w:val="VerbatimChar"/>
        </w:rPr>
        <w:t xml:space="preserve">Chain 3 Iteration: 1400 / 2000 [ 70%]  (Sampling) </w:t>
      </w:r>
      <w:r>
        <w:br/>
      </w:r>
      <w:r>
        <w:rPr>
          <w:rStyle w:val="VerbatimChar"/>
        </w:rPr>
        <w:t xml:space="preserve">Chain 4 Iteration: 1300 / 2000 [ 65%]  (Sampling) </w:t>
      </w:r>
      <w:r>
        <w:br/>
      </w:r>
      <w:r>
        <w:rPr>
          <w:rStyle w:val="VerbatimChar"/>
        </w:rPr>
        <w:t xml:space="preserve">Chain 1 Iteration: 1200 / 2000 [ 60%]  (Sampling) </w:t>
      </w:r>
      <w:r>
        <w:br/>
      </w:r>
      <w:r>
        <w:rPr>
          <w:rStyle w:val="VerbatimChar"/>
        </w:rPr>
        <w:t xml:space="preserve">Chain 2 Iteration: 1400 / 2000 [ 70%]  (Sampling) </w:t>
      </w:r>
      <w:r>
        <w:br/>
      </w:r>
      <w:r>
        <w:rPr>
          <w:rStyle w:val="VerbatimChar"/>
        </w:rPr>
        <w:t xml:space="preserve">Chain 3 Iteration: 1500 / 2000 [ 75%]  (Sampling) </w:t>
      </w:r>
      <w:r>
        <w:br/>
      </w:r>
      <w:r>
        <w:rPr>
          <w:rStyle w:val="VerbatimChar"/>
        </w:rPr>
        <w:t xml:space="preserve">Chain 4 Iteration: 1400 / 2000 [ 70%]  (Sampling) </w:t>
      </w:r>
      <w:r>
        <w:br/>
      </w:r>
      <w:r>
        <w:rPr>
          <w:rStyle w:val="VerbatimChar"/>
        </w:rPr>
        <w:t xml:space="preserve">Chain 1 Iteration: 1300 / 2000 [ 65%]  (Sampling) </w:t>
      </w:r>
      <w:r>
        <w:br/>
      </w:r>
      <w:r>
        <w:rPr>
          <w:rStyle w:val="VerbatimChar"/>
        </w:rPr>
        <w:t xml:space="preserve">Chain 2 Iteration: 1500 / 2000 [ 75%]  (Sampling) </w:t>
      </w:r>
      <w:r>
        <w:br/>
      </w:r>
      <w:r>
        <w:rPr>
          <w:rStyle w:val="VerbatimChar"/>
        </w:rPr>
        <w:t xml:space="preserve">Chain 3 Iteration: 1600 / 2000 [ 80%]  (Sampling) </w:t>
      </w:r>
      <w:r>
        <w:br/>
      </w:r>
      <w:r>
        <w:rPr>
          <w:rStyle w:val="VerbatimChar"/>
        </w:rPr>
        <w:t xml:space="preserve">Chain 4 Iteration: 1500 / 2000 [ 75%]  (Sampling) </w:t>
      </w:r>
      <w:r>
        <w:br/>
      </w:r>
      <w:r>
        <w:rPr>
          <w:rStyle w:val="VerbatimChar"/>
        </w:rPr>
        <w:t xml:space="preserve">Chain 1 Iteration: 1400 / 2000 [ 70%]  (Sampling) </w:t>
      </w:r>
      <w:r>
        <w:br/>
      </w:r>
      <w:r>
        <w:rPr>
          <w:rStyle w:val="VerbatimChar"/>
        </w:rPr>
        <w:t xml:space="preserve">Chain 2 Iteration: 1600 / 2000 [ 80%]  (Sampling) </w:t>
      </w:r>
      <w:r>
        <w:br/>
      </w:r>
      <w:r>
        <w:rPr>
          <w:rStyle w:val="VerbatimChar"/>
        </w:rPr>
        <w:t xml:space="preserve">Chain 3 Iteration: 1700 / 2000 [ 85%]  (Sampling) </w:t>
      </w:r>
      <w:r>
        <w:br/>
      </w:r>
      <w:r>
        <w:rPr>
          <w:rStyle w:val="VerbatimChar"/>
        </w:rPr>
        <w:t xml:space="preserve">Chain 4 Iteration: 1600 / 2000 [ 80%]  (Sampling) </w:t>
      </w:r>
      <w:r>
        <w:br/>
      </w:r>
      <w:r>
        <w:rPr>
          <w:rStyle w:val="VerbatimChar"/>
        </w:rPr>
        <w:t xml:space="preserve">Chain 1 Iteration: 1500 / 2000 [ 75%]  (Sampling) </w:t>
      </w:r>
      <w:r>
        <w:br/>
      </w:r>
      <w:r>
        <w:rPr>
          <w:rStyle w:val="VerbatimChar"/>
        </w:rPr>
        <w:t xml:space="preserve">Chain 2 Iteration: 1700 / 2000 [ 85%]  (Sampling) </w:t>
      </w:r>
      <w:r>
        <w:br/>
      </w:r>
      <w:r>
        <w:rPr>
          <w:rStyle w:val="VerbatimChar"/>
        </w:rPr>
        <w:t xml:space="preserve">Chain 3 Iteration: 1800 / 2000 [ 90%]  (Sampling) </w:t>
      </w:r>
      <w:r>
        <w:br/>
      </w:r>
      <w:r>
        <w:rPr>
          <w:rStyle w:val="VerbatimChar"/>
        </w:rPr>
        <w:t xml:space="preserve">Chain 4 Iteration: 1700 / 2000 [ 85%]  (Sampling) </w:t>
      </w:r>
      <w:r>
        <w:br/>
      </w:r>
      <w:r>
        <w:rPr>
          <w:rStyle w:val="VerbatimChar"/>
        </w:rPr>
        <w:t xml:space="preserve">Chain 1 Iteration: 1600 / 2000 [ 80%]  (Sampling) </w:t>
      </w:r>
      <w:r>
        <w:br/>
      </w:r>
      <w:r>
        <w:rPr>
          <w:rStyle w:val="VerbatimChar"/>
        </w:rPr>
        <w:t xml:space="preserve">Chain 2 Iteration: 1800 / 2000 [ 90%]  (Sampling) </w:t>
      </w:r>
      <w:r>
        <w:br/>
      </w:r>
      <w:r>
        <w:rPr>
          <w:rStyle w:val="VerbatimChar"/>
        </w:rPr>
        <w:t xml:space="preserve">Chain 4 Iteration: 1800 / 2000 [ 90%]  (Sampling) </w:t>
      </w:r>
      <w:r>
        <w:br/>
      </w:r>
      <w:r>
        <w:rPr>
          <w:rStyle w:val="VerbatimChar"/>
        </w:rPr>
        <w:t xml:space="preserve">Chain 3 Iteration: 1900 / 2000 [ 95%]  (Sampling) </w:t>
      </w:r>
      <w:r>
        <w:br/>
      </w:r>
      <w:r>
        <w:rPr>
          <w:rStyle w:val="VerbatimChar"/>
        </w:rPr>
        <w:t xml:space="preserve">Chain 1 Iteration: 1700 / 2000 [ 85%]  (Sampling) </w:t>
      </w:r>
      <w:r>
        <w:br/>
      </w:r>
      <w:r>
        <w:rPr>
          <w:rStyle w:val="VerbatimChar"/>
        </w:rPr>
        <w:t xml:space="preserve">Chain 2 Iteration: 1900 / 2000 [ 95%]  (Sampling) </w:t>
      </w:r>
      <w:r>
        <w:br/>
      </w:r>
      <w:r>
        <w:rPr>
          <w:rStyle w:val="VerbatimChar"/>
        </w:rPr>
        <w:t xml:space="preserve">Chain 4 Iteration: 1900 / 2000 [ 95%]  (Sampling) </w:t>
      </w:r>
      <w:r>
        <w:br/>
      </w:r>
      <w:r>
        <w:rPr>
          <w:rStyle w:val="VerbatimChar"/>
        </w:rPr>
        <w:t xml:space="preserve">Chain 3 Iteration: 2000 / 2000 [100%]  (Sampling) </w:t>
      </w:r>
      <w:r>
        <w:br/>
      </w:r>
      <w:r>
        <w:rPr>
          <w:rStyle w:val="VerbatimChar"/>
        </w:rPr>
        <w:t xml:space="preserve">Chain 3 finished in 12.7 seconds.</w:t>
      </w:r>
      <w:r>
        <w:br/>
      </w:r>
      <w:r>
        <w:rPr>
          <w:rStyle w:val="VerbatimChar"/>
        </w:rPr>
        <w:t xml:space="preserve">Chain 1 Iteration: 1800 / 2000 [ 90%]  (Sampling) </w:t>
      </w:r>
      <w:r>
        <w:br/>
      </w:r>
      <w:r>
        <w:rPr>
          <w:rStyle w:val="VerbatimChar"/>
        </w:rPr>
        <w:t xml:space="preserve">Chain 2 Iteration: 2000 / 2000 [100%]  (Sampling) </w:t>
      </w:r>
      <w:r>
        <w:br/>
      </w:r>
      <w:r>
        <w:rPr>
          <w:rStyle w:val="VerbatimChar"/>
        </w:rPr>
        <w:t xml:space="preserve">Chain 2 finished in 12.9 seconds.</w:t>
      </w:r>
      <w:r>
        <w:br/>
      </w:r>
      <w:r>
        <w:rPr>
          <w:rStyle w:val="VerbatimChar"/>
        </w:rPr>
        <w:t xml:space="preserve">Chain 4 Iteration: 2000 / 2000 [100%]  (Sampling) </w:t>
      </w:r>
      <w:r>
        <w:br/>
      </w:r>
      <w:r>
        <w:rPr>
          <w:rStyle w:val="VerbatimChar"/>
        </w:rPr>
        <w:t xml:space="preserve">Chain 4 finished in 13.0 seconds.</w:t>
      </w:r>
      <w:r>
        <w:br/>
      </w:r>
      <w:r>
        <w:rPr>
          <w:rStyle w:val="VerbatimChar"/>
        </w:rPr>
        <w:t xml:space="preserve">Chain 1 Iteration: 1900 / 2000 [ 95%]  (Sampling) </w:t>
      </w:r>
      <w:r>
        <w:br/>
      </w:r>
      <w:r>
        <w:rPr>
          <w:rStyle w:val="VerbatimChar"/>
        </w:rPr>
        <w:t xml:space="preserve">Chain 1 Iteration: 2000 / 2000 [100%]  (Sampling) </w:t>
      </w:r>
      <w:r>
        <w:br/>
      </w:r>
      <w:r>
        <w:rPr>
          <w:rStyle w:val="VerbatimChar"/>
        </w:rPr>
        <w:t xml:space="preserve">Chain 1 finished in 13.9 seconds.</w:t>
      </w:r>
      <w:r>
        <w:br/>
      </w:r>
      <w:r>
        <w:br/>
      </w:r>
      <w:r>
        <w:rPr>
          <w:rStyle w:val="VerbatimChar"/>
        </w:rPr>
        <w:t xml:space="preserve">All 4 chains finished successfully.</w:t>
      </w:r>
      <w:r>
        <w:br/>
      </w:r>
      <w:r>
        <w:rPr>
          <w:rStyle w:val="VerbatimChar"/>
        </w:rPr>
        <w:t xml:space="preserve">Mean chain execution time: 13.1 seconds.</w:t>
      </w:r>
      <w:r>
        <w:br/>
      </w:r>
      <w:r>
        <w:rPr>
          <w:rStyle w:val="VerbatimChar"/>
        </w:rPr>
        <w:t xml:space="preserve">Total execution time: 13.9 seconds.</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tbl>
      <w:tblPr>
        <w:tblStyle w:val="Table"/>
        <w:tblW w:type="pct" w:w="5000"/>
        <w:tblLayout w:type="fixed"/>
        <w:tblLook w:firstRow="0" w:lastRow="0" w:firstColumn="0" w:lastColumn="0" w:noHBand="0" w:noVBand="0" w:val="0000"/>
      </w:tblPr>
      <w:tblGrid>
        <w:gridCol w:w="7920"/>
      </w:tblGrid>
      <w:tr>
        <w:tc>
          <w:tcPr/>
          <w:bookmarkStart w:id="77"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0.027</w:t>
                  </w:r>
                </w:p>
              </w:tc>
              <w:tc>
                <w:tcPr/>
                <w:p>
                  <w:pPr>
                    <w:pStyle w:val="Compact"/>
                    <w:jc w:val="center"/>
                  </w:pPr>
                  <w:r>
                    <w:t xml:space="preserve">0.0118</w:t>
                  </w:r>
                </w:p>
              </w:tc>
              <w:tc>
                <w:tcPr/>
                <w:p>
                  <w:pPr>
                    <w:pStyle w:val="Compact"/>
                    <w:jc w:val="center"/>
                  </w:pPr>
                  <w:r>
                    <w:t xml:space="preserve">0.0549</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0.9914</w:t>
                  </w:r>
                </w:p>
              </w:tc>
              <w:tc>
                <w:tcPr/>
                <w:p>
                  <w:pPr>
                    <w:pStyle w:val="Compact"/>
                    <w:jc w:val="center"/>
                  </w:pPr>
                  <w:r>
                    <w:t xml:space="preserve">0.9852</w:t>
                  </w:r>
                </w:p>
              </w:tc>
              <w:tc>
                <w:tcPr/>
                <w:p>
                  <w:pPr>
                    <w:pStyle w:val="Compact"/>
                    <w:jc w:val="center"/>
                  </w:pPr>
                  <w:r>
                    <w:t xml:space="preserve">0.9952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2.0536</w:t>
                  </w:r>
                </w:p>
              </w:tc>
              <w:tc>
                <w:tcPr/>
                <w:p>
                  <w:pPr>
                    <w:pStyle w:val="Compact"/>
                    <w:jc w:val="center"/>
                  </w:pPr>
                  <w:r>
                    <w:t xml:space="preserve">1.8114</w:t>
                  </w:r>
                </w:p>
              </w:tc>
              <w:tc>
                <w:tcPr/>
                <w:p>
                  <w:pPr>
                    <w:pStyle w:val="Compact"/>
                    <w:jc w:val="center"/>
                  </w:pPr>
                  <w:r>
                    <w:t xml:space="preserve">2.3277</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2.1366</w:t>
                  </w:r>
                </w:p>
              </w:tc>
              <w:tc>
                <w:tcPr/>
                <w:p>
                  <w:pPr>
                    <w:pStyle w:val="Compact"/>
                    <w:jc w:val="center"/>
                  </w:pPr>
                  <w:r>
                    <w:t xml:space="preserve">2.0691</w:t>
                  </w:r>
                </w:p>
              </w:tc>
              <w:tc>
                <w:tcPr/>
                <w:p>
                  <w:pPr>
                    <w:pStyle w:val="Compact"/>
                    <w:jc w:val="center"/>
                  </w:pPr>
                  <w:r>
                    <w:t xml:space="preserve">2.2027</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0.0321</w:t>
                  </w:r>
                </w:p>
              </w:tc>
              <w:tc>
                <w:tcPr/>
                <w:p>
                  <w:pPr>
                    <w:pStyle w:val="Compact"/>
                    <w:jc w:val="center"/>
                  </w:pPr>
                  <w:r>
                    <w:t xml:space="preserve">0.0175</w:t>
                  </w:r>
                </w:p>
              </w:tc>
              <w:tc>
                <w:tcPr/>
                <w:p>
                  <w:pPr>
                    <w:pStyle w:val="Compact"/>
                    <w:jc w:val="center"/>
                  </w:pPr>
                  <w:r>
                    <w:t xml:space="preserve">0.0533</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0.9755</w:t>
                  </w:r>
                </w:p>
              </w:tc>
              <w:tc>
                <w:tcPr/>
                <w:p>
                  <w:pPr>
                    <w:pStyle w:val="Compact"/>
                    <w:jc w:val="center"/>
                  </w:pPr>
                  <w:r>
                    <w:t xml:space="preserve">0.9641</w:t>
                  </w:r>
                </w:p>
              </w:tc>
              <w:tc>
                <w:tcPr/>
                <w:p>
                  <w:pPr>
                    <w:pStyle w:val="Compact"/>
                    <w:jc w:val="center"/>
                  </w:pPr>
                  <w:r>
                    <w:t xml:space="preserve">0.9841</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4.1191</w:t>
                  </w:r>
                </w:p>
              </w:tc>
              <w:tc>
                <w:tcPr/>
                <w:p>
                  <w:pPr>
                    <w:pStyle w:val="Compact"/>
                    <w:jc w:val="center"/>
                  </w:pPr>
                  <w:r>
                    <w:t xml:space="preserve">3.7186</w:t>
                  </w:r>
                </w:p>
              </w:tc>
              <w:tc>
                <w:tcPr/>
                <w:p>
                  <w:pPr>
                    <w:pStyle w:val="Compact"/>
                    <w:jc w:val="center"/>
                  </w:pPr>
                  <w:r>
                    <w:t xml:space="preserve">4.6077</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1.8226</w:t>
                  </w:r>
                </w:p>
              </w:tc>
              <w:tc>
                <w:tcPr/>
                <w:p>
                  <w:pPr>
                    <w:pStyle w:val="Compact"/>
                    <w:jc w:val="center"/>
                  </w:pPr>
                  <w:r>
                    <w:t xml:space="preserve">1.7786</w:t>
                  </w:r>
                </w:p>
              </w:tc>
              <w:tc>
                <w:tcPr/>
                <w:p>
                  <w:pPr>
                    <w:pStyle w:val="Compact"/>
                    <w:jc w:val="center"/>
                  </w:pPr>
                  <w:r>
                    <w:t xml:space="preserve">1.8657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0.038</w:t>
                  </w:r>
                </w:p>
              </w:tc>
              <w:tc>
                <w:tcPr/>
                <w:p>
                  <w:pPr>
                    <w:pStyle w:val="Compact"/>
                    <w:jc w:val="center"/>
                  </w:pPr>
                  <w:r>
                    <w:t xml:space="preserve">0.0256</w:t>
                  </w:r>
                </w:p>
              </w:tc>
              <w:tc>
                <w:tcPr/>
                <w:p>
                  <w:pPr>
                    <w:pStyle w:val="Compact"/>
                    <w:jc w:val="center"/>
                  </w:pPr>
                  <w:r>
                    <w:t xml:space="preserve">0.0522</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0.9313</w:t>
                  </w:r>
                </w:p>
              </w:tc>
              <w:tc>
                <w:tcPr/>
                <w:p>
                  <w:pPr>
                    <w:pStyle w:val="Compact"/>
                    <w:jc w:val="center"/>
                  </w:pPr>
                  <w:r>
                    <w:t xml:space="preserve">0.9139</w:t>
                  </w:r>
                </w:p>
              </w:tc>
              <w:tc>
                <w:tcPr/>
                <w:p>
                  <w:pPr>
                    <w:pStyle w:val="Compact"/>
                    <w:jc w:val="center"/>
                  </w:pPr>
                  <w:r>
                    <w:t xml:space="preserve">0.946</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8.2622</w:t>
                  </w:r>
                </w:p>
              </w:tc>
              <w:tc>
                <w:tcPr/>
                <w:p>
                  <w:pPr>
                    <w:pStyle w:val="Compact"/>
                    <w:jc w:val="center"/>
                  </w:pPr>
                  <w:r>
                    <w:t xml:space="preserve">6.9469</w:t>
                  </w:r>
                </w:p>
              </w:tc>
              <w:tc>
                <w:tcPr/>
                <w:p>
                  <w:pPr>
                    <w:pStyle w:val="Compact"/>
                    <w:jc w:val="center"/>
                  </w:pPr>
                  <w:r>
                    <w:t xml:space="preserve">10.0503</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1.5094</w:t>
                  </w:r>
                </w:p>
              </w:tc>
              <w:tc>
                <w:tcPr/>
                <w:p>
                  <w:pPr>
                    <w:pStyle w:val="Compact"/>
                    <w:jc w:val="center"/>
                  </w:pPr>
                  <w:r>
                    <w:t xml:space="preserve">1.4847</w:t>
                  </w:r>
                </w:p>
              </w:tc>
              <w:tc>
                <w:tcPr/>
                <w:p>
                  <w:pPr>
                    <w:pStyle w:val="Compact"/>
                    <w:jc w:val="center"/>
                  </w:pPr>
                  <w:r>
                    <w:t xml:space="preserve">1.5329</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0.0448</w:t>
                  </w:r>
                </w:p>
              </w:tc>
              <w:tc>
                <w:tcPr/>
                <w:p>
                  <w:pPr>
                    <w:pStyle w:val="Compact"/>
                    <w:jc w:val="center"/>
                  </w:pPr>
                  <w:r>
                    <w:t xml:space="preserve">0.0362</w:t>
                  </w:r>
                </w:p>
              </w:tc>
              <w:tc>
                <w:tcPr/>
                <w:p>
                  <w:pPr>
                    <w:pStyle w:val="Compact"/>
                    <w:jc w:val="center"/>
                  </w:pPr>
                  <w:r>
                    <w:t xml:space="preserve">0.0543</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0.832</w:t>
                  </w:r>
                </w:p>
              </w:tc>
              <w:tc>
                <w:tcPr/>
                <w:p>
                  <w:pPr>
                    <w:pStyle w:val="Compact"/>
                    <w:jc w:val="center"/>
                  </w:pPr>
                  <w:r>
                    <w:t xml:space="preserve">0.8066</w:t>
                  </w:r>
                </w:p>
              </w:tc>
              <w:tc>
                <w:tcPr/>
                <w:p>
                  <w:pPr>
                    <w:pStyle w:val="Compact"/>
                    <w:jc w:val="center"/>
                  </w:pPr>
                  <w:r>
                    <w:t xml:space="preserve">0.8549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16.5791</w:t>
                  </w:r>
                </w:p>
              </w:tc>
              <w:tc>
                <w:tcPr/>
                <w:p>
                  <w:pPr>
                    <w:pStyle w:val="Compact"/>
                    <w:jc w:val="center"/>
                  </w:pPr>
                  <w:r>
                    <w:t xml:space="preserve">12.6808</w:t>
                  </w:r>
                </w:p>
              </w:tc>
              <w:tc>
                <w:tcPr/>
                <w:p>
                  <w:pPr>
                    <w:pStyle w:val="Compact"/>
                    <w:jc w:val="center"/>
                  </w:pPr>
                  <w:r>
                    <w:t xml:space="preserve">22.614</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1.195</w:t>
                  </w:r>
                </w:p>
              </w:tc>
              <w:tc>
                <w:tcPr/>
                <w:p>
                  <w:pPr>
                    <w:pStyle w:val="Compact"/>
                    <w:jc w:val="center"/>
                  </w:pPr>
                  <w:r>
                    <w:t xml:space="preserve">1.173</w:t>
                  </w:r>
                </w:p>
              </w:tc>
              <w:tc>
                <w:tcPr/>
                <w:p>
                  <w:pPr>
                    <w:pStyle w:val="Compact"/>
                    <w:jc w:val="center"/>
                  </w:pPr>
                  <w:r>
                    <w:t xml:space="preserve">1.2219</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0.053</w:t>
                  </w:r>
                </w:p>
              </w:tc>
              <w:tc>
                <w:tcPr/>
                <w:p>
                  <w:pPr>
                    <w:pStyle w:val="Compact"/>
                    <w:jc w:val="center"/>
                  </w:pPr>
                  <w:r>
                    <w:t xml:space="preserve">0.041</w:t>
                  </w:r>
                </w:p>
              </w:tc>
              <w:tc>
                <w:tcPr/>
                <w:p>
                  <w:pPr>
                    <w:pStyle w:val="Compact"/>
                    <w:jc w:val="center"/>
                  </w:pPr>
                  <w:r>
                    <w:t xml:space="preserve">0.0668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0.6916</w:t>
                  </w:r>
                </w:p>
              </w:tc>
              <w:tc>
                <w:tcPr/>
                <w:p>
                  <w:pPr>
                    <w:pStyle w:val="Compact"/>
                    <w:jc w:val="center"/>
                  </w:pPr>
                  <w:r>
                    <w:t xml:space="preserve">0.651</w:t>
                  </w:r>
                </w:p>
              </w:tc>
              <w:tc>
                <w:tcPr/>
                <w:p>
                  <w:pPr>
                    <w:pStyle w:val="Compact"/>
                    <w:jc w:val="center"/>
                  </w:pPr>
                  <w:r>
                    <w:t xml:space="preserve">0.7324</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33.251</w:t>
                  </w:r>
                </w:p>
              </w:tc>
              <w:tc>
                <w:tcPr/>
                <w:p>
                  <w:pPr>
                    <w:pStyle w:val="Compact"/>
                    <w:jc w:val="center"/>
                  </w:pPr>
                  <w:r>
                    <w:t xml:space="preserve">22.9004</w:t>
                  </w:r>
                </w:p>
              </w:tc>
              <w:tc>
                <w:tcPr/>
                <w:p>
                  <w:pPr>
                    <w:pStyle w:val="Compact"/>
                    <w:jc w:val="center"/>
                  </w:pPr>
                  <w:r>
                    <w:t xml:space="preserve">50.7956</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0.8815</w:t>
                  </w:r>
                </w:p>
              </w:tc>
              <w:tc>
                <w:tcPr/>
                <w:p>
                  <w:pPr>
                    <w:pStyle w:val="Compact"/>
                    <w:jc w:val="center"/>
                  </w:pPr>
                  <w:r>
                    <w:t xml:space="preserve">0.8402</w:t>
                  </w:r>
                </w:p>
              </w:tc>
              <w:tc>
                <w:tcPr/>
                <w:p>
                  <w:pPr>
                    <w:pStyle w:val="Compact"/>
                    <w:jc w:val="center"/>
                  </w:pPr>
                  <w:r>
                    <w:t xml:space="preserve">0.9275</w:t>
                  </w:r>
                </w:p>
              </w:tc>
            </w:tr>
          </w:tbl>
          <w:bookmarkEnd w:id="77"/>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tbl>
      <w:tblPr>
        <w:tblStyle w:val="Table"/>
        <w:tblW w:type="pct" w:w="5000"/>
        <w:tblLayout w:type="fixed"/>
        <w:tblLook w:firstRow="0" w:lastRow="0" w:firstColumn="0" w:lastColumn="0" w:noHBand="0" w:noVBand="0" w:val="0000"/>
      </w:tblPr>
      <w:tblGrid>
        <w:gridCol w:w="7920"/>
      </w:tblGrid>
      <w:tr>
        <w:tc>
          <w:tcPr/>
          <w:bookmarkStart w:id="78"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6.15</w:t>
                  </w:r>
                </w:p>
              </w:tc>
              <w:tc>
                <w:tcPr/>
                <w:p>
                  <w:pPr>
                    <w:pStyle w:val="Compact"/>
                    <w:jc w:val="center"/>
                  </w:pPr>
                  <w:r>
                    <w:t xml:space="preserve">5.73</w:t>
                  </w:r>
                </w:p>
              </w:tc>
              <w:tc>
                <w:tcPr/>
                <w:p>
                  <w:pPr>
                    <w:pStyle w:val="Compact"/>
                    <w:jc w:val="center"/>
                  </w:pPr>
                  <w:r>
                    <w:t xml:space="preserve">6.63</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32.05</w:t>
                  </w:r>
                </w:p>
              </w:tc>
              <w:tc>
                <w:tcPr/>
                <w:p>
                  <w:pPr>
                    <w:pStyle w:val="Compact"/>
                    <w:jc w:val="center"/>
                  </w:pPr>
                  <w:r>
                    <w:t xml:space="preserve">32.51</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16.77</w:t>
                  </w:r>
                </w:p>
              </w:tc>
              <w:tc>
                <w:tcPr/>
                <w:p>
                  <w:pPr>
                    <w:pStyle w:val="Compact"/>
                    <w:jc w:val="center"/>
                  </w:pPr>
                  <w:r>
                    <w:t xml:space="preserve">13.61</w:t>
                  </w:r>
                </w:p>
              </w:tc>
              <w:tc>
                <w:tcPr/>
                <w:p>
                  <w:pPr>
                    <w:pStyle w:val="Compact"/>
                    <w:jc w:val="center"/>
                  </w:pPr>
                  <w:r>
                    <w:t xml:space="preserve">20.09</w:t>
                  </w:r>
                </w:p>
              </w:tc>
            </w:tr>
          </w:tbl>
          <w:bookmarkEnd w:id="78"/>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6.15 °C, 95% CrI [5.73, 6.63]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32.3 °C, 95% CrI [32.05, 32.51]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derive_ltx_curve()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 w:name="fig-lt50-curve-ext"/>
          <w:p>
            <w:pPr>
              <w:jc w:val="center"/>
            </w:pPr>
            <w:r>
              <w:drawing>
                <wp:inline>
                  <wp:extent cx="5943600" cy="3962400"/>
                  <wp:effectExtent b="0" l="0" r="0" t="0"/>
                  <wp:docPr descr="" title="" id="80" name="Picture"/>
                  <a:graphic>
                    <a:graphicData uri="http://schemas.openxmlformats.org/drawingml/2006/picture">
                      <pic:pic>
                        <pic:nvPicPr>
                          <pic:cNvPr descr="supplement_files/figure-docx/plot-lt50-curve-ext-1.png" id="81" name="Picture"/>
                          <pic:cNvPicPr>
                            <a:picLocks noChangeArrowheads="1" noChangeAspect="1"/>
                          </pic:cNvPicPr>
                        </pic:nvPicPr>
                        <pic:blipFill>
                          <a:blip r:embed="rId7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derive_ltx_curve()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2"/>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6.01</w:t>
            </w:r>
          </w:p>
        </w:tc>
        <w:tc>
          <w:tcPr/>
          <w:p>
            <w:pPr>
              <w:pStyle w:val="Compact"/>
            </w:pPr>
            <w:r>
              <w:t xml:space="preserve">5.51</w:t>
            </w:r>
          </w:p>
        </w:tc>
        <w:tc>
          <w:tcPr/>
          <w:p>
            <w:pPr>
              <w:pStyle w:val="Compact"/>
            </w:pPr>
            <w:r>
              <w:t xml:space="preserve">6.56</w:t>
            </w:r>
          </w:p>
        </w:tc>
      </w:tr>
      <w:tr>
        <w:tc>
          <w:tcPr/>
          <w:p>
            <w:pPr>
              <w:pStyle w:val="Compact"/>
            </w:pPr>
            <w:r>
              <w:t xml:space="preserve">32</w:t>
            </w:r>
          </w:p>
        </w:tc>
        <w:tc>
          <w:tcPr/>
          <w:p>
            <w:pPr>
              <w:pStyle w:val="Compact"/>
            </w:pPr>
            <w:r>
              <w:t xml:space="preserve">6.22</w:t>
            </w:r>
          </w:p>
        </w:tc>
        <w:tc>
          <w:tcPr/>
          <w:p>
            <w:pPr>
              <w:pStyle w:val="Compact"/>
            </w:pPr>
            <w:r>
              <w:t xml:space="preserve">6.1</w:t>
            </w:r>
          </w:p>
        </w:tc>
        <w:tc>
          <w:tcPr/>
          <w:p>
            <w:pPr>
              <w:pStyle w:val="Compact"/>
            </w:pPr>
            <w:r>
              <w:t xml:space="preserve">5.69</w:t>
            </w:r>
          </w:p>
        </w:tc>
        <w:tc>
          <w:tcPr/>
          <w:p>
            <w:pPr>
              <w:pStyle w:val="Compact"/>
            </w:pPr>
            <w:r>
              <w:t xml:space="preserve">6.59</w:t>
            </w:r>
          </w:p>
        </w:tc>
      </w:tr>
      <w:tr>
        <w:tc>
          <w:tcPr/>
          <w:p>
            <w:pPr>
              <w:pStyle w:val="Compact"/>
            </w:pPr>
            <w:r>
              <w:t xml:space="preserve">34</w:t>
            </w:r>
          </w:p>
        </w:tc>
        <w:tc>
          <w:tcPr/>
          <w:p>
            <w:pPr>
              <w:pStyle w:val="Compact"/>
            </w:pPr>
            <w:r>
              <w:t xml:space="preserve">6.27</w:t>
            </w:r>
          </w:p>
        </w:tc>
        <w:tc>
          <w:tcPr/>
          <w:p>
            <w:pPr>
              <w:pStyle w:val="Compact"/>
            </w:pPr>
            <w:r>
              <w:t xml:space="preserve">6.14</w:t>
            </w:r>
          </w:p>
        </w:tc>
        <w:tc>
          <w:tcPr/>
          <w:p>
            <w:pPr>
              <w:pStyle w:val="Compact"/>
            </w:pPr>
            <w:r>
              <w:t xml:space="preserve">5.73</w:t>
            </w:r>
          </w:p>
        </w:tc>
        <w:tc>
          <w:tcPr/>
          <w:p>
            <w:pPr>
              <w:pStyle w:val="Compact"/>
            </w:pPr>
            <w:r>
              <w:t xml:space="preserve">6.63</w:t>
            </w:r>
          </w:p>
        </w:tc>
      </w:tr>
      <w:tr>
        <w:tc>
          <w:tcPr/>
          <w:p>
            <w:pPr>
              <w:pStyle w:val="Compact"/>
            </w:pPr>
            <w:r>
              <w:t xml:space="preserve">36</w:t>
            </w:r>
          </w:p>
        </w:tc>
        <w:tc>
          <w:tcPr/>
          <w:p>
            <w:pPr>
              <w:pStyle w:val="Compact"/>
            </w:pPr>
            <w:r>
              <w:t xml:space="preserve">6.34</w:t>
            </w:r>
          </w:p>
        </w:tc>
        <w:tc>
          <w:tcPr/>
          <w:p>
            <w:pPr>
              <w:pStyle w:val="Compact"/>
            </w:pPr>
            <w:r>
              <w:t xml:space="preserve">6.18</w:t>
            </w:r>
          </w:p>
        </w:tc>
        <w:tc>
          <w:tcPr/>
          <w:p>
            <w:pPr>
              <w:pStyle w:val="Compact"/>
            </w:pPr>
            <w:r>
              <w:t xml:space="preserve">5.78</w:t>
            </w:r>
          </w:p>
        </w:tc>
        <w:tc>
          <w:tcPr/>
          <w:p>
            <w:pPr>
              <w:pStyle w:val="Compact"/>
            </w:pPr>
            <w:r>
              <w:t xml:space="preserve">6.67</w:t>
            </w:r>
          </w:p>
        </w:tc>
      </w:tr>
      <w:tr>
        <w:tc>
          <w:tcPr/>
          <w:p>
            <w:pPr>
              <w:pStyle w:val="Compact"/>
            </w:pPr>
            <w:r>
              <w:t xml:space="preserve">38</w:t>
            </w:r>
          </w:p>
        </w:tc>
        <w:tc>
          <w:tcPr/>
          <w:p>
            <w:pPr>
              <w:pStyle w:val="Compact"/>
            </w:pPr>
            <w:r>
              <w:t xml:space="preserve">6.53</w:t>
            </w:r>
          </w:p>
        </w:tc>
        <w:tc>
          <w:tcPr/>
          <w:p>
            <w:pPr>
              <w:pStyle w:val="Compact"/>
            </w:pPr>
            <w:r>
              <w:t xml:space="preserve">6.29</w:t>
            </w:r>
          </w:p>
        </w:tc>
        <w:tc>
          <w:tcPr/>
          <w:p>
            <w:pPr>
              <w:pStyle w:val="Compact"/>
            </w:pPr>
            <w:r>
              <w:t xml:space="preserve">5.87</w:t>
            </w:r>
          </w:p>
        </w:tc>
        <w:tc>
          <w:tcPr/>
          <w:p>
            <w:pPr>
              <w:pStyle w:val="Compact"/>
            </w:pPr>
            <w:r>
              <w:t xml:space="preserve">6.82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6" w:name="fig-local-z-ext"/>
          <w:p>
            <w:pPr>
              <w:jc w:val="center"/>
            </w:pPr>
            <w:r>
              <w:drawing>
                <wp:inline>
                  <wp:extent cx="5943600" cy="3962400"/>
                  <wp:effectExtent b="0" l="0" r="0" t="0"/>
                  <wp:docPr descr="" title="" id="84" name="Picture"/>
                  <a:graphic>
                    <a:graphicData uri="http://schemas.openxmlformats.org/drawingml/2006/picture">
                      <pic:pic>
                        <pic:nvPicPr>
                          <pic:cNvPr descr="supplement_files/figure-docx/plot-local-z-ext-1.png" id="85" name="Picture"/>
                          <pic:cNvPicPr>
                            <a:picLocks noChangeArrowheads="1" noChangeAspect="1"/>
                          </pic:cNvPicPr>
                        </pic:nvPicPr>
                        <pic:blipFill>
                          <a:blip r:embed="rId8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6"/>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87"/>
    <w:bookmarkStart w:id="98"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2"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1" w:name="fig-hi-trace"/>
          <w:p>
            <w:pPr>
              <w:jc w:val="center"/>
            </w:pPr>
            <w:r>
              <w:drawing>
                <wp:inline>
                  <wp:extent cx="5943600" cy="2122714"/>
                  <wp:effectExtent b="0" l="0" r="0" t="0"/>
                  <wp:docPr descr="" title="" id="89" name="Picture"/>
                  <a:graphic>
                    <a:graphicData uri="http://schemas.openxmlformats.org/drawingml/2006/picture">
                      <pic:pic>
                        <pic:nvPicPr>
                          <pic:cNvPr descr="supplement_files/figure-docx/plot-hi-trace-1.png" id="90" name="Picture"/>
                          <pic:cNvPicPr>
                            <a:picLocks noChangeArrowheads="1" noChangeAspect="1"/>
                          </pic:cNvPicPr>
                        </pic:nvPicPr>
                        <pic:blipFill>
                          <a:blip r:embed="rId88"/>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1"/>
        </w:tc>
      </w:tr>
    </w:tbl>
    <w:bookmarkEnd w:id="92"/>
    <w:bookmarkStart w:id="97"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6" w:name="fig-hi-trajectory"/>
          <w:p>
            <w:pPr>
              <w:jc w:val="center"/>
            </w:pPr>
            <w:r>
              <w:drawing>
                <wp:inline>
                  <wp:extent cx="5943600" cy="4669971"/>
                  <wp:effectExtent b="0" l="0" r="0" t="0"/>
                  <wp:docPr descr="" title="" id="94" name="Picture"/>
                  <a:graphic>
                    <a:graphicData uri="http://schemas.openxmlformats.org/drawingml/2006/picture">
                      <pic:pic>
                        <pic:nvPicPr>
                          <pic:cNvPr descr="supplement_files/figure-docx/plot-hi-trajectory-1.png" id="95" name="Picture"/>
                          <pic:cNvPicPr>
                            <a:picLocks noChangeArrowheads="1" noChangeAspect="1"/>
                          </pic:cNvPicPr>
                        </pic:nvPicPr>
                        <pic:blipFill>
                          <a:blip r:embed="rId93"/>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6"/>
        </w:tc>
      </w:tr>
    </w:tbl>
    <w:p>
      <w:pPr>
        <w:pStyle w:val="BodyText"/>
      </w:pPr>
      <w:r>
        <w:t xml:space="preserve">By the end of day 5 the posterior median HI is 164% (95% CI: 133% to 194%), and median predicted survival is 0.18 (95% CI: 0.12 to 0.29).</w:t>
      </w:r>
    </w:p>
    <w:bookmarkEnd w:id="97"/>
    <w:bookmarkEnd w:id="98"/>
    <w:bookmarkStart w:id="99"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22</w:t>
            </w:r>
          </w:p>
        </w:tc>
        <w:tc>
          <w:tcPr/>
          <w:p>
            <w:pPr>
              <w:pStyle w:val="Compact"/>
            </w:pPr>
            <w:r>
              <w:t xml:space="preserve">20</w:t>
            </w:r>
          </w:p>
        </w:tc>
        <w:tc>
          <w:tcPr/>
          <w:p>
            <w:pPr>
              <w:pStyle w:val="Compact"/>
            </w:pPr>
            <w:r>
              <w:t xml:space="preserve">25</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67</w:t>
            </w:r>
          </w:p>
        </w:tc>
        <w:tc>
          <w:tcPr/>
          <w:p>
            <w:pPr>
              <w:pStyle w:val="Compact"/>
            </w:pPr>
            <w:r>
              <w:t xml:space="preserve">61</w:t>
            </w:r>
          </w:p>
        </w:tc>
        <w:tc>
          <w:tcPr/>
          <w:p>
            <w:pPr>
              <w:pStyle w:val="Compact"/>
            </w:pPr>
            <w:r>
              <w:t xml:space="preserve">73</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99"/>
    <w:bookmarkEnd w:id="100"/>
    <w:bookmarkStart w:id="165" w:name="sec-shrimp"/>
    <w:p>
      <w:pPr>
        <w:pStyle w:val="Heading1"/>
      </w:pPr>
      <w:r>
        <w:t xml:space="preserve">3.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02" w:name="sec-shrimp-data"/>
    <w:p>
      <w:pPr>
        <w:pStyle w:val="Heading2"/>
      </w:pPr>
      <w:r>
        <w:t xml:space="preserve">3.1 Data and standardisation</w:t>
      </w:r>
    </w:p>
    <w:p>
      <w:pPr>
        <w:pStyle w:val="SourceCode"/>
      </w:pPr>
      <w:r>
        <w:rPr>
          <w:rStyle w:val="NormalTok"/>
        </w:rPr>
        <w:t xml:space="preserve">shrimp_raw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"Data_Shrimp_TDT_CTmax_experiment.xlsx"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"LETHAL_TDT"</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1" w:name="tbl-shrimp-summary"/>
          <w:p>
            <w:pPr>
              <w:jc w:val="center"/>
            </w:pPr>
            <w:pPr>
              <w:jc w:val="start"/>
              <w:spacing w:before="200"/>
              <w:pStyle w:val="ImageCaption"/>
            </w:pPr>
            <w:r>
              <w:t xml:space="preserve">Table S9: Summary of the shrimp lethal-TDT dataset after standardisation. Temperature centre is the grand mean used by the model for</w:t>
            </w:r>
            <w:r>
              <w:t xml:space="preserve"> </w:t>
            </w:r>
            <w:r>
              <w:rPr>
                <w:rStyle w:val="VerbatimChar"/>
              </w:rPr>
              <w:t xml:space="preserve">temp_c</w:t>
            </w:r>
            <w:r>
              <w:t xml:space="preserv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01"/>
          <w:p/>
        </w:tc>
      </w:tr>
    </w:tbl>
    <w:bookmarkEnd w:id="102"/>
    <w:bookmarkStart w:id="107" w:name="sec-shrimp-fit"/>
    <w:p>
      <w:pPr>
        <w:pStyle w:val="Heading2"/>
      </w:pPr>
      <w:r>
        <w:t xml:space="preserve">3.2 Fitting the joint Bayesian 4PL</w:t>
      </w:r>
    </w:p>
    <w:p>
      <w:pPr>
        <w:pStyle w:val="FirstParagraph"/>
      </w:pPr>
      <w:r>
        <w:t xml:space="preserve">We fit the default</w:t>
      </w:r>
      <w:r>
        <w:t xml:space="preserve"> </w:t>
      </w:r>
      <w:r>
        <w:rPr>
          <w:rStyle w:val="VerbatimChar"/>
        </w:rPr>
        <w:t xml:space="preserve">fit_4pl()</w:t>
      </w:r>
      <w:r>
        <w:t xml:space="preserve"> </w:t>
      </w:r>
      <w:r>
        <w:t xml:space="preserve">model — beta-binomial likelihood, identity link, the disjoint-bounds asymptote reparameterisation, and</w:t>
      </w:r>
      <w:r>
        <w:t xml:space="preserve"> </w:t>
      </w:r>
      <w:r>
        <w:rPr>
          <w:rStyle w:val="VerbatimChar"/>
        </w:rPr>
        <w:t xml:space="preserve">temp_c</w:t>
      </w:r>
      <w:r>
        <w:t xml:space="preserve"> </w:t>
      </w:r>
      <w:r>
        <w:t xml:space="preserve">slopes on all four 4PL sub-parameters — with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The fit takes a few minutes on first render; subsequent renders reload it from disk because</w:t>
      </w:r>
      <w:r>
        <w:t xml:space="preserve"> </w:t>
      </w:r>
      <w:r>
        <w:rPr>
          <w:rStyle w:val="VerbatimChar"/>
        </w:rPr>
        <w:t xml:space="preserve">file_refit = "on_change"</w:t>
      </w:r>
      <w:r>
        <w:t xml:space="preserv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104" w:name="sampling-diagnostics"/>
    <w:p>
      <w:pPr>
        <w:pStyle w:val="Heading3"/>
      </w:pPr>
      <w:r>
        <w:t xml:space="preserve">3.2.1 Sampling diagnostics</w:t>
      </w:r>
    </w:p>
    <w:tbl>
      <w:tblPr>
        <w:tblStyle w:val="Table"/>
        <w:tblW w:type="pct" w:w="5000"/>
        <w:tblLayout w:type="fixed"/>
        <w:tblLook w:firstRow="0" w:lastRow="0" w:firstColumn="0" w:lastColumn="0" w:noHBand="0" w:noVBand="0" w:val="0000"/>
      </w:tblPr>
      <w:tblGrid>
        <w:gridCol w:w="7920"/>
      </w:tblGrid>
      <w:tr>
        <w:tc>
          <w:tcPr/>
          <w:bookmarkStart w:id="103" w:name="tbl-shrimp-diagnostics"/>
          <w:p>
            <w:pPr>
              <w:jc w:val="center"/>
            </w:pPr>
            <w:pPr>
              <w:jc w:val="start"/>
              <w:spacing w:before="200"/>
              <w:pStyle w:val="ImageCaption"/>
            </w:pPr>
            <w:r>
              <w:t xml:space="preserve">Table S10: Sampling diagnostics for the shrimp 4PL fit.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1468</w:t>
                  </w:r>
                </w:p>
              </w:tc>
              <w:tc>
                <w:tcPr/>
                <w:p>
                  <w:pPr>
                    <w:pStyle w:val="Compact"/>
                    <w:jc w:val="center"/>
                  </w:pPr>
                  <w:r>
                    <w:t xml:space="preserve">2374</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103"/>
          <w:p/>
        </w:tc>
      </w:tr>
    </w:tbl>
    <w:bookmarkEnd w:id="104"/>
    <w:bookmarkStart w:id="106" w:name="X413ad0641805f27ec2195aa549ca42eaa465ca1"/>
    <w:p>
      <w:pPr>
        <w:pStyle w:val="Heading3"/>
      </w:pPr>
      <w:r>
        <w:t xml:space="preserve">3.2.2 Posterior parameters on the natural scale</w:t>
      </w:r>
    </w:p>
    <w:tbl>
      <w:tblPr>
        <w:tblStyle w:val="Table"/>
        <w:tblW w:type="pct" w:w="5000"/>
        <w:tblLayout w:type="fixed"/>
        <w:tblLook w:firstRow="0" w:lastRow="0" w:firstColumn="0" w:lastColumn="0" w:noHBand="0" w:noVBand="0" w:val="0000"/>
      </w:tblPr>
      <w:tblGrid>
        <w:gridCol w:w="7920"/>
      </w:tblGrid>
      <w:tr>
        <w:tc>
          <w:tcPr/>
          <w:bookmarkStart w:id="105" w:name="tbl-shrimp-parameters"/>
          <w:p>
            <w:pPr>
              <w:jc w:val="center"/>
            </w:pPr>
            <w:pPr>
              <w:jc w:val="start"/>
              <w:spacing w:before="200"/>
              <w:pStyle w:val="ImageCaption"/>
            </w:pPr>
            <w:r>
              <w:t xml:space="preserve">Table S11: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0.00692</w:t>
                  </w:r>
                </w:p>
              </w:tc>
              <w:tc>
                <w:tcPr/>
                <w:p>
                  <w:pPr>
                    <w:pStyle w:val="Compact"/>
                    <w:jc w:val="center"/>
                  </w:pPr>
                  <w:r>
                    <w:t xml:space="preserve">0.00228</w:t>
                  </w:r>
                </w:p>
              </w:tc>
              <w:tc>
                <w:tcPr/>
                <w:p>
                  <w:pPr>
                    <w:pStyle w:val="Compact"/>
                    <w:jc w:val="center"/>
                  </w:pPr>
                  <w:r>
                    <w:t xml:space="preserve">0.0222</w:t>
                  </w:r>
                </w:p>
              </w:tc>
            </w:tr>
            <w:tr>
              <w:tc>
                <w:tcPr/>
                <w:p>
                  <w:pPr>
                    <w:pStyle w:val="Compact"/>
                    <w:jc w:val="center"/>
                  </w:pPr>
                  <w:r>
                    <w:t xml:space="preserve">up (upper asymptote)</w:t>
                  </w:r>
                </w:p>
              </w:tc>
              <w:tc>
                <w:tcPr/>
                <w:p>
                  <w:pPr>
                    <w:pStyle w:val="Compact"/>
                    <w:jc w:val="center"/>
                  </w:pPr>
                  <w:r>
                    <w:t xml:space="preserve">0.95174</w:t>
                  </w:r>
                </w:p>
              </w:tc>
              <w:tc>
                <w:tcPr/>
                <w:p>
                  <w:pPr>
                    <w:pStyle w:val="Compact"/>
                    <w:jc w:val="center"/>
                  </w:pPr>
                  <w:r>
                    <w:t xml:space="preserve">0.89351</w:t>
                  </w:r>
                </w:p>
              </w:tc>
              <w:tc>
                <w:tcPr/>
                <w:p>
                  <w:pPr>
                    <w:pStyle w:val="Compact"/>
                    <w:jc w:val="center"/>
                  </w:pPr>
                  <w:r>
                    <w:t xml:space="preserve">0.9928</w:t>
                  </w:r>
                </w:p>
              </w:tc>
            </w:tr>
            <w:tr>
              <w:tc>
                <w:tcPr/>
                <w:p>
                  <w:pPr>
                    <w:pStyle w:val="Compact"/>
                    <w:jc w:val="center"/>
                  </w:pPr>
                  <w:r>
                    <w:t xml:space="preserve">k (slope)</w:t>
                  </w:r>
                </w:p>
              </w:tc>
              <w:tc>
                <w:tcPr/>
                <w:p>
                  <w:pPr>
                    <w:pStyle w:val="Compact"/>
                    <w:jc w:val="center"/>
                  </w:pPr>
                  <w:r>
                    <w:t xml:space="preserve">5.82927</w:t>
                  </w:r>
                </w:p>
              </w:tc>
              <w:tc>
                <w:tcPr/>
                <w:p>
                  <w:pPr>
                    <w:pStyle w:val="Compact"/>
                    <w:jc w:val="center"/>
                  </w:pPr>
                  <w:r>
                    <w:t xml:space="preserve">4.68871</w:t>
                  </w:r>
                </w:p>
              </w:tc>
              <w:tc>
                <w:tcPr/>
                <w:p>
                  <w:pPr>
                    <w:pStyle w:val="Compact"/>
                    <w:jc w:val="center"/>
                  </w:pPr>
                  <w:r>
                    <w:t xml:space="preserve">7.4851</w:t>
                  </w:r>
                </w:p>
              </w:tc>
            </w:tr>
            <w:tr>
              <w:tc>
                <w:tcPr/>
                <w:p>
                  <w:pPr>
                    <w:pStyle w:val="Compact"/>
                    <w:jc w:val="center"/>
                  </w:pPr>
                  <w:r>
                    <w:t xml:space="preserve">mid intercept (at T_bar)</w:t>
                  </w:r>
                </w:p>
              </w:tc>
              <w:tc>
                <w:tcPr/>
                <w:p>
                  <w:pPr>
                    <w:pStyle w:val="Compact"/>
                    <w:jc w:val="center"/>
                  </w:pPr>
                  <w:r>
                    <w:t xml:space="preserve">0.05697</w:t>
                  </w:r>
                </w:p>
              </w:tc>
              <w:tc>
                <w:tcPr/>
                <w:p>
                  <w:pPr>
                    <w:pStyle w:val="Compact"/>
                    <w:jc w:val="center"/>
                  </w:pPr>
                  <w:r>
                    <w:t xml:space="preserve">-0.30812</w:t>
                  </w:r>
                </w:p>
              </w:tc>
              <w:tc>
                <w:tcPr/>
                <w:p>
                  <w:pPr>
                    <w:pStyle w:val="Compact"/>
                    <w:jc w:val="center"/>
                  </w:pPr>
                  <w:r>
                    <w:t xml:space="preserve">0.4094</w:t>
                  </w:r>
                </w:p>
              </w:tc>
            </w:tr>
            <w:tr>
              <w:tc>
                <w:tcPr/>
                <w:p>
                  <w:pPr>
                    <w:pStyle w:val="Compact"/>
                    <w:jc w:val="center"/>
                  </w:pPr>
                  <w:r>
                    <w:t xml:space="preserve">mid temp_c slope</w:t>
                  </w:r>
                </w:p>
              </w:tc>
              <w:tc>
                <w:tcPr/>
                <w:p>
                  <w:pPr>
                    <w:pStyle w:val="Compact"/>
                    <w:jc w:val="center"/>
                  </w:pPr>
                  <w:r>
                    <w:t xml:space="preserve">-0.36949</w:t>
                  </w:r>
                </w:p>
              </w:tc>
              <w:tc>
                <w:tcPr/>
                <w:p>
                  <w:pPr>
                    <w:pStyle w:val="Compact"/>
                    <w:jc w:val="center"/>
                  </w:pPr>
                  <w:r>
                    <w:t xml:space="preserve">-0.42841</w:t>
                  </w:r>
                </w:p>
              </w:tc>
              <w:tc>
                <w:tcPr/>
                <w:p>
                  <w:pPr>
                    <w:pStyle w:val="Compact"/>
                    <w:jc w:val="center"/>
                  </w:pPr>
                  <w:r>
                    <w:t xml:space="preserve">-0.3109</w:t>
                  </w:r>
                </w:p>
              </w:tc>
            </w:tr>
            <w:tr>
              <w:tc>
                <w:tcPr/>
                <w:p>
                  <w:pPr>
                    <w:pStyle w:val="Compact"/>
                    <w:jc w:val="center"/>
                  </w:pPr>
                  <w:r>
                    <w:t xml:space="preserve">z (°C)</w:t>
                  </w:r>
                </w:p>
              </w:tc>
              <w:tc>
                <w:tcPr/>
                <w:p>
                  <w:pPr>
                    <w:pStyle w:val="Compact"/>
                    <w:jc w:val="center"/>
                  </w:pPr>
                  <w:r>
                    <w:t xml:space="preserve">2.70643</w:t>
                  </w:r>
                </w:p>
              </w:tc>
              <w:tc>
                <w:tcPr/>
                <w:p>
                  <w:pPr>
                    <w:pStyle w:val="Compact"/>
                    <w:jc w:val="center"/>
                  </w:pPr>
                  <w:r>
                    <w:t xml:space="preserve">2.33424</w:t>
                  </w:r>
                </w:p>
              </w:tc>
              <w:tc>
                <w:tcPr/>
                <w:p>
                  <w:pPr>
                    <w:pStyle w:val="Compact"/>
                    <w:jc w:val="center"/>
                  </w:pPr>
                  <w:r>
                    <w:t xml:space="preserve">3.2163</w:t>
                  </w:r>
                </w:p>
              </w:tc>
            </w:tr>
          </w:tbl>
          <w:bookmarkEnd w:id="105"/>
          <w:p/>
        </w:tc>
      </w:tr>
    </w:tbl>
    <w:bookmarkEnd w:id="106"/>
    <w:bookmarkEnd w:id="107"/>
    <w:bookmarkStart w:id="112" w:name="sec-shrimp-survival-curves"/>
    <w:p>
      <w:pPr>
        <w:pStyle w:val="Heading2"/>
      </w:pPr>
      <w:r>
        <w:t xml:space="preserve">3.3 Survival curves with observed overlay</w:t>
      </w:r>
    </w:p>
    <w:p>
      <w:pPr>
        <w:pStyle w:val="FirstParagraph"/>
      </w:pPr>
      <w:r>
        <w:t xml:space="preserve">We predict survival probability across the observed temperature × duration grid and overlay the observed proportions per replicate. The fitted curves should track the observed clouds at every temperature.</w:t>
      </w:r>
    </w:p>
    <w:tbl>
      <w:tblPr>
        <w:tblStyle w:val="Table"/>
        <w:tblW w:type="pct" w:w="5000"/>
        <w:tblLayout w:type="fixed"/>
        <w:tblLook w:firstRow="0" w:lastRow="0" w:firstColumn="0" w:lastColumn="0" w:noHBand="0" w:noVBand="0" w:val="0000"/>
      </w:tblPr>
      <w:tblGrid>
        <w:gridCol w:w="7920"/>
      </w:tblGrid>
      <w:tr>
        <w:tc>
          <w:tcPr/>
          <w:bookmarkStart w:id="111" w:name="fig-shrimp-survival-curves"/>
          <w:p>
            <w:pPr>
              <w:pStyle w:val="Compact"/>
              <w:jc w:val="center"/>
            </w:pPr>
            <w:r>
              <w:drawing>
                <wp:inline>
                  <wp:extent cx="5943600" cy="3714750"/>
                  <wp:effectExtent b="0" l="0" r="0" t="0"/>
                  <wp:docPr descr="" title="" id="109" name="Picture"/>
                  <a:graphic>
                    <a:graphicData uri="http://schemas.openxmlformats.org/drawingml/2006/picture">
                      <pic:pic>
                        <pic:nvPicPr>
                          <pic:cNvPr descr="supplement_files/figure-docx/fig-shrimp-survival-curves-1.png" id="110" name="Picture"/>
                          <pic:cNvPicPr>
                            <a:picLocks noChangeArrowheads="1" noChangeAspect="1"/>
                          </pic:cNvPicPr>
                        </pic:nvPicPr>
                        <pic:blipFill>
                          <a:blip r:embed="rId10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survival curves for brown shrimp at each assayed temperature, with 95% credible bands. Coloured points are observed per-replicate survival proportions. Duration on the log scale; population-level prediction (random effects marginalised).</w:t>
            </w:r>
          </w:p>
          <w:bookmarkEnd w:id="111"/>
        </w:tc>
      </w:tr>
    </w:tbl>
    <w:bookmarkEnd w:id="112"/>
    <w:bookmarkStart w:id="117" w:name="sec-shrimp-landscape"/>
    <w:p>
      <w:pPr>
        <w:pStyle w:val="Heading2"/>
      </w:pPr>
      <w:r>
        <w:t xml:space="preserve">3.4 TDT landscape</w:t>
      </w:r>
    </w:p>
    <w:p>
      <w:pPr>
        <w:pStyle w:val="FirstParagraph"/>
      </w:pPr>
      <w:r>
        <w:t xml:space="preserve">A dense 2-D view of survival across the entire (temperature, duration) plane shows the dose-response surface as a heatmap with overlaid contours at 25, 50, and 75% survival.</w:t>
      </w:r>
    </w:p>
    <w:tbl>
      <w:tblPr>
        <w:tblStyle w:val="Table"/>
        <w:tblW w:type="pct" w:w="5000"/>
        <w:tblLayout w:type="fixed"/>
        <w:tblLook w:firstRow="0" w:lastRow="0" w:firstColumn="0" w:lastColumn="0" w:noHBand="0" w:noVBand="0" w:val="0000"/>
      </w:tblPr>
      <w:tblGrid>
        <w:gridCol w:w="7920"/>
      </w:tblGrid>
      <w:tr>
        <w:tc>
          <w:tcPr/>
          <w:bookmarkStart w:id="116" w:name="fig-shrimp-landscape"/>
          <w:p>
            <w:pPr>
              <w:pStyle w:val="Compact"/>
              <w:jc w:val="center"/>
            </w:pPr>
            <w:r>
              <w:drawing>
                <wp:inline>
                  <wp:extent cx="5943600" cy="4457700"/>
                  <wp:effectExtent b="0" l="0" r="0" t="0"/>
                  <wp:docPr descr="" title="" id="114" name="Picture"/>
                  <a:graphic>
                    <a:graphicData uri="http://schemas.openxmlformats.org/drawingml/2006/picture">
                      <pic:pic>
                        <pic:nvPicPr>
                          <pic:cNvPr descr="supplement_files/figure-docx/fig-shrimp-landscape-1.png" id="115" name="Picture"/>
                          <pic:cNvPicPr>
                            <a:picLocks noChangeArrowheads="1" noChangeAspect="1"/>
                          </pic:cNvPicPr>
                        </pic:nvPicPr>
                        <pic:blipFill>
                          <a:blip r:embed="rId113"/>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TDT landscape for brown shrimp: posterior median predicted survival across a 120 × 120 grid of assay temperatures × durations. White contours mark 25%, 50%, and 75% survival isolines. Overlaid points are raw observed proportions.</w:t>
            </w:r>
          </w:p>
          <w:bookmarkEnd w:id="116"/>
        </w:tc>
      </w:tr>
    </w:tbl>
    <w:bookmarkEnd w:id="117"/>
    <w:bookmarkStart w:id="123" w:name="sec-shrimp-extract"/>
    <w:p>
      <w:pPr>
        <w:pStyle w:val="Heading2"/>
      </w:pPr>
      <w:r>
        <w:t xml:space="preserve">3.5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bundles z (from per-draw log-linear regression of the LT50 curve),</w:t>
      </w:r>
      <w:r>
        <w:t xml:space="preserve"> </w:t>
      </w:r>
      <m:oMath>
        <m:r>
          <m:t>C</m:t>
        </m:r>
        <m:sSub>
          <m:e>
            <m:r>
              <m:t>T</m:t>
            </m:r>
          </m:e>
          <m:sub>
            <m:r>
              <m:t>m</m:t>
            </m:r>
            <m:r>
              <m:t>a</m:t>
            </m:r>
            <m:sSub>
              <m:e>
                <m:r>
                  <m:t>x</m:t>
                </m:r>
              </m:e>
              <m:sub>
                <m:r>
                  <m:t>1</m:t>
                </m:r>
                <m:r>
                  <m:t>h</m:t>
                </m:r>
                <m:r>
                  <m:t>r</m:t>
                </m:r>
              </m:sub>
            </m:sSub>
          </m:sub>
        </m:sSub>
      </m:oMath>
      <w:r>
        <w:t xml:space="preserve"> </w:t>
      </w:r>
      <w:r>
        <w:t xml:space="preserve">(4PL inversion at the 60-minute reference for 50% survival), and</w:t>
      </w:r>
      <w:r>
        <w:t xml:space="preserve"> </w:t>
      </w:r>
      <m:oMath>
        <m:sSub>
          <m:e>
            <m:r>
              <m:t>T</m:t>
            </m:r>
          </m:e>
          <m:sub>
            <m:r>
              <m:t>c</m:t>
            </m:r>
            <m:r>
              <m:t>r</m:t>
            </m:r>
            <m:r>
              <m:t>i</m:t>
            </m:r>
            <m:r>
              <m:t>t</m:t>
            </m:r>
          </m:sub>
        </m:sSub>
      </m:oMath>
      <w:r>
        <w:t xml:space="preserve"> </w:t>
      </w:r>
      <w:r>
        <w:t xml:space="preserve">(the rate-multiplier damage-threshold,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 see</w:t>
      </w:r>
      <w:r>
        <w:t xml:space="preserve"> </w:t>
      </w:r>
      <w:hyperlink w:anchor="eq-tcrit">
        <w:r>
          <w:rPr>
            <w:rStyle w:val="Hyperlink"/>
          </w:rPr>
          <w:t xml:space="preserve">Equation S3</w:t>
        </w:r>
      </w:hyperlink>
      <w:r>
        <w:t xml:space="preserve">) in a single call. Every output inherits the model’s posterior, so all three quantities come with calibrated credible intervals.</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CommentTok"/>
        </w:rPr>
        <w:t xml:space="preserve"># CTmax defined at 1-hour exposure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     </w:t>
      </w:r>
      <w:r>
        <w:rPr>
          <w:rStyle w:val="CommentTok"/>
        </w:rPr>
        <w:t xml:space="preserve"># T_crit integrated over r* in % HI/hr</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8" w:name="tbl-shrimp-extract"/>
          <w:p>
            <w:pPr>
              <w:jc w:val="center"/>
            </w:pPr>
            <w:pPr>
              <w:jc w:val="start"/>
              <w:spacing w:before="200"/>
              <w:pStyle w:val="ImageCaption"/>
            </w:pPr>
            <w:r>
              <w:t xml:space="preserve">Table S12: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decade of time)</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w:t>
                  </w:r>
                </w:p>
              </w:tc>
            </w:tr>
            <w:tr>
              <w:tc>
                <w:tcPr/>
                <w:p>
                  <w:pPr>
                    <w:pStyle w:val="Compact"/>
                    <w:jc w:val="center"/>
                  </w:pPr>
                  <w:r>
                    <w:t xml:space="preserve">CTmax_1hr (°C)</w:t>
                  </w:r>
                </w:p>
              </w:tc>
              <w:tc>
                <w:tcPr/>
                <w:p>
                  <w:pPr>
                    <w:pStyle w:val="Compact"/>
                    <w:jc w:val="center"/>
                  </w:pPr>
                  <w:r>
                    <w:t xml:space="preserve">31.6</w:t>
                  </w:r>
                </w:p>
              </w:tc>
              <w:tc>
                <w:tcPr/>
                <w:p>
                  <w:pPr>
                    <w:pStyle w:val="Compact"/>
                    <w:jc w:val="center"/>
                  </w:pPr>
                  <w:r>
                    <w:t xml:space="preserve">30.6</w:t>
                  </w:r>
                </w:p>
              </w:tc>
              <w:tc>
                <w:tcPr/>
                <w:p>
                  <w:pPr>
                    <w:pStyle w:val="Compact"/>
                    <w:jc w:val="center"/>
                  </w:pPr>
                  <w:r>
                    <w:t xml:space="preserve">33</w:t>
                  </w:r>
                </w:p>
              </w:tc>
            </w:tr>
            <w:tr>
              <w:tc>
                <w:tcPr/>
                <w:p>
                  <w:pPr>
                    <w:pStyle w:val="Compact"/>
                    <w:jc w:val="center"/>
                  </w:pPr>
                  <w:r>
                    <w:t xml:space="preserve">T_crit (°C, r* in [0.1, 1] per hour)</w:t>
                  </w:r>
                </w:p>
              </w:tc>
              <w:tc>
                <w:tcPr/>
                <w:p>
                  <w:pPr>
                    <w:pStyle w:val="Compact"/>
                    <w:jc w:val="center"/>
                  </w:pPr>
                  <w:r>
                    <w:t xml:space="preserve">25.1</w:t>
                  </w:r>
                </w:p>
              </w:tc>
              <w:tc>
                <w:tcPr/>
                <w:p>
                  <w:pPr>
                    <w:pStyle w:val="Compact"/>
                    <w:jc w:val="center"/>
                  </w:pPr>
                  <w:r>
                    <w:t xml:space="preserve">23</w:t>
                  </w:r>
                </w:p>
              </w:tc>
              <w:tc>
                <w:tcPr/>
                <w:p>
                  <w:pPr>
                    <w:pStyle w:val="Compact"/>
                    <w:jc w:val="center"/>
                  </w:pPr>
                  <w:r>
                    <w:t xml:space="preserve">27</w:t>
                  </w:r>
                </w:p>
              </w:tc>
            </w:tr>
          </w:tbl>
          <w:bookmarkEnd w:id="118"/>
          <w:p/>
        </w:tc>
      </w:tr>
    </w:tbl>
    <w:tbl>
      <w:tblPr>
        <w:tblStyle w:val="Table"/>
        <w:tblW w:type="pct" w:w="5000"/>
        <w:tblLayout w:type="fixed"/>
        <w:tblLook w:firstRow="0" w:lastRow="0" w:firstColumn="0" w:lastColumn="0" w:noHBand="0" w:noVBand="0" w:val="0000"/>
      </w:tblPr>
      <w:tblGrid>
        <w:gridCol w:w="7920"/>
      </w:tblGrid>
      <w:tr>
        <w:tc>
          <w:tcPr/>
          <w:bookmarkStart w:id="122" w:name="fig-shrimp-tcrit-ctmax"/>
          <w:p>
            <w:pPr>
              <w:pStyle w:val="Compact"/>
              <w:jc w:val="center"/>
            </w:pPr>
            <w:r>
              <w:drawing>
                <wp:inline>
                  <wp:extent cx="5943600" cy="2600325"/>
                  <wp:effectExtent b="0" l="0" r="0" t="0"/>
                  <wp:docPr descr="" title="" id="120" name="Picture"/>
                  <a:graphic>
                    <a:graphicData uri="http://schemas.openxmlformats.org/drawingml/2006/picture">
                      <pic:pic>
                        <pic:nvPicPr>
                          <pic:cNvPr descr="supplement_files/figure-docx/fig-shrimp-tcrit-ctmax-1.png" id="121" name="Picture"/>
                          <pic:cNvPicPr>
                            <a:picLocks noChangeArrowheads="1" noChangeAspect="1"/>
                          </pic:cNvPicPr>
                        </pic:nvPicPr>
                        <pic:blipFill>
                          <a:blip r:embed="rId119"/>
                          <a:stretch>
                            <a:fillRect/>
                          </a:stretch>
                        </pic:blipFill>
                        <pic:spPr bwMode="auto">
                          <a:xfrm>
                            <a:off x="0" y="0"/>
                            <a:ext cx="5943600" cy="26003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Posterior densities of</w:t>
            </w:r>
            <w:r>
              <w:t xml:space="preserve"> </w:t>
            </w:r>
            <m:oMath>
              <m:r>
                <m:t>C</m:t>
              </m:r>
              <m:sSub>
                <m:e>
                  <m:r>
                    <m:t>T</m:t>
                  </m:r>
                </m:e>
                <m:sub>
                  <m:r>
                    <m:t>m</m:t>
                  </m:r>
                  <m:r>
                    <m:t>a</m:t>
                  </m:r>
                  <m:sSub>
                    <m:e>
                      <m:r>
                        <m:t>x</m:t>
                      </m:r>
                    </m:e>
                    <m:sub>
                      <m:r>
                        <m:t>1</m:t>
                      </m:r>
                      <m:r>
                        <m:t>h</m:t>
                      </m:r>
                      <m:r>
                        <m:t>r</m:t>
                      </m:r>
                    </m:sub>
                  </m:sSub>
                </m:sub>
              </m:sSub>
            </m:oMath>
            <w:r>
              <w:t xml:space="preserve"> </w:t>
            </w:r>
            <w:r>
              <w:t xml:space="preserve">(left)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5–6 °C gap between the two quantities represents the sub-lethal window between the onset of detectable injury and the LT50 limit.</w:t>
            </w:r>
          </w:p>
          <w:bookmarkEnd w:id="122"/>
        </w:tc>
      </w:tr>
    </w:tbl>
    <w:bookmarkEnd w:id="123"/>
    <w:bookmarkStart w:id="149" w:name="sec-shrimp-hi"/>
    <w:p>
      <w:pPr>
        <w:pStyle w:val="Heading2"/>
      </w:pPr>
      <w:r>
        <w:t xml:space="preserve">3.6 Heat injury under reference traces</w:t>
      </w:r>
    </w:p>
    <w:p>
      <w:pPr>
        <w:pStyle w:val="FirstParagraph"/>
      </w:pPr>
      <w:r>
        <w:t xml:space="preserve">We now project the fitted shrimp model through four temperature traces — flat baseline, single 1-hour spike, three 1-hour spikes, and a multi-day diurnal cycle — and predict cumulative heat-injury (HI) and survival under each. The damage threshold</w:t>
      </w:r>
      <w:r>
        <w:t xml:space="preserve"> </w:t>
      </w:r>
      <m:oMath>
        <m:sSub>
          <m:e>
            <m:r>
              <m:t>T</m:t>
            </m:r>
          </m:e>
          <m:sub>
            <m:r>
              <m:t>c</m:t>
            </m:r>
          </m:sub>
        </m:sSub>
      </m:oMath>
      <w:r>
        <w:t xml:space="preserve"> </w:t>
      </w:r>
      <w:r>
        <w:t xml:space="preserve">passed to</w:t>
      </w:r>
      <w:r>
        <w:t xml:space="preserve"> </w:t>
      </w:r>
      <w:r>
        <w:rPr>
          <w:rStyle w:val="VerbatimChar"/>
        </w:rPr>
        <w:t xml:space="preserve">predict_heat_injury()</w:t>
      </w:r>
      <w:r>
        <w:t xml:space="preserve"> </w:t>
      </w:r>
      <w:r>
        <w:t xml:space="preserve">is the posterior median of</w:t>
      </w:r>
      <w:r>
        <w:t xml:space="preserve"> </w:t>
      </w:r>
      <m:oMath>
        <m:sSub>
          <m:e>
            <m:r>
              <m:t>T</m:t>
            </m:r>
          </m:e>
          <m:sub>
            <m:r>
              <m:t>c</m:t>
            </m:r>
            <m:r>
              <m:t>r</m:t>
            </m:r>
            <m:r>
              <m:t>i</m:t>
            </m:r>
            <m:r>
              <m:t>t</m:t>
            </m:r>
          </m:sub>
        </m:sSub>
      </m:oMath>
      <w:r>
        <w:t xml:space="preserve"> </w:t>
      </w:r>
      <w:r>
        <w:t xml:space="preserve">from</w:t>
      </w:r>
      <w:r>
        <w:t xml:space="preserve"> </w:t>
      </w:r>
      <w:r>
        <w:rPr>
          <w:rStyle w:val="VerbatimChar"/>
        </w:rPr>
        <w:t xml:space="preserve">extract_tdt()</w:t>
      </w:r>
      <w:r>
        <w:t xml:space="preserve"> </w:t>
      </w:r>
      <w:r>
        <w:t xml:space="preserve">(model-derived, not hand-picked). The single-spike scenario is deliberately calibrated as an analytical sanity check: the spike temperature is set to the posterior median of</w:t>
      </w:r>
      <w:r>
        <w:t xml:space="preserve"> </w:t>
      </w:r>
      <m:oMath>
        <m:r>
          <m:t>C</m:t>
        </m:r>
        <m:sSub>
          <m:e>
            <m:r>
              <m:t>T</m:t>
            </m:r>
          </m:e>
          <m:sub>
            <m:r>
              <m:t>m</m:t>
            </m:r>
            <m:r>
              <m:t>a</m:t>
            </m:r>
            <m:sSub>
              <m:e>
                <m:r>
                  <m:t>x</m:t>
                </m:r>
              </m:e>
              <m:sub>
                <m:r>
                  <m:t>1</m:t>
                </m:r>
                <m:r>
                  <m:t>h</m:t>
                </m:r>
                <m:r>
                  <m:t>r</m:t>
                </m:r>
              </m:sub>
            </m:sSub>
          </m:sub>
        </m:sSub>
      </m:oMath>
      <w:r>
        <w:t xml:space="preserve">, so the 1-hour spike is — by definition — a 1-hour exposure at the LT50 temperature and should accumulate ~100% LT50-dose (≈ 50% mortality) by the end of the spike hour.</w:t>
      </w:r>
    </w:p>
    <w:p>
      <w:pPr>
        <w:pStyle w:val="SourceCode"/>
      </w:pPr>
      <w:r>
        <w:rPr>
          <w:rStyle w:val="CommentTok"/>
        </w:rPr>
        <w:t xml:space="preserve"># Damage threshold = posterior median of T_crit from the fit. Model-derived.</w:t>
      </w:r>
      <w:r>
        <w:br/>
      </w: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                  </w:t>
      </w:r>
      <w:r>
        <w:rPr>
          <w:rStyle w:val="CommentTok"/>
        </w:rPr>
        <w:t xml:space="preserve"># shrimp natural holding temperature</w:t>
      </w:r>
      <w:r>
        <w:br/>
      </w:r>
      <w:r>
        <w:rPr>
          <w:rStyle w:val="NormalTok"/>
        </w:rPr>
        <w:t xml:space="preserve">  </w:t>
      </w:r>
      <w:r>
        <w:rPr>
          <w:rStyle w:val="AttributeTok"/>
        </w:rPr>
        <w:t xml:space="preserve">spike_temp =</w:t>
      </w:r>
      <w:r>
        <w:rPr>
          <w:rStyle w:val="NormalTok"/>
        </w:rPr>
        <w:t xml:space="preserve"> shrimp_CTmax_med,    </w:t>
      </w:r>
      <w:r>
        <w:rPr>
          <w:rStyle w:val="CommentTok"/>
        </w:rPr>
        <w:t xml:space="preserve"># 1-hr spike at LT50-temperature → 100% HI</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CommentTok"/>
        </w:rPr>
        <w:t xml:space="preserve"># Diurnal: 7 days, night below T_crit (no injury), day peaks alternating</w:t>
      </w:r>
      <w:r>
        <w:br/>
      </w:r>
      <w:r>
        <w:rPr>
          <w:rStyle w:val="NormalTok"/>
        </w:rPr>
        <w:t xml:space="preserve">  </w:t>
      </w:r>
      <w:r>
        <w:rPr>
          <w:rStyle w:val="CommentTok"/>
        </w:rPr>
        <w:t xml:space="preserve"># cool (≤ T_crit, no injury) and warm (above T_crit, ~25% HI per day).</w:t>
      </w:r>
      <w:r>
        <w:br/>
      </w:r>
      <w:r>
        <w:rPr>
          <w:rStyle w:val="NormalTok"/>
        </w:rPr>
        <w:t xml:space="preserve">  </w:t>
      </w:r>
      <w:r>
        <w:rPr>
          <w:rStyle w:val="AttributeTok"/>
        </w:rPr>
        <w:t xml:space="preserve">diurnal_n_days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FloatTok"/>
        </w:rPr>
        <w:t xml:space="preserve">26.5</w:t>
      </w:r>
      <w:r>
        <w:rPr>
          <w:rStyle w:val="NormalTok"/>
        </w:rPr>
        <w:t xml:space="preserve">, </w:t>
      </w:r>
      <w:r>
        <w:rPr>
          <w:rStyle w:val="FloatTok"/>
        </w:rPr>
        <w:t xml:space="preserve">24.5</w:t>
      </w:r>
      <w:r>
        <w:rPr>
          <w:rStyle w:val="NormalTok"/>
        </w:rPr>
        <w:t xml:space="preserve">, </w:t>
      </w:r>
      <w:r>
        <w:rPr>
          <w:rStyle w:val="DecValTok"/>
        </w:rPr>
        <w:t xml:space="preserve">27</w:t>
      </w:r>
      <w:r>
        <w:rPr>
          <w:rStyle w:val="NormalTok"/>
        </w:rPr>
        <w:t xml:space="preserve">, </w:t>
      </w:r>
      <w:r>
        <w:rPr>
          <w:rStyle w:val="DecValTok"/>
        </w:rPr>
        <w:t xml:space="preserve">23</w:t>
      </w:r>
      <w:r>
        <w:rPr>
          <w:rStyle w:val="NormalTok"/>
        </w:rPr>
        <w:t xml:space="preserve">, </w:t>
      </w:r>
      <w:r>
        <w:rPr>
          <w:rStyle w:val="FloatTok"/>
        </w:rPr>
        <w:t xml:space="preserve">26.5</w:t>
      </w:r>
      <w:r>
        <w:rPr>
          <w:rStyle w:val="NormalTok"/>
        </w:rPr>
        <w:t xml:space="preserve">, </w:t>
      </w:r>
      <w:r>
        <w:rPr>
          <w:rStyle w:val="FloatTok"/>
        </w:rPr>
        <w:t xml:space="preserve">25.5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CommentTok"/>
        </w:rPr>
        <w:t xml:space="preserve"># Predict HI + survival under each scenario, without repair.</w:t>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  )</w:t>
      </w:r>
      <w:r>
        <w:br/>
      </w:r>
      <w:r>
        <w:rPr>
          <w:rStyle w:val="NormalTok"/>
        </w:rPr>
        <w:t xml:space="preserve">})</w:t>
      </w:r>
      <w:r>
        <w:br/>
      </w:r>
      <w:r>
        <w:br/>
      </w:r>
      <w:r>
        <w:rPr>
          <w:rStyle w:val="CommentTok"/>
        </w:rPr>
        <w:t xml:space="preserve"># Sharpe-Schoolfield repair parameters tuned to shrimp: optimum ~17 °C,</w:t>
      </w:r>
      <w:r>
        <w:br/>
      </w:r>
      <w:r>
        <w:rPr>
          <w:rStyle w:val="CommentTok"/>
        </w:rPr>
        <w:t xml:space="preserve"># r_ref = 0.05 → 5% LT50-dose repaired per hour at TREF (≈ 50% HI cleared</w:t>
      </w:r>
      <w:r>
        <w:br/>
      </w:r>
      <w:r>
        <w:rPr>
          <w:rStyle w:val="CommentTok"/>
        </w:rPr>
        <w:t xml:space="preserve"># in 10 hours of permissive temperature).</w:t>
      </w:r>
      <w:r>
        <w:br/>
      </w: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w:t>
      </w:r>
      <w:r>
        <w:br/>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CommentTok"/>
        </w:rPr>
        <w:t xml:space="preserve"># Re-run with repair on the two scenarios that produce non-trivial HI:</w:t>
      </w:r>
      <w:r>
        <w:br/>
      </w:r>
      <w:r>
        <w:rPr>
          <w:rStyle w:val="CommentTok"/>
        </w:rPr>
        <w:t xml:space="preserve"># the multi-spike and the diurnal trace.</w:t>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shrimp_scens</w:t>
      </w:r>
      <w:r>
        <w:rPr>
          <w:rStyle w:val="SpecialCharTok"/>
        </w:rPr>
        <w:t xml:space="preserve">$</w:t>
      </w:r>
      <w:r>
        <w:rPr>
          <w:rStyle w:val="NormalTok"/>
        </w:rPr>
        <w:t xml:space="preserve">multi_spike,</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shrimp_scens</w:t>
      </w:r>
      <w:r>
        <w:rPr>
          <w:rStyle w:val="SpecialCharTok"/>
        </w:rPr>
        <w:t xml:space="preserve">$</w:t>
      </w:r>
      <w:r>
        <w:rPr>
          <w:rStyle w:val="NormalTok"/>
        </w:rPr>
        <w:t xml:space="preserve">diurnal,</w:t>
      </w:r>
      <w:r>
        <w:br/>
      </w:r>
      <w:r>
        <w:rPr>
          <w:rStyle w:val="NormalTok"/>
        </w:rPr>
        <w:t xml:space="preserve">  </w:t>
      </w:r>
      <w:r>
        <w:rPr>
          <w:rStyle w:val="AttributeTok"/>
        </w:rPr>
        <w:t xml:space="preserve">workflow    =</w:t>
      </w:r>
      <w:r>
        <w:rPr>
          <w:rStyle w:val="NormalTok"/>
        </w:rPr>
        <w:t xml:space="preserve"> wf_shrimp,</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shrimp_T_c,</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7" w:name="fig-shrimp-hi-traces"/>
          <w:p>
            <w:pPr>
              <w:pStyle w:val="Compact"/>
              <w:jc w:val="center"/>
            </w:pPr>
            <w:r>
              <w:drawing>
                <wp:inline>
                  <wp:extent cx="5943600" cy="5094514"/>
                  <wp:effectExtent b="0" l="0" r="0" t="0"/>
                  <wp:docPr descr="" title="" id="125" name="Picture"/>
                  <a:graphic>
                    <a:graphicData uri="http://schemas.openxmlformats.org/drawingml/2006/picture">
                      <pic:pic>
                        <pic:nvPicPr>
                          <pic:cNvPr descr="supplement_files/figure-docx/fig-shrimp-hi-traces-1.png" id="126" name="Picture"/>
                          <pic:cNvPicPr>
                            <a:picLocks noChangeArrowheads="1" noChangeAspect="1"/>
                          </pic:cNvPicPr>
                        </pic:nvPicPr>
                        <pic:blipFill>
                          <a:blip r:embed="rId12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(LT50 temperature) so each spike delivers a full LT50 dose by construction. The diurnal scenario alternates cool days (peaks at or below</w:t>
            </w:r>
            <w:r>
              <w:t xml:space="preserve"> </w:t>
            </w:r>
            <m:oMath>
              <m:sSub>
                <m:e>
                  <m:r>
                    <m:t>T</m:t>
                  </m:r>
                </m:e>
                <m:sub>
                  <m:r>
                    <m:t>c</m:t>
                  </m:r>
                  <m:r>
                    <m:t>r</m:t>
                  </m:r>
                  <m:r>
                    <m:t>i</m:t>
                  </m:r>
                  <m:r>
                    <m:t>t</m:t>
                  </m:r>
                </m:sub>
              </m:sSub>
            </m:oMath>
            <w:r>
              <w:t xml:space="preserve">, no injury) with warm days (peaks above</w:t>
            </w:r>
            <w:r>
              <w:t xml:space="preserve"> </w:t>
            </w:r>
            <m:oMath>
              <m:sSub>
                <m:e>
                  <m:r>
                    <m:t>T</m:t>
                  </m:r>
                </m:e>
                <m:sub>
                  <m:r>
                    <m:t>c</m:t>
                  </m:r>
                  <m:r>
                    <m:t>r</m:t>
                  </m:r>
                  <m:r>
                    <m:t>i</m:t>
                  </m:r>
                  <m:r>
                    <m:t>t</m:t>
                  </m:r>
                </m:sub>
              </m:sSub>
            </m:oMath>
            <w:r>
              <w:t xml:space="preserve">, ~25% LT50-dose per day). The dashed line marks the model-derived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27"/>
        </w:tc>
      </w:tr>
    </w:tbl>
    <w:tbl>
      <w:tblPr>
        <w:tblStyle w:val="Table"/>
        <w:tblW w:type="pct" w:w="5000"/>
        <w:tblLayout w:type="fixed"/>
        <w:tblLook w:firstRow="0" w:lastRow="0" w:firstColumn="0" w:lastColumn="0" w:noHBand="0" w:noVBand="0" w:val="0000"/>
      </w:tblPr>
      <w:tblGrid>
        <w:gridCol w:w="7920"/>
      </w:tblGrid>
      <w:tr>
        <w:tc>
          <w:tcPr/>
          <w:bookmarkStart w:id="131" w:name="fig-shrimp-hi-single-norep"/>
          <w:p>
            <w:pPr>
              <w:pStyle w:val="Compact"/>
              <w:jc w:val="center"/>
            </w:pPr>
            <w:r>
              <w:drawing>
                <wp:inline>
                  <wp:extent cx="5943600" cy="4245428"/>
                  <wp:effectExtent b="0" l="0" r="0" t="0"/>
                  <wp:docPr descr="" title="" id="129" name="Picture"/>
                  <a:graphic>
                    <a:graphicData uri="http://schemas.openxmlformats.org/drawingml/2006/picture">
                      <pic:pic>
                        <pic:nvPicPr>
                          <pic:cNvPr descr="supplement_files/figure-docx/fig-shrimp-hi-single-norep-1.png" id="130" name="Picture"/>
                          <pic:cNvPicPr>
                            <a:picLocks noChangeArrowheads="1" noChangeAspect="1"/>
                          </pic:cNvPicPr>
                        </pic:nvPicPr>
                        <pic:blipFill>
                          <a:blip r:embed="rId12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Cumulative heat injury (top) and predicted survival (bottom) for brown shrimp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the analytical expectation is ~100% LT50-dose by the end of hour 24, which produces ~50% mortality. The posterior median tracks this prediction. Posterior 95% credible band shown.</w:t>
            </w:r>
          </w:p>
          <w:bookmarkEnd w:id="131"/>
        </w:tc>
      </w:tr>
    </w:tbl>
    <w:tbl>
      <w:tblPr>
        <w:tblStyle w:val="Table"/>
        <w:tblW w:type="pct" w:w="5000"/>
        <w:tblLayout w:type="fixed"/>
        <w:tblLook w:firstRow="0" w:lastRow="0" w:firstColumn="0" w:lastColumn="0" w:noHBand="0" w:noVBand="0" w:val="0000"/>
      </w:tblPr>
      <w:tblGrid>
        <w:gridCol w:w="7920"/>
      </w:tblGrid>
      <w:tr>
        <w:tc>
          <w:tcPr/>
          <w:bookmarkStart w:id="135" w:name="fig-shrimp-hi-multi-norep"/>
          <w:p>
            <w:pPr>
              <w:pStyle w:val="Compact"/>
              <w:jc w:val="center"/>
            </w:pPr>
            <w:r>
              <w:drawing>
                <wp:inline>
                  <wp:extent cx="5943600" cy="4245428"/>
                  <wp:effectExtent b="0" l="0" r="0" t="0"/>
                  <wp:docPr descr="" title="" id="133" name="Picture"/>
                  <a:graphic>
                    <a:graphicData uri="http://schemas.openxmlformats.org/drawingml/2006/picture">
                      <pic:pic>
                        <pic:nvPicPr>
                          <pic:cNvPr descr="supplement_files/figure-docx/fig-shrimp-hi-multi-norep-1.png" id="134" name="Picture"/>
                          <pic:cNvPicPr>
                            <a:picLocks noChangeArrowheads="1" noChangeAspect="1"/>
                          </pic:cNvPicPr>
                        </pic:nvPicPr>
                        <pic:blipFill>
                          <a:blip r:embed="rId1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Cumulative heat injury (top) and predicted survival (bottom) for brown shrimp under the</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shrimp-hi-multi-rep"/>
          <w:p>
            <w:pPr>
              <w:pStyle w:val="Compact"/>
              <w:jc w:val="center"/>
            </w:pPr>
            <w:r>
              <w:drawing>
                <wp:inline>
                  <wp:extent cx="5943600" cy="4245428"/>
                  <wp:effectExtent b="0" l="0" r="0" t="0"/>
                  <wp:docPr descr="" title="" id="137" name="Picture"/>
                  <a:graphic>
                    <a:graphicData uri="http://schemas.openxmlformats.org/drawingml/2006/picture">
                      <pic:pic>
                        <pic:nvPicPr>
                          <pic:cNvPr descr="supplement_files/figure-docx/fig-shrimp-hi-multi-rep-1.png" id="138" name="Picture"/>
                          <pic:cNvPicPr>
                            <a:picLocks noChangeArrowheads="1" noChangeAspect="1"/>
                          </pic:cNvPicPr>
                        </pic:nvPicPr>
                        <pic:blipFill>
                          <a:blip r:embed="rId1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Same multi-spike trace, this time</w:t>
            </w:r>
            <w:r>
              <w:t xml:space="preserve"> </w:t>
            </w:r>
            <w:r>
              <w:rPr>
                <w:b/>
                <w:bCs/>
              </w:rPr>
              <w:t xml:space="preserve">with Sharpe-Schoolfield repair</w:t>
            </w:r>
            <w:r>
              <w:t xml:space="preserve"> </w:t>
            </w:r>
            <w:r>
              <w:t xml:space="preserve">active (</w:t>
            </w:r>
            <w:r>
              <w:rPr>
                <w:rStyle w:val="VerbatimChar"/>
              </w:rPr>
              <w:t xml:space="preserve">r_ref = 0.05</w:t>
            </w:r>
            <w:r>
              <w:t xml:space="preserve"> </w:t>
            </w:r>
            <w:r>
              <w:t xml:space="preserve">doses per hour at 17 °C — ≈ 50% repair in 10 hours of permissive temperature). Repair clears most of the dose between spikes, leaving residual injury but stopping the runaway accumulation seen without repair.</w:t>
            </w:r>
          </w:p>
          <w:bookmarkEnd w:id="139"/>
        </w:tc>
      </w:tr>
    </w:tbl>
    <w:p>
      <w:pPr>
        <w:pStyle w:val="BodyText"/>
      </w:pPr>
      <w:r>
        <w:t xml:space="preserve">The diurnal scenario (</w:t>
      </w:r>
      <w:hyperlink w:anchor="fig-shrimp-hi-diurnal-norep">
        <w:r>
          <w:rPr>
            <w:rStyle w:val="Hyperlink"/>
          </w:rPr>
          <w:t xml:space="preserve">Figure S17</w:t>
        </w:r>
      </w:hyperlink>
      <w:r>
        <w:t xml:space="preserve">,</w:t>
      </w:r>
      <w:r>
        <w:t xml:space="preserve"> </w:t>
      </w:r>
      <w:hyperlink w:anchor="fig-shrimp-hi-diurnal-rep">
        <w:r>
          <w:rPr>
            <w:rStyle w:val="Hyperlink"/>
          </w:rPr>
          <w:t xml:space="preserve">Figure S18</w:t>
        </w:r>
      </w:hyperlink>
      <w:r>
        <w:t xml:space="preserve">) is more realistic: seven 24-hour day–night cycles with day-to-day variation in the peak temperature, plus small hourly fluctuations. Some days’ peaks stay below</w:t>
      </w:r>
      <w:r>
        <w:t xml:space="preserve"> </w:t>
      </w:r>
      <m:oMath>
        <m:sSub>
          <m:e>
            <m:r>
              <m:t>T</m:t>
            </m:r>
          </m:e>
          <m:sub>
            <m:r>
              <m:t>c</m:t>
            </m:r>
            <m:r>
              <m:t>r</m:t>
            </m:r>
            <m:r>
              <m:t>i</m:t>
            </m:r>
            <m:r>
              <m:t>t</m:t>
            </m:r>
          </m:sub>
        </m:sSub>
      </m:oMath>
      <w:r>
        <w:t xml:space="preserve"> </w:t>
      </w:r>
      <w:r>
        <w:t xml:space="preserve">(no injury accrues); on warm days the peak rises above</w:t>
      </w:r>
      <w:r>
        <w:t xml:space="preserve"> </w:t>
      </w:r>
      <m:oMath>
        <m:sSub>
          <m:e>
            <m:r>
              <m:t>T</m:t>
            </m:r>
          </m:e>
          <m:sub>
            <m:r>
              <m:t>c</m:t>
            </m:r>
            <m:r>
              <m:t>r</m:t>
            </m:r>
            <m:r>
              <m:t>i</m:t>
            </m:r>
            <m:r>
              <m:t>t</m:t>
            </m:r>
          </m:sub>
        </m:sSub>
      </m:oMath>
      <w:r>
        <w:t xml:space="preserve"> </w:t>
      </w:r>
      <w:r>
        <w:t xml:space="preserve">and a sub-LT50 dose accumulates. The no-repair trajectory shows monotonic accumulation on the warm-day peaks, separated by flat plateaus on the cool days. With repair on, the cool-day plateaus turn into recovery phases — cumulative HI falls back as the organism repairs faster than it accrues new injury at sub-</w:t>
      </w:r>
      <m:oMath>
        <m:sSub>
          <m:e>
            <m:r>
              <m:t>T</m:t>
            </m:r>
          </m:e>
          <m:sub>
            <m:r>
              <m:t>c</m:t>
            </m:r>
            <m:r>
              <m:t>r</m:t>
            </m:r>
            <m:r>
              <m:t>i</m:t>
            </m:r>
            <m:r>
              <m:t>t</m:t>
            </m:r>
          </m:sub>
        </m:sSub>
      </m:oMath>
      <w:r>
        <w:t xml:space="preserve"> </w:t>
      </w:r>
      <w:r>
        <w:t xml:space="preserve">temperatures.</w:t>
      </w:r>
    </w:p>
    <w:tbl>
      <w:tblPr>
        <w:tblStyle w:val="Table"/>
        <w:tblW w:type="pct" w:w="5000"/>
        <w:tblLayout w:type="fixed"/>
        <w:tblLook w:firstRow="0" w:lastRow="0" w:firstColumn="0" w:lastColumn="0" w:noHBand="0" w:noVBand="0" w:val="0000"/>
      </w:tblPr>
      <w:tblGrid>
        <w:gridCol w:w="7920"/>
      </w:tblGrid>
      <w:tr>
        <w:tc>
          <w:tcPr/>
          <w:bookmarkStart w:id="143" w:name="fig-shrimp-hi-diurnal-norep"/>
          <w:p>
            <w:pPr>
              <w:pStyle w:val="Compact"/>
              <w:jc w:val="center"/>
            </w:pPr>
            <w:r>
              <w:drawing>
                <wp:inline>
                  <wp:extent cx="5943600" cy="4245428"/>
                  <wp:effectExtent b="0" l="0" r="0" t="0"/>
                  <wp:docPr descr="" title="" id="141" name="Picture"/>
                  <a:graphic>
                    <a:graphicData uri="http://schemas.openxmlformats.org/drawingml/2006/picture">
                      <pic:pic>
                        <pic:nvPicPr>
                          <pic:cNvPr descr="supplement_files/figure-docx/fig-shrimp-hi-diurnal-norep-1.png" id="142" name="Picture"/>
                          <pic:cNvPicPr>
                            <a:picLocks noChangeArrowheads="1" noChangeAspect="1"/>
                          </pic:cNvPicPr>
                        </pic:nvPicPr>
                        <pic:blipFill>
                          <a:blip r:embed="rId14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Cumulative heat injury (top) and predicted survival (bottom) for brown shrimp under the</w:t>
            </w:r>
            <w:r>
              <w:t xml:space="preserve"> </w:t>
            </w:r>
            <w:r>
              <w:rPr>
                <w:b/>
                <w:bCs/>
              </w:rPr>
              <w:t xml:space="preserve">diurnal</w:t>
            </w:r>
            <w:r>
              <w:t xml:space="preserve"> </w:t>
            </w:r>
            <w:r>
              <w:t xml:space="preserve">trace,</w:t>
            </w:r>
            <w:r>
              <w:t xml:space="preserve"> </w:t>
            </w:r>
            <w:r>
              <w:rPr>
                <w:b/>
                <w:bCs/>
              </w:rPr>
              <w:t xml:space="preserve">no repair</w:t>
            </w:r>
            <w:r>
              <w:t xml:space="preserve">. Peaks on the warm days push the temperature above</w:t>
            </w:r>
            <w:r>
              <w:t xml:space="preserve"> </w:t>
            </w:r>
            <m:oMath>
              <m:sSub>
                <m:e>
                  <m:r>
                    <m:t>T</m:t>
                  </m:r>
                </m:e>
                <m:sub>
                  <m:r>
                    <m:t>c</m:t>
                  </m:r>
                  <m:r>
                    <m:t>r</m:t>
                  </m:r>
                  <m:r>
                    <m:t>i</m:t>
                  </m:r>
                  <m:r>
                    <m:t>t</m:t>
                  </m:r>
                </m:sub>
              </m:sSub>
            </m:oMath>
            <w:r>
              <w:t xml:space="preserve"> </w:t>
            </w:r>
            <w:r>
              <w:t xml:space="preserve">and drive injury accumulation; cool days flat-line. Posterior median + 95% credible band.</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shrimp-hi-diurnal-rep"/>
          <w:p>
            <w:pPr>
              <w:pStyle w:val="Compact"/>
              <w:jc w:val="center"/>
            </w:pPr>
            <w:r>
              <w:drawing>
                <wp:inline>
                  <wp:extent cx="5943600" cy="4245428"/>
                  <wp:effectExtent b="0" l="0" r="0" t="0"/>
                  <wp:docPr descr="" title="" id="145" name="Picture"/>
                  <a:graphic>
                    <a:graphicData uri="http://schemas.openxmlformats.org/drawingml/2006/picture">
                      <pic:pic>
                        <pic:nvPicPr>
                          <pic:cNvPr descr="supplement_files/figure-docx/fig-shrimp-hi-diurnal-rep-1.png" id="146" name="Picture"/>
                          <pic:cNvPicPr>
                            <a:picLocks noChangeArrowheads="1" noChangeAspect="1"/>
                          </pic:cNvPicPr>
                        </pic:nvPicPr>
                        <pic:blipFill>
                          <a:blip r:embed="rId14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Same diurnal trace, this time</w:t>
            </w:r>
            <w:r>
              <w:t xml:space="preserve"> </w:t>
            </w:r>
            <w:r>
              <w:rPr>
                <w:b/>
                <w:bCs/>
              </w:rPr>
              <w:t xml:space="preserve">with Sharpe-Schoolfield repair</w:t>
            </w:r>
            <w:r>
              <w:t xml:space="preserve"> </w:t>
            </w:r>
            <w:r>
              <w:t xml:space="preserve">active (</w:t>
            </w:r>
            <w:r>
              <w:rPr>
                <w:rStyle w:val="VerbatimChar"/>
              </w:rPr>
              <w:t xml:space="preserve">r_ref = 0.05</w:t>
            </w:r>
            <w:r>
              <w:t xml:space="preserve"> </w:t>
            </w:r>
            <w:r>
              <w:t xml:space="preserve">doses per hour at 17 °C). Cool days now turn into recovery phases, repair offsets some of the previous warm-day damage, and the trajectory is dominated by the net balance between daily injury accrual and overnight repair.</w:t>
            </w:r>
          </w:p>
          <w:bookmarkEnd w:id="147"/>
        </w:tc>
      </w:tr>
    </w:tbl>
    <w:tbl>
      <w:tblPr>
        <w:tblStyle w:val="Table"/>
        <w:tblW w:type="pct" w:w="5000"/>
        <w:tblLayout w:type="fixed"/>
        <w:tblLook w:firstRow="0" w:lastRow="0" w:firstColumn="0" w:lastColumn="0" w:noHBand="0" w:noVBand="0" w:val="0000"/>
      </w:tblPr>
      <w:tblGrid>
        <w:gridCol w:w="7920"/>
      </w:tblGrid>
      <w:tr>
        <w:tc>
          <w:tcPr/>
          <w:bookmarkStart w:id="148" w:name="tbl-shrimp-hi-summary"/>
          <w:p>
            <w:pPr>
              <w:jc w:val="center"/>
            </w:pPr>
            <w:pPr>
              <w:jc w:val="start"/>
              <w:spacing w:before="200"/>
              <w:pStyle w:val="ImageCaption"/>
            </w:pPr>
            <w:r>
              <w:t xml:space="preserve">Table S13: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0.889</w:t>
                  </w:r>
                </w:p>
              </w:tc>
              <w:tc>
                <w:tcPr/>
                <w:p>
                  <w:pPr>
                    <w:pStyle w:val="Compact"/>
                    <w:jc w:val="center"/>
                  </w:pPr>
                  <w:r>
                    <w:t xml:space="preserve">0.992</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103.0</w:t>
                  </w:r>
                </w:p>
              </w:tc>
              <w:tc>
                <w:tcPr/>
                <w:p>
                  <w:pPr>
                    <w:pStyle w:val="Compact"/>
                    <w:jc w:val="center"/>
                  </w:pPr>
                  <w:r>
                    <w:t xml:space="preserve">44.5</w:t>
                  </w:r>
                </w:p>
              </w:tc>
              <w:tc>
                <w:tcPr/>
                <w:p>
                  <w:pPr>
                    <w:pStyle w:val="Compact"/>
                    <w:jc w:val="center"/>
                  </w:pPr>
                  <w:r>
                    <w:t xml:space="preserve">224.6</w:t>
                  </w:r>
                </w:p>
              </w:tc>
              <w:tc>
                <w:tcPr/>
                <w:p>
                  <w:pPr>
                    <w:pStyle w:val="Compact"/>
                    <w:jc w:val="center"/>
                  </w:pPr>
                  <w:r>
                    <w:t xml:space="preserve">0.484</w:t>
                  </w:r>
                </w:p>
              </w:tc>
              <w:tc>
                <w:tcPr/>
                <w:p>
                  <w:pPr>
                    <w:pStyle w:val="Compact"/>
                    <w:jc w:val="center"/>
                  </w:pPr>
                  <w:r>
                    <w:t xml:space="preserve">0.134</w:t>
                  </w:r>
                </w:p>
              </w:tc>
              <w:tc>
                <w:tcPr/>
                <w:p>
                  <w:pPr>
                    <w:pStyle w:val="Compact"/>
                    <w:jc w:val="center"/>
                  </w:pPr>
                  <w:r>
                    <w:t xml:space="preserve">0.844</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311.7</w:t>
                  </w:r>
                </w:p>
              </w:tc>
              <w:tc>
                <w:tcPr/>
                <w:p>
                  <w:pPr>
                    <w:pStyle w:val="Compact"/>
                    <w:jc w:val="center"/>
                  </w:pPr>
                  <w:r>
                    <w:t xml:space="preserve">147.3</w:t>
                  </w:r>
                </w:p>
              </w:tc>
              <w:tc>
                <w:tcPr/>
                <w:p>
                  <w:pPr>
                    <w:pStyle w:val="Compact"/>
                    <w:jc w:val="center"/>
                  </w:pPr>
                  <w:r>
                    <w:t xml:space="preserve">723.5</w:t>
                  </w:r>
                </w:p>
              </w:tc>
              <w:tc>
                <w:tcPr/>
                <w:p>
                  <w:pPr>
                    <w:pStyle w:val="Compact"/>
                    <w:jc w:val="center"/>
                  </w:pPr>
                  <w:r>
                    <w:t xml:space="preserve">0.063</w:t>
                  </w:r>
                </w:p>
              </w:tc>
              <w:tc>
                <w:tcPr/>
                <w:p>
                  <w:pPr>
                    <w:pStyle w:val="Compact"/>
                    <w:jc w:val="center"/>
                  </w:pPr>
                  <w:r>
                    <w:t xml:space="preserve">0.014</w:t>
                  </w:r>
                </w:p>
              </w:tc>
              <w:tc>
                <w:tcPr/>
                <w:p>
                  <w:pPr>
                    <w:pStyle w:val="Compact"/>
                    <w:jc w:val="center"/>
                  </w:pPr>
                  <w:r>
                    <w:t xml:space="preserve">0.290</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207.8</w:t>
                  </w:r>
                </w:p>
              </w:tc>
              <w:tc>
                <w:tcPr/>
                <w:p>
                  <w:pPr>
                    <w:pStyle w:val="Compact"/>
                    <w:jc w:val="center"/>
                  </w:pPr>
                  <w:r>
                    <w:t xml:space="preserve">0.0</w:t>
                  </w:r>
                </w:p>
              </w:tc>
              <w:tc>
                <w:tcPr/>
                <w:p>
                  <w:pPr>
                    <w:pStyle w:val="Compact"/>
                    <w:jc w:val="center"/>
                  </w:pPr>
                  <w:r>
                    <w:t xml:space="preserve">668.1</w:t>
                  </w:r>
                </w:p>
              </w:tc>
              <w:tc>
                <w:tcPr/>
                <w:p>
                  <w:pPr>
                    <w:pStyle w:val="Compact"/>
                    <w:jc w:val="center"/>
                  </w:pPr>
                  <w:r>
                    <w:t xml:space="preserve">0.125</w:t>
                  </w:r>
                </w:p>
              </w:tc>
              <w:tc>
                <w:tcPr/>
                <w:p>
                  <w:pPr>
                    <w:pStyle w:val="Compact"/>
                    <w:jc w:val="center"/>
                  </w:pPr>
                  <w:r>
                    <w:t xml:space="preserve">0.018</w:t>
                  </w:r>
                </w:p>
              </w:tc>
              <w:tc>
                <w:tcPr/>
                <w:p>
                  <w:pPr>
                    <w:pStyle w:val="Compact"/>
                    <w:jc w:val="center"/>
                  </w:pPr>
                  <w:r>
                    <w:t xml:space="preserve">0.842</w:t>
                  </w:r>
                </w:p>
              </w:tc>
            </w:tr>
            <w:tr>
              <w:tc>
                <w:tcPr/>
                <w:p>
                  <w:pPr>
                    <w:pStyle w:val="Compact"/>
                    <w:jc w:val="center"/>
                  </w:pPr>
                  <w:r>
                    <w:t xml:space="preserve">Diurnal (7 days)</w:t>
                  </w:r>
                </w:p>
              </w:tc>
              <w:tc>
                <w:tcPr/>
                <w:p>
                  <w:pPr>
                    <w:pStyle w:val="Compact"/>
                    <w:jc w:val="center"/>
                  </w:pPr>
                  <w:r>
                    <w:t xml:space="preserve">None</w:t>
                  </w:r>
                </w:p>
              </w:tc>
              <w:tc>
                <w:tcPr/>
                <w:p>
                  <w:pPr>
                    <w:pStyle w:val="Compact"/>
                    <w:jc w:val="center"/>
                  </w:pPr>
                  <w:r>
                    <w:t xml:space="preserve">12.0</w:t>
                  </w:r>
                </w:p>
              </w:tc>
              <w:tc>
                <w:tcPr/>
                <w:p>
                  <w:pPr>
                    <w:pStyle w:val="Compact"/>
                    <w:jc w:val="center"/>
                  </w:pPr>
                  <w:r>
                    <w:t xml:space="preserve">4.5</w:t>
                  </w:r>
                </w:p>
              </w:tc>
              <w:tc>
                <w:tcPr/>
                <w:p>
                  <w:pPr>
                    <w:pStyle w:val="Compact"/>
                    <w:jc w:val="center"/>
                  </w:pPr>
                  <w:r>
                    <w:t xml:space="preserve">30.6</w:t>
                  </w:r>
                </w:p>
              </w:tc>
              <w:tc>
                <w:tcPr/>
                <w:p>
                  <w:pPr>
                    <w:pStyle w:val="Compact"/>
                    <w:jc w:val="center"/>
                  </w:pPr>
                  <w:r>
                    <w:t xml:space="preserve">0.943</w:t>
                  </w:r>
                </w:p>
              </w:tc>
              <w:tc>
                <w:tcPr/>
                <w:p>
                  <w:pPr>
                    <w:pStyle w:val="Compact"/>
                    <w:jc w:val="center"/>
                  </w:pPr>
                  <w:r>
                    <w:t xml:space="preserve">0.878</w:t>
                  </w:r>
                </w:p>
              </w:tc>
              <w:tc>
                <w:tcPr/>
                <w:p>
                  <w:pPr>
                    <w:pStyle w:val="Compact"/>
                    <w:jc w:val="center"/>
                  </w:pPr>
                  <w:r>
                    <w:t xml:space="preserve">0.987</w:t>
                  </w:r>
                </w:p>
              </w:tc>
            </w:tr>
            <w:tr>
              <w:tc>
                <w:tcPr/>
                <w:p>
                  <w:pPr>
                    <w:pStyle w:val="Compact"/>
                    <w:jc w:val="center"/>
                  </w:pPr>
                  <w:r>
                    <w:t xml:space="preserve">Diurnal (7 days)</w:t>
                  </w:r>
                </w:p>
              </w:tc>
              <w:tc>
                <w:tcPr/>
                <w:p>
                  <w:pPr>
                    <w:pStyle w:val="Compact"/>
                    <w:jc w:val="center"/>
                  </w:pPr>
                  <w:r>
                    <w:t xml:space="preserve">Sharpe-Schoolfield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0.949</w:t>
                  </w:r>
                </w:p>
              </w:tc>
              <w:tc>
                <w:tcPr/>
                <w:p>
                  <w:pPr>
                    <w:pStyle w:val="Compact"/>
                    <w:jc w:val="center"/>
                  </w:pPr>
                  <w:r>
                    <w:t xml:space="preserve">0.893</w:t>
                  </w:r>
                </w:p>
              </w:tc>
              <w:tc>
                <w:tcPr/>
                <w:p>
                  <w:pPr>
                    <w:pStyle w:val="Compact"/>
                    <w:jc w:val="center"/>
                  </w:pPr>
                  <w:r>
                    <w:t xml:space="preserve">0.991</w:t>
                  </w:r>
                </w:p>
              </w:tc>
            </w:tr>
          </w:tbl>
          <w:bookmarkEnd w:id="148"/>
          <w:p/>
        </w:tc>
      </w:tr>
    </w:tbl>
    <w:p>
      <w:pPr>
        <w:pStyle w:val="BodyText"/>
      </w:pPr>
      <w:r>
        <w:t xml:space="preserve">The shrimp case study shows the complete loop: raw counts → fitted model → classical TDT quantities (with credible intervals on every one of them) → heat-injury predictions under fluctuating field traces (with and without repair). Every quantity reported here inherits the joint posterior of the single 4PL fit — there is no second-stage regression, no point-estimate-then-bootstrap, no separate ramping-rate experiment. The same machinery applies to any TDT-style proportion dataset by changing only</w:t>
      </w:r>
      <w:r>
        <w:t xml:space="preserve"> </w:t>
      </w:r>
      <w:r>
        <w:rPr>
          <w:rStyle w:val="VerbatimChar"/>
        </w:rPr>
        <w:t xml:space="preserve">standardize_data()</w:t>
      </w:r>
      <w:r>
        <w:t xml:space="preserve">’s column-name arguments.</w:t>
      </w:r>
    </w:p>
    <w:bookmarkEnd w:id="149"/>
    <w:bookmarkStart w:id="164" w:name="sec-shrimp-sublethal"/>
    <w:p>
      <w:pPr>
        <w:pStyle w:val="Heading2"/>
      </w:pPr>
      <w:r>
        <w:t xml:space="preserve">3.7 Sublethal time-to-knockdown data</w:t>
      </w:r>
    </w:p>
    <w:p>
      <w:pPr>
        <w:pStyle w:val="FirstParagraph"/>
      </w:pPr>
      <w:r>
        <w:t xml:space="preserve">So far the brown-shrimp analysis has used the lethal TDT dataset, which records mortality counts at fixed (temperature × duration) cells. The same animals can also be analysed via a</w:t>
      </w:r>
      <w:r>
        <w:t xml:space="preserve"> </w:t>
      </w:r>
      <w:r>
        <w:rPr>
          <w:b/>
          <w:bCs/>
        </w:rPr>
        <w:t xml:space="preserve">sublethal</w:t>
      </w:r>
      <w:r>
        <w:t xml:space="preserve"> </w:t>
      </w:r>
      <w:r>
        <w:t xml:space="preserve">endpoint — loss of response to touch — where each cup contributes a single time-to-knockdown observation rather than a binary survival count at a pre-specified duration. This sublethal dataset (shipped in the project’s</w:t>
      </w:r>
      <w:r>
        <w:t xml:space="preserve"> </w:t>
      </w:r>
      <w:r>
        <w:rPr>
          <w:rStyle w:val="VerbatimChar"/>
        </w:rPr>
        <w:t xml:space="preserve">data/Data_Shrimp_TDT_CTmax_experiment.xlsx</w:t>
      </w:r>
      <w:r>
        <w:t xml:space="preserve">, sheet</w:t>
      </w:r>
      <w:r>
        <w:t xml:space="preserve"> </w:t>
      </w:r>
      <w:r>
        <w:rPr>
          <w:rStyle w:val="VerbatimChar"/>
        </w:rPr>
        <w:t xml:space="preserve">SUBLETHAL_TDT</w:t>
      </w:r>
      <w:r>
        <w:t xml:space="preserve">) covers five assay temperatures from 31 to 33 °C, distributed across three experimental dates and six holding tanks; the exact cup counts per temperature are reported in</w:t>
      </w:r>
      <w:r>
        <w:t xml:space="preserve"> </w:t>
      </w:r>
      <w:hyperlink w:anchor="tbl-shrimp-sub-summary">
        <w:r>
          <w:rPr>
            <w:rStyle w:val="Hyperlink"/>
          </w:rPr>
          <w:t xml:space="preserve">Table S14</w:t>
        </w:r>
      </w:hyperlink>
      <w:r>
        <w:t xml:space="preserve"> </w:t>
      </w:r>
      <w:r>
        <w:t xml:space="preserve">below.</w:t>
      </w:r>
    </w:p>
    <w:p>
      <w:pPr>
        <w:pStyle w:val="BodyText"/>
      </w:pPr>
      <w:r>
        <w:t xml:space="preserve">The classical analysis of time-to-event sublethal data is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giving</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directly from the regression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in a Bayesian framework (with the same hierarchical structure as the joint 4PL above), then re-cast the</w:t>
      </w:r>
      <w:r>
        <w:t xml:space="preserve"> </w:t>
      </w:r>
      <w:r>
        <w:rPr>
          <w:i/>
          <w:iCs/>
        </w:rPr>
        <w:t xml:space="preserve">same</w:t>
      </w:r>
      <w:r>
        <w:t xml:space="preserve"> </w:t>
      </w:r>
      <w:r>
        <w:t xml:space="preserve">time-to-event data as a proportion-knocked-down 4PL fit</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151" w:name="sec-shrimp-sub-data"/>
    <w:p>
      <w:pPr>
        <w:pStyle w:val="Heading3"/>
      </w:pPr>
      <w:r>
        <w:t xml:space="preserve">3.7.1 Data preparation</w:t>
      </w:r>
    </w:p>
    <w:p>
      <w:pPr>
        <w:pStyle w:val="FirstParagraph"/>
      </w:pPr>
      <w:r>
        <w:t xml:space="preserve">The raw sublethal sheet records one row per cup, with the time when the cup’s individuals lost response to touch. We parse the Excel time-of-day values, restrict to non-excluded rows, and add the grouping factors used as random intercepts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w:t>
      </w:r>
    </w:p>
    <w:p>
      <w:pPr>
        <w:pStyle w:val="SourceCode"/>
      </w:pPr>
      <w:r>
        <w:rPr>
          <w:rStyle w:val="NormalTok"/>
        </w:rPr>
        <w:t xml:space="preserve">sublethal_raw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"Data_Shrimp_TDT_CTmax_experiment.xlsx"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"SUBLETHAL_TDT"</w:t>
      </w:r>
      <w:r>
        <w:br/>
      </w:r>
      <w:r>
        <w:rPr>
          <w:rStyle w:val="NormalTok"/>
        </w:rPr>
        <w:t xml:space="preserve">)</w:t>
      </w:r>
      <w:r>
        <w:br/>
      </w:r>
      <w:r>
        <w:br/>
      </w:r>
      <w:r>
        <w:rPr>
          <w:rStyle w:val="CommentTok"/>
        </w:rPr>
        <w:t xml:space="preserve"># Time_to_death is stored as a fractional-day string (Excel format).</w:t>
      </w:r>
      <w:r>
        <w:br/>
      </w:r>
      <w:r>
        <w:rPr>
          <w:rStyle w:val="CommentTok"/>
        </w:rPr>
        <w:t xml:space="preserve"># Starting_time is a POSIXct on 1899-12-31 carrying the time-of-day; we</w:t>
      </w:r>
      <w:r>
        <w:br/>
      </w:r>
      <w:r>
        <w:rPr>
          <w:rStyle w:val="CommentTok"/>
        </w:rPr>
        <w:t xml:space="preserve"># extract its time-of-day and difference the two to get exposure duration</w:t>
      </w:r>
      <w:r>
        <w:br/>
      </w:r>
      <w:r>
        <w:rPr>
          <w:rStyle w:val="CommentTok"/>
        </w:rPr>
        <w:t xml:space="preserve"># in minutes.</w:t>
      </w:r>
      <w:r>
        <w:br/>
      </w:r>
      <w:r>
        <w:rPr>
          <w:rStyle w:val="NormalTok"/>
        </w:rPr>
        <w:t xml:space="preserve">tdt_sub </w:t>
      </w:r>
      <w:r>
        <w:rPr>
          <w:rStyle w:val="OtherTok"/>
        </w:rPr>
        <w:t xml:space="preserve">&lt;-</w:t>
      </w:r>
      <w:r>
        <w:rPr>
          <w:rStyle w:val="NormalTok"/>
        </w:rPr>
        <w:t xml:space="preserve"> sublethal_raw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(Assay_temperature),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w:t>
      </w:r>
      <w:r>
        <w:rPr>
          <w:rStyle w:val="FunctionTok"/>
        </w:rPr>
        <w:t xml:space="preserve">as.character</w:t>
      </w:r>
      <w:r>
        <w:rPr>
          <w:rStyle w:val="NormalTok"/>
        </w:rPr>
        <w:t xml:space="preserve">(</w:t>
      </w:r>
      <w:r>
        <w:rPr>
          <w:rStyle w:val="FunctionTok"/>
        </w:rPr>
        <w:t xml:space="preserve">as.Date</w:t>
      </w:r>
      <w:r>
        <w:rPr>
          <w:rStyle w:val="NormalTok"/>
        </w:rPr>
        <w:t xml:space="preserve">(Date))),</w:t>
      </w:r>
      <w:r>
        <w:br/>
      </w:r>
      <w:r>
        <w:rPr>
          <w:rStyle w:val="NormalTok"/>
        </w:rPr>
        <w:t xml:space="preserve">    </w:t>
      </w:r>
      <w:r>
        <w:rPr>
          <w:rStyle w:val="AttributeTok"/>
        </w:rPr>
        <w:t xml:space="preserve">tank_ID         =</w:t>
      </w:r>
      <w:r>
        <w:rPr>
          <w:rStyle w:val="NormalTok"/>
        </w:rPr>
        <w:t xml:space="preserve"> </w:t>
      </w:r>
      <w:r>
        <w:rPr>
          <w:rStyle w:val="FunctionTok"/>
        </w:rPr>
        <w:t xml:space="preserve">factor</w:t>
      </w:r>
      <w:r>
        <w:rPr>
          <w:rStyle w:val="NormalTok"/>
        </w:rPr>
        <w:t xml:space="preserve">(Tank),</w:t>
      </w:r>
      <w:r>
        <w:br/>
      </w:r>
      <w:r>
        <w:rPr>
          <w:rStyle w:val="NormalTok"/>
        </w:rPr>
        <w:t xml:space="preserve">    </w:t>
      </w:r>
      <w:r>
        <w:rPr>
          <w:rStyle w:val="AttributeTok"/>
        </w:rPr>
        <w:t xml:space="preserve">cup_ID          =</w:t>
      </w:r>
      <w:r>
        <w:rPr>
          <w:rStyle w:val="NormalTok"/>
        </w:rPr>
        <w:t xml:space="preserve"> </w:t>
      </w:r>
      <w:r>
        <w:rPr>
          <w:rStyle w:val="FunctionTok"/>
        </w:rPr>
        <w:t xml:space="preserve">factor</w:t>
      </w:r>
      <w:r>
        <w:rPr>
          <w:rStyle w:val="NormalTok"/>
        </w:rPr>
        <w:t xml:space="preserve">(</w:t>
      </w:r>
      <w:r>
        <w:rPr>
          <w:rStyle w:val="FunctionTok"/>
        </w:rPr>
        <w:t xml:space="preserve">paste0</w:t>
      </w:r>
      <w:r>
        <w:rPr>
          <w:rStyle w:val="NormalTok"/>
        </w:rPr>
        <w:t xml:space="preserve">(Trial_ID, </w:t>
      </w:r>
      <w:r>
        <w:rPr>
          <w:rStyle w:val="StringTok"/>
        </w:rPr>
        <w:t xml:space="preserve">"_"</w:t>
      </w:r>
      <w:r>
        <w:rPr>
          <w:rStyle w:val="NormalTok"/>
        </w:rPr>
        <w:t xml:space="preserve">, Sample)),</w:t>
      </w:r>
      <w:r>
        <w:br/>
      </w:r>
      <w:r>
        <w:rPr>
          <w:rStyle w:val="NormalTok"/>
        </w:rPr>
        <w:t xml:space="preserve">    </w:t>
      </w:r>
      <w:r>
        <w:rPr>
          <w:rStyle w:val="AttributeTok"/>
        </w:rPr>
        <w:t xml:space="preserve">ttd_frac        =</w:t>
      </w:r>
      <w:r>
        <w:rPr>
          <w:rStyle w:val="NormalTok"/>
        </w:rPr>
        <w:t xml:space="preserve"> </w:t>
      </w:r>
      <w:r>
        <w:rPr>
          <w:rStyle w:val="FunctionTok"/>
        </w:rPr>
        <w:t xml:space="preserve">as.numeric</w:t>
      </w:r>
      <w:r>
        <w:rPr>
          <w:rStyle w:val="NormalTok"/>
        </w:rPr>
        <w:t xml:space="preserve">(Time_to_death),</w:t>
      </w:r>
      <w:r>
        <w:br/>
      </w:r>
      <w:r>
        <w:rPr>
          <w:rStyle w:val="NormalTok"/>
        </w:rPr>
        <w:t xml:space="preserve">    </w:t>
      </w:r>
      <w:r>
        <w:rPr>
          <w:rStyle w:val="AttributeTok"/>
        </w:rPr>
        <w:t xml:space="preserve">start_frac      =</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(Starting_time, </w:t>
      </w:r>
      <w:r>
        <w:rPr>
          <w:rStyle w:val="StringTok"/>
        </w:rPr>
        <w:t xml:space="preserve">"%H"</w:t>
      </w:r>
      <w:r>
        <w:rPr>
          <w:rStyle w:val="NormalTok"/>
        </w:rPr>
        <w:t xml:space="preserve">))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(Starting_time,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(Starting_time, </w:t>
      </w:r>
      <w:r>
        <w:rPr>
          <w:rStyle w:val="StringTok"/>
        </w:rPr>
        <w:t xml:space="preserve">"%S"</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w:t>
      </w:r>
      <w:r>
        <w:br/>
      </w:r>
      <w:r>
        <w:rPr>
          <w:rStyle w:val="NormalTok"/>
        </w:rPr>
        <w:t xml:space="preserve">    </w:t>
      </w:r>
      <w:r>
        <w:rPr>
          <w:rStyle w:val="AttributeTok"/>
        </w:rPr>
        <w:t xml:space="preserve">time_to_event   =</w:t>
      </w:r>
      <w:r>
        <w:rPr>
          <w:rStyle w:val="NormalTok"/>
        </w:rPr>
        <w:t xml:space="preserve"> (ttd_frac </w:t>
      </w:r>
      <w:r>
        <w:rPr>
          <w:rStyle w:val="SpecialCharTok"/>
        </w:rPr>
        <w:t xml:space="preserve">-</w:t>
      </w:r>
      <w:r>
        <w:rPr>
          <w:rStyle w:val="NormalTok"/>
        </w:rPr>
        <w:t xml:space="preserve"> start_frac) </w:t>
      </w:r>
      <w:r>
        <w:rPr>
          <w:rStyle w:val="SpecialCharTok"/>
        </w:rPr>
        <w:t xml:space="preserve">*</w:t>
      </w:r>
      <w:r>
        <w:rPr>
          <w:rStyle w:val="NormalTok"/>
        </w:rPr>
        <w:t xml:space="preserve"> </w:t>
      </w:r>
      <w:r>
        <w:rPr>
          <w:rStyle w:val="DecValTok"/>
        </w:rPr>
        <w:t xml:space="preserve">1440</w:t>
      </w:r>
      <w:r>
        <w:rPr>
          <w:rStyle w:val="NormalTok"/>
        </w:rPr>
        <w:t xml:space="preserve">          </w:t>
      </w:r>
      <w:r>
        <w:rPr>
          <w:rStyle w:val="CommentTok"/>
        </w:rPr>
        <w:t xml:space="preserve"># minutes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(time_to_event), time_to_event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S14</w:t>
        </w:r>
      </w:hyperlink>
      <w:r>
        <w:t xml:space="preserve"> </w:t>
      </w:r>
      <w:r>
        <w:t xml:space="preserve">summarises the sublethal panel: five assay temperatures spanning the sublethal-to-lethal transition.</w:t>
      </w:r>
    </w:p>
    <w:tbl>
      <w:tblPr>
        <w:tblStyle w:val="Table"/>
        <w:tblW w:type="pct" w:w="5000"/>
        <w:tblLayout w:type="fixed"/>
        <w:tblLook w:firstRow="0" w:lastRow="0" w:firstColumn="0" w:lastColumn="0" w:noHBand="0" w:noVBand="0" w:val="0000"/>
      </w:tblPr>
      <w:tblGrid>
        <w:gridCol w:w="7920"/>
      </w:tblGrid>
      <w:tr>
        <w:tc>
          <w:tcPr/>
          <w:bookmarkStart w:id="150" w:name="tbl-shrimp-sub-summary"/>
          <w:p>
            <w:pPr>
              <w:jc w:val="center"/>
            </w:pPr>
            <w:pPr>
              <w:jc w:val="start"/>
              <w:spacing w:before="200"/>
              <w:pStyle w:val="ImageCaption"/>
            </w:pPr>
            <w:r>
              <w:t xml:space="preserve">Table S14: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150"/>
          <w:p/>
        </w:tc>
      </w:tr>
    </w:tbl>
    <w:bookmarkEnd w:id="151"/>
    <w:bookmarkStart w:id="153" w:name="sec-shrimp-sub-linear"/>
    <w:p>
      <w:pPr>
        <w:pStyle w:val="Heading3"/>
      </w:pPr>
      <w:r>
        <w:t xml:space="preserve">3.7.2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2" w:name="tbl-shrimp-sub-linear"/>
          <w:p>
            <w:pPr>
              <w:jc w:val="center"/>
            </w:pPr>
            <w:pPr>
              <w:jc w:val="start"/>
              <w:spacing w:before="200"/>
              <w:pStyle w:val="ImageCaption"/>
            </w:pPr>
            <w:r>
              <w:t xml:space="preserve">Table S15: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152"/>
          <w:p/>
        </w:tc>
      </w:tr>
    </w:tbl>
    <w:bookmarkEnd w:id="153"/>
    <w:bookmarkStart w:id="157" w:name="sec-shrimp-sub-4pl"/>
    <w:p>
      <w:pPr>
        <w:pStyle w:val="Heading3"/>
      </w:pPr>
      <w:r>
        <w:t xml:space="preserve">3.7.3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w:t>
      </w:r>
      <w:r>
        <w:t xml:space="preserve"> </w:t>
      </w:r>
      <w:r>
        <w:rPr>
          <w:i/>
          <w:iCs/>
        </w:rPr>
        <w:t xml:space="preserve">same</w:t>
      </w:r>
      <w:r>
        <w:t xml:space="preserve"> </w:t>
      </w:r>
      <w:r>
        <w:t xml:space="preserve">time-to-knockdown data can be re-cast as proportion-alive observations. At each assay temperature, the fraction of cups that have</w:t>
      </w:r>
      <w:r>
        <w:t xml:space="preserve"> </w:t>
      </w:r>
      <w:r>
        <w:rPr>
          <w:i/>
          <w:iCs/>
        </w:rPr>
        <w:t xml:space="preserve">not yet</w:t>
      </w:r>
      <w:r>
        <w:t xml:space="preserve"> </w:t>
      </w:r>
      <w:r>
        <w:t xml:space="preserve">been knocked down by time</w:t>
      </w:r>
      <w:r>
        <w:t xml:space="preserve"> </w:t>
      </w:r>
      <m:oMath>
        <m:r>
          <m:t>t</m:t>
        </m:r>
      </m:oMath>
      <w:r>
        <w:t xml:space="preserve"> </w:t>
      </w:r>
      <w:r>
        <w:t xml:space="preserve">defines a cumulative survival curve; that curve is the canonical 4PL input. Concretely, for each</w:t>
      </w:r>
      <w:r>
        <w:t xml:space="preserve"> </w:t>
      </w:r>
      <m:oMath>
        <m:d>
          <m:dPr>
            <m:begChr m:val="("/>
            <m:sepChr m:val=""/>
            <m:endChr m:val=")"/>
            <m:grow/>
          </m:dPr>
          <m:e>
            <m:r>
              <m:rPr>
                <m:nor/>
                <m:sty m:val="p"/>
              </m:rPr>
              <m:t>date</m:t>
            </m:r>
            <m:r>
              <m:rPr>
                <m:sty m:val="p"/>
              </m:rPr>
              <m:t>×</m:t>
            </m:r>
            <m:r>
              <m:rPr>
                <m:nor/>
                <m:sty m:val="p"/>
              </m:rPr>
              <m:t>tank</m:t>
            </m:r>
            <m:r>
              <m:rPr>
                <m:sty m:val="p"/>
              </m:rPr>
              <m:t>×</m:t>
            </m:r>
            <m:r>
              <m:rPr>
                <m:nor/>
                <m:sty m:val="p"/>
              </m:rPr>
              <m:t>temperature</m:t>
            </m:r>
          </m:e>
        </m:d>
      </m:oMath>
      <w:r>
        <w:t xml:space="preserve"> </w:t>
      </w:r>
      <w:r>
        <w:t xml:space="preserve">trial we count cups at a grid of evaluation times — when</w:t>
      </w:r>
      <w:r>
        <w:t xml:space="preserve"> </w:t>
      </w:r>
      <m:oMath>
        <m:r>
          <m:t>t</m:t>
        </m:r>
      </m:oMath>
      <w:r>
        <w:t xml:space="preserve"> </w:t>
      </w:r>
      <w:r>
        <w:t xml:space="preserve">is short, most cups are still alive; when</w:t>
      </w:r>
      <w:r>
        <w:t xml:space="preserve"> </w:t>
      </w:r>
      <m:oMath>
        <m:r>
          <m:t>t</m:t>
        </m:r>
      </m:oMath>
      <w:r>
        <w:t xml:space="preserve"> </w:t>
      </w:r>
      <w:r>
        <w:t xml:space="preserve">is long, almost none are.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is then fed straight into</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CommentTok"/>
        </w:rPr>
        <w:t xml:space="preserve"># Evaluation grid: log-spaced, covering the observed knockdown-time range.</w:t>
      </w:r>
      <w:r>
        <w:br/>
      </w: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CommentTok"/>
        </w:rPr>
        <w:t xml:space="preserve"># For each (Date, Tank, Temp) trial, count cups still alive at each eval_time.</w:t>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quarto/share/formats/docx/note.png" id="155"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4PL aggregation pools cups within each</w:t>
            </w:r>
            <w:r>
              <w:t xml:space="preserve"> </w:t>
            </w:r>
            <m:oMath>
              <m:d>
                <m:dPr>
                  <m:begChr m:val="("/>
                  <m:sepChr m:val=""/>
                  <m:endChr m:val=")"/>
                  <m:grow/>
                </m:dPr>
                <m:e>
                  <m:r>
                    <m:rPr>
                      <m:nor/>
                      <m:sty m:val="p"/>
                    </m:rPr>
                    <m:t>date</m:t>
                  </m:r>
                  <m:r>
                    <m:rPr>
                      <m:sty m:val="p"/>
                    </m:rPr>
                    <m:t>×</m:t>
                  </m:r>
                  <m:r>
                    <m:rPr>
                      <m:nor/>
                      <m:sty m:val="p"/>
                    </m:rPr>
                    <m:t>tank</m:t>
                  </m:r>
                  <m:r>
                    <m:rPr>
                      <m:sty m:val="p"/>
                    </m:rPr>
                    <m:t>×</m:t>
                  </m:r>
                  <m:r>
                    <m:rPr>
                      <m:nor/>
                      <m:sty m:val="p"/>
                    </m:rPr>
                    <m:t>temperature</m:t>
                  </m:r>
                </m:e>
              </m:d>
            </m:oMath>
            <w:r>
              <w:t xml:space="preserve"> </w:t>
            </w:r>
            <w:r>
              <w:t xml:space="preserve">trial, so</w:t>
            </w:r>
            <w:r>
              <w:t xml:space="preserve"> </w:t>
            </w:r>
            <w:r>
              <w:rPr>
                <w:rStyle w:val="VerbatimChar"/>
              </w:rPr>
              <w:t xml:space="preserve">cup_ID</w:t>
            </w:r>
            <w:r>
              <w:t xml:space="preserve"> </w:t>
            </w:r>
            <w:r>
              <w:t xml:space="preserve">is no longer a grouping variable; cup-level dispersion is instead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 — plus</w:t>
            </w:r>
            <w:r>
              <w:t xml:space="preserve"> </w:t>
            </w:r>
            <m:oMath>
              <m:r>
                <m:t>ϕ</m:t>
              </m:r>
            </m:oMath>
            <w:r>
              <w:t xml:space="preserve"> </w:t>
            </w:r>
            <w:r>
              <w:t xml:space="preserve">to capture the extra-binomial variance.</w:t>
            </w:r>
          </w:p>
        </w:tc>
      </w:tr>
    </w:tbl>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6" w:name="tbl-shrimp-sub-4pl"/>
          <w:p>
            <w:pPr>
              <w:jc w:val="center"/>
            </w:pPr>
            <w:pPr>
              <w:jc w:val="start"/>
              <w:spacing w:before="200"/>
              <w:pStyle w:val="ImageCaption"/>
            </w:pPr>
            <w:r>
              <w:t xml:space="preserve">Table S16: Posterior summaries from the joint Bayesian 4PL on proportion-knocked-down data:</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r>
              <w:tc>
                <w:tcPr/>
                <w:p>
                  <w:pPr>
                    <w:pStyle w:val="Compact"/>
                    <w:jc w:val="center"/>
                  </w:pPr>
                  <w:r>
                    <w:t xml:space="preserve">T_crit (°C)</w:t>
                  </w:r>
                </w:p>
              </w:tc>
              <w:tc>
                <w:tcPr/>
                <w:p>
                  <w:pPr>
                    <w:pStyle w:val="Compact"/>
                    <w:jc w:val="center"/>
                  </w:pPr>
                  <w:r>
                    <w:t xml:space="preserve">28.64</w:t>
                  </w:r>
                </w:p>
              </w:tc>
              <w:tc>
                <w:tcPr/>
                <w:p>
                  <w:pPr>
                    <w:pStyle w:val="Compact"/>
                    <w:jc w:val="center"/>
                  </w:pPr>
                  <w:r>
                    <w:t xml:space="preserve">27.94</w:t>
                  </w:r>
                </w:p>
              </w:tc>
              <w:tc>
                <w:tcPr/>
                <w:p>
                  <w:pPr>
                    <w:pStyle w:val="Compact"/>
                    <w:jc w:val="center"/>
                  </w:pPr>
                  <w:r>
                    <w:t xml:space="preserve">29.3</w:t>
                  </w:r>
                </w:p>
              </w:tc>
            </w:tr>
          </w:tbl>
          <w:bookmarkEnd w:id="156"/>
          <w:p/>
        </w:tc>
      </w:tr>
    </w:tbl>
    <w:bookmarkEnd w:id="157"/>
    <w:bookmarkStart w:id="163" w:name="sec-shrimp-sub-compare"/>
    <w:p>
      <w:pPr>
        <w:pStyle w:val="Heading3"/>
      </w:pPr>
      <w:r>
        <w:t xml:space="preserve">3.7.4 Comparing the two sublethal pipelines</w:t>
      </w:r>
    </w:p>
    <w:p>
      <w:pPr>
        <w:pStyle w:val="FirstParagraph"/>
      </w:pPr>
      <w:r>
        <w:t xml:space="preserve">The two pipelines analyse the</w:t>
      </w:r>
      <w:r>
        <w:t xml:space="preserve"> </w:t>
      </w:r>
      <w:r>
        <w:rPr>
          <w:i/>
          <w:iCs/>
        </w:rPr>
        <w:t xml:space="preserve">same</w:t>
      </w:r>
      <w:r>
        <w:t xml:space="preserve"> </w:t>
      </w:r>
      <w:r>
        <w:t xml:space="preserve">knockdown observations through different statistical structures: the linear model regresses individual log-times on temperature, the 4PL fits a sigmoidal cumulative-knockdown curve at each temperature and reads off</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r>
        <w:t xml:space="preserve"> </w:t>
      </w:r>
      <w:hyperlink w:anchor="fig-shrimp-sub-compare">
        <w:r>
          <w:rPr>
            <w:rStyle w:val="Hyperlink"/>
          </w:rPr>
          <w:t xml:space="preserve">Figure S19</w:t>
        </w:r>
      </w:hyperlink>
      <w:r>
        <w:t xml:space="preserve"> </w:t>
      </w:r>
      <w:r>
        <w:t xml:space="preserve">overlays the two TDT lines (predicted</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and</w:t>
      </w:r>
      <w:r>
        <w:t xml:space="preserve"> </w:t>
      </w:r>
      <w:hyperlink w:anchor="tbl-shrimp-sub-compare">
        <w:r>
          <w:rPr>
            <w:rStyle w:val="Hyperlink"/>
          </w:rPr>
          <w:t xml:space="preserve">Table S17</w:t>
        </w:r>
      </w:hyperlink>
      <w:r>
        <w:t xml:space="preserve"> </w:t>
      </w:r>
      <w:r>
        <w:t xml:space="preserve">puts the posterior summaries side-by-side.</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CommentTok"/>
        </w:rPr>
        <w:t xml:space="preserve"># Linear model: predicted log10(time) from the population-level posterior</w:t>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CommentTok"/>
        </w:rPr>
        <w:t xml:space="preserve"># 4PL model: per-draw log10(LT50) curve from extract_tdt</w:t>
      </w:r>
      <w:r>
        <w:br/>
      </w:r>
      <w:r>
        <w:rPr>
          <w:rStyle w:val="NormalTok"/>
        </w:rPr>
        <w:t xml:space="preserve">ltx_sub </w:t>
      </w:r>
      <w:r>
        <w:rPr>
          <w:rStyle w:val="OtherTok"/>
        </w:rPr>
        <w:t xml:space="preserve">&lt;-</w:t>
      </w:r>
      <w:r>
        <w:rPr>
          <w:rStyle w:val="NormalTok"/>
        </w:rPr>
        <w:t xml:space="preserve"> </w:t>
      </w:r>
      <w:r>
        <w:rPr>
          <w:rStyle w:val="FunctionTok"/>
        </w:rPr>
        <w:t xml:space="preserve">derive_ltx_curve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1" w:name="fig-shrimp-sub-compare"/>
          <w:p>
            <w:pPr>
              <w:jc w:val="center"/>
            </w:pPr>
            <w:r>
              <w:drawing>
                <wp:inline>
                  <wp:extent cx="5943600" cy="4245428"/>
                  <wp:effectExtent b="0" l="0" r="0" t="0"/>
                  <wp:docPr descr="" title="" id="159" name="Picture"/>
                  <a:graphic>
                    <a:graphicData uri="http://schemas.openxmlformats.org/drawingml/2006/picture">
                      <pic:pic>
                        <pic:nvPicPr>
                          <pic:cNvPr descr="supplement_files/figure-docx/plot-shrimp-sub-compare-1.png" id="160" name="Picture"/>
                          <pic:cNvPicPr>
                            <a:picLocks noChangeArrowheads="1" noChangeAspect="1"/>
                          </pic:cNvPicPr>
                        </pic:nvPicPr>
                        <pic:blipFill>
                          <a:blip r:embed="rId15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1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shrimp-sub-compare"/>
          <w:p>
            <w:pPr>
              <w:jc w:val="center"/>
            </w:pPr>
            <w:pPr>
              <w:jc w:val="start"/>
              <w:spacing w:before="200"/>
              <w:pStyle w:val="ImageCaption"/>
            </w:pPr>
            <w:r>
              <w:t xml:space="preserve">Table S17: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162"/>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S17</w:t>
        </w:r>
      </w:hyperlink>
      <w:r>
        <w:t xml:space="preserve">). The 4PL on proportion-knocked-down data has the practical advantage that the</w:t>
      </w:r>
      <w:r>
        <w:t xml:space="preserve"> </w:t>
      </w:r>
      <w:r>
        <w:rPr>
          <w:i/>
          <w:iCs/>
        </w:rPr>
        <w:t xml:space="preserve">same</w:t>
      </w:r>
      <w:r>
        <w:t xml:space="preserve"> </w:t>
      </w:r>
      <w:r>
        <w:rPr>
          <w:rStyle w:val="VerbatimChar"/>
        </w:rPr>
        <w:t xml:space="preserve">extract_tdt()</w:t>
      </w:r>
      <w:r>
        <w:t xml:space="preserve"> </w:t>
      </w:r>
      <w:r>
        <w:t xml:space="preserve">workflow used for the lethal counts also returns a posterior of</w:t>
      </w:r>
      <w:r>
        <w:t xml:space="preserve"> </w:t>
      </w:r>
      <m:oMath>
        <m:sSub>
          <m:e>
            <m:r>
              <m:t>T</m:t>
            </m:r>
          </m:e>
          <m:sub>
            <m:r>
              <m:t>c</m:t>
            </m:r>
            <m:r>
              <m:t>r</m:t>
            </m:r>
            <m:r>
              <m:t>i</m:t>
            </m:r>
            <m:r>
              <m:t>t</m:t>
            </m:r>
          </m:sub>
        </m:sSub>
      </m:oMath>
      <w:r>
        <w:t xml:space="preserve"> </w:t>
      </w:r>
      <w:r>
        <w:t xml:space="preserve">for free — a quantity the linear time-to-event model does not produce directly.</w:t>
      </w:r>
    </w:p>
    <w:bookmarkEnd w:id="163"/>
    <w:bookmarkEnd w:id="164"/>
    <w:bookmarkEnd w:id="165"/>
    <w:bookmarkStart w:id="181" w:name="references"/>
    <w:p>
      <w:pPr>
        <w:pStyle w:val="Heading1"/>
      </w:pPr>
      <w:r>
        <w:t xml:space="preserve">4. </w:t>
      </w:r>
      <w:r>
        <w:rPr>
          <w:b/>
          <w:bCs/>
        </w:rPr>
        <w:t xml:space="preserve">References</w:t>
      </w:r>
    </w:p>
    <w:bookmarkStart w:id="180" w:name="refs"/>
    <w:bookmarkStart w:id="167"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166">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167"/>
    <w:bookmarkStart w:id="169" w:name="ref-jorgensen_unifying_2021"/>
    <w:p>
      <w:pPr>
        <w:pStyle w:val="Bibliography"/>
      </w:pPr>
      <w:r>
        <w:t xml:space="preserve">Jørgensen, L.B., Malte, H. &amp; Overgaard, J. (2021).</w:t>
      </w:r>
      <w:r>
        <w:t xml:space="preserve"> </w:t>
      </w:r>
      <w:hyperlink r:id="rId168">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69"/>
    <w:bookmarkStart w:id="17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7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71"/>
    <w:bookmarkStart w:id="173" w:name="ref-orsted_finding_2022"/>
    <w:p>
      <w:pPr>
        <w:pStyle w:val="Bibliography"/>
      </w:pPr>
      <w:r>
        <w:t xml:space="preserve">Ørsted, M., Jørgensen, L.B. &amp; Overgaard, J. (2022).</w:t>
      </w:r>
      <w:r>
        <w:t xml:space="preserve"> </w:t>
      </w:r>
      <w:hyperlink r:id="rId17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73"/>
    <w:bookmarkStart w:id="175" w:name="ref-orsted_suzukii_2024"/>
    <w:p>
      <w:pPr>
        <w:pStyle w:val="Bibliography"/>
      </w:pPr>
      <w:r>
        <w:t xml:space="preserve">Ørsted, M., Willot, Q., Olsen, A.K., Kongsgaard, V. &amp; Overgaard, J. (2024).</w:t>
      </w:r>
      <w:r>
        <w:t xml:space="preserve"> </w:t>
      </w:r>
      <w:hyperlink r:id="rId17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75"/>
    <w:bookmarkStart w:id="177" w:name="ref-rezende_drosophila_mortality_2020"/>
    <w:p>
      <w:pPr>
        <w:pStyle w:val="Bibliography"/>
      </w:pPr>
      <w:r>
        <w:t xml:space="preserve">Rezende, E.L., Bozinovic, F., Szilágyi, A. &amp; Santos, M. (2020).</w:t>
      </w:r>
      <w:r>
        <w:t xml:space="preserve"> </w:t>
      </w:r>
      <w:hyperlink r:id="rId176">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77"/>
    <w:bookmarkStart w:id="179" w:name="ref-rezende_landscapes_2014"/>
    <w:p>
      <w:pPr>
        <w:pStyle w:val="Bibliography"/>
      </w:pPr>
      <w:r>
        <w:t xml:space="preserve">Rezende, E.L., Castañeda, L.E. &amp; Santos, M. (2014).</w:t>
      </w:r>
      <w:r>
        <w:t xml:space="preserve"> </w:t>
      </w:r>
      <w:hyperlink r:id="rId178">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79"/>
    <w:bookmarkEnd w:id="180"/>
    <w:bookmarkEnd w:id="181"/>
    <w:bookmarkStart w:id="182" w:name="session-information"/>
    <w:p>
      <w:pPr>
        <w:pStyle w:val="Heading1"/>
      </w:pPr>
      <w:r>
        <w:t xml:space="preserve">5.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patchwork(v.1.3.1)</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curl(v.7.1.0)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ps(v.1.9.3)</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p>
      <w:pPr>
        <w:pStyle w:val="BodyText"/>
      </w:pPr>
      <w:r>
        <w:t xml:space="preserve">:::</w:t>
      </w:r>
    </w:p>
    <w:bookmarkEnd w:id="18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7" Target="media/rId5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13" Target="media/rId113.png" /><Relationship Type="http://schemas.openxmlformats.org/officeDocument/2006/relationships/image" Id="rId108" Target="media/rId108.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83" Target="media/rId83.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158" Target="media/rId158.png" /><Relationship Type="http://schemas.openxmlformats.org/officeDocument/2006/relationships/image" Id="rId34" Target="media/rId34.png" /><Relationship Type="http://schemas.openxmlformats.org/officeDocument/2006/relationships/image" Id="rId62" Target="media/rId62.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hyperlink" Id="rId170" Target="https://doi.org/10.1016/j.tree.2026.01.009" TargetMode="External" /><Relationship Type="http://schemas.openxmlformats.org/officeDocument/2006/relationships/hyperlink" Id="rId168" Target="https://doi.org/10.1038/s41598-021-92004-6" TargetMode="External" /><Relationship Type="http://schemas.openxmlformats.org/officeDocument/2006/relationships/hyperlink" Id="rId178" Target="https://doi.org/10.1111/1365-2435.12268" TargetMode="External" /><Relationship Type="http://schemas.openxmlformats.org/officeDocument/2006/relationships/hyperlink" Id="rId174" Target="https://doi.org/10.1111/ele.14421" TargetMode="External" /><Relationship Type="http://schemas.openxmlformats.org/officeDocument/2006/relationships/hyperlink" Id="rId166" Target="https://doi.org/10.1111/gcb.70315" TargetMode="External" /><Relationship Type="http://schemas.openxmlformats.org/officeDocument/2006/relationships/hyperlink" Id="rId176" Target="https://doi.org/10.1126/science.aba9287" TargetMode="External" /><Relationship Type="http://schemas.openxmlformats.org/officeDocument/2006/relationships/hyperlink" Id="rId172"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170" Target="https://doi.org/10.1016/j.tree.2026.01.009" TargetMode="External" /><Relationship Type="http://schemas.openxmlformats.org/officeDocument/2006/relationships/hyperlink" Id="rId168" Target="https://doi.org/10.1038/s41598-021-92004-6" TargetMode="External" /><Relationship Type="http://schemas.openxmlformats.org/officeDocument/2006/relationships/hyperlink" Id="rId178" Target="https://doi.org/10.1111/1365-2435.12268" TargetMode="External" /><Relationship Type="http://schemas.openxmlformats.org/officeDocument/2006/relationships/hyperlink" Id="rId174" Target="https://doi.org/10.1111/ele.14421" TargetMode="External" /><Relationship Type="http://schemas.openxmlformats.org/officeDocument/2006/relationships/hyperlink" Id="rId166" Target="https://doi.org/10.1111/gcb.70315" TargetMode="External" /><Relationship Type="http://schemas.openxmlformats.org/officeDocument/2006/relationships/hyperlink" Id="rId176" Target="https://doi.org/10.1126/science.aba9287" TargetMode="External" /><Relationship Type="http://schemas.openxmlformats.org/officeDocument/2006/relationships/hyperlink" Id="rId172"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2026-05-13T09:36:56Z</dcterms:created>
  <dcterms:modified xsi:type="dcterms:W3CDTF">2026-05-13T09:36:56Z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2026-05-13</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