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8.png" ContentType="image/png"/>
  <Override PartName="/word/media/rId160.png" ContentType="image/png"/>
  <Override PartName="/word/media/rId144.png" ContentType="image/png"/>
  <Override PartName="/word/media/rId167.png" ContentType="image/png"/>
  <Override PartName="/word/media/rId135.png" ContentType="image/png"/>
  <Override PartName="/word/media/rId18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sensitivity across life</w:t>
      </w:r>
    </w:p>
    <w:p>
      <w:pPr>
        <w:pStyle w:val="Author"/>
      </w:pPr>
      <w:r>
        <w:t xml:space="preserve">Daniel W.A. Noble</w:t>
      </w:r>
    </w:p>
    <w:p>
      <w:pPr>
        <w:pStyle w:val="Author"/>
      </w:pPr>
      <w:r>
        <w:t xml:space="preserve">Pieter A. Arnold</w:t>
      </w:r>
    </w:p>
    <w:p>
      <w:pPr>
        <w:pStyle w:val="Author"/>
      </w:pPr>
      <w:r>
        <w:t xml:space="preserve">Patrice Pottier</w:t>
      </w:r>
    </w:p>
    <w:p>
      <w:pPr>
        <w:pStyle w:val="Date"/>
      </w:pPr>
      <w:r>
        <w:t xml:space="preserve">2026-05-06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1. Preface</w:t>
      </w:r>
    </w:p>
    <w:bookmarkEnd w:id="20"/>
    <w:bookmarkStart w:id="21" w:name="preface-1"/>
    <w:p>
      <w:pPr>
        <w:pStyle w:val="Heading1"/>
      </w:pPr>
      <w:r>
        <w:t xml:space="preserve">Preface</w:t>
      </w:r>
    </w:p>
    <w:p>
      <w:pPr>
        <w:pStyle w:val="FirstParagraph"/>
      </w:pPr>
      <w:r>
        <w:t xml:space="preserve">This book bundles the main manuscript and supplementary information for</w:t>
      </w:r>
      <w:r>
        <w:t xml:space="preserve"> </w:t>
      </w:r>
      <w:r>
        <w:rPr>
          <w:i/>
          <w:iCs/>
        </w:rPr>
        <w:t xml:space="preserve">A flexible modelling framework for estimating thermal sensitivity across life</w:t>
      </w:r>
      <w:r>
        <w:t xml:space="preserve">. The manuscript follows in the next chapter; supplementary material — including the simulation tutorials, equivalence demonstrations, and worked examples — comes after.</w:t>
      </w:r>
    </w:p>
    <w:bookmarkEnd w:id="21"/>
    <w:bookmarkStart w:id="22" w:name="X5d0ffc1f8695dadfae440ac7456c457d7646c6d"/>
    <w:p>
      <w:pPr>
        <w:pStyle w:val="Heading1"/>
      </w:pPr>
      <w:r>
        <w:t xml:space="preserve">2. A flexible modelling framework for estimating thermal sensitivity across life</w:t>
      </w:r>
    </w:p>
    <w:p>
      <w:pPr>
        <w:pStyle w:val="FirstParagraph"/>
      </w:pPr>
      <w:r>
        <w:t xml:space="preserve">Daniel W.A. Noble (Division of Ecology and Evolution, Research School of</w:t>
      </w:r>
      <w:r>
        <w:t xml:space="preserve"> </w:t>
      </w:r>
      <w:r>
        <w:t xml:space="preserve">Biology, Australian National University)</w:t>
      </w:r>
      <w:r>
        <w:br/>
      </w:r>
      <w:r>
        <w:t xml:space="preserve">Pieter A. Arnold (Division of Ecology and Evolution, Research School of</w:t>
      </w:r>
      <w:r>
        <w:t xml:space="preserve"> </w:t>
      </w:r>
      <w:r>
        <w:t xml:space="preserve">Biology, Australian National University)</w:t>
      </w:r>
      <w:r>
        <w:br/>
      </w:r>
      <w:r>
        <w:t xml:space="preserve">Patrice Pottier (Department of Biological and Environmental Sciences,</w:t>
      </w:r>
      <w:r>
        <w:t xml:space="preserve"> </w:t>
      </w:r>
      <w:r>
        <w:t xml:space="preserve">University of Gothenburg)</w:t>
      </w:r>
    </w:p>
    <w:p>
      <w:pPr>
        <w:numPr>
          <w:ilvl w:val="0"/>
          <w:numId w:val="1001"/>
        </w:numPr>
      </w:pPr>
      <w:r>
        <w:t xml:space="preserve">The thermal load sensitivity (TLS) framework is the gold standard</w:t>
      </w:r>
      <w:r>
        <w:t xml:space="preserve"> </w:t>
      </w:r>
      <w:r>
        <w:t xml:space="preserve">for estimating and predicting thermal tolerance in nature, but its</w:t>
      </w:r>
      <w:r>
        <w:t xml:space="preserve"> </w:t>
      </w:r>
      <w:r>
        <w:t xml:space="preserve">standard two-step pipeline — point-estimate LT50 extraction at each</w:t>
      </w:r>
      <w:r>
        <w:t xml:space="preserve"> </w:t>
      </w:r>
      <w:r>
        <w:t xml:space="preserve">assay temperature followed by ordinary least squares regression of</w:t>
      </w:r>
      <w:r>
        <w:t xml:space="preserve"> </w:t>
      </w:r>
      <m:oMath>
        <m:sSub>
          <m:e>
            <m:r>
              <m:rPr>
                <m:sty m:val="p"/>
              </m:rPr>
              <m:t>log</m:t>
            </m:r>
          </m:e>
          <m:sub>
            <m:r>
              <m:t>10</m:t>
            </m:r>
          </m:sub>
        </m:sSub>
        <m:r>
          <m:rPr>
            <m:nor/>
            <m:sty m:val="p"/>
          </m:rPr>
          <m:t>LT50</m:t>
        </m:r>
      </m:oMath>
      <w:r>
        <w:t xml:space="preserve"> </w:t>
      </w:r>
      <w:r>
        <w:t xml:space="preserve">on temperature — rests on statistical</w:t>
      </w:r>
      <w:r>
        <w:t xml:space="preserve"> </w:t>
      </w:r>
      <w:r>
        <w:t xml:space="preserve">assumptions that are routinely violated and that bias every</w:t>
      </w:r>
      <w:r>
        <w:t xml:space="preserve"> </w:t>
      </w:r>
      <w:r>
        <w:t xml:space="preserve">downstream quantity (z, CTmax, heat-injury predictions).</w:t>
      </w:r>
    </w:p>
    <w:p>
      <w:pPr>
        <w:numPr>
          <w:ilvl w:val="0"/>
          <w:numId w:val="1001"/>
        </w:numPr>
      </w:pPr>
      <w:r>
        <w:t xml:space="preserve">We describe a flexible Bayesian, single-stage four-parameter</w:t>
      </w:r>
      <w:r>
        <w:t xml:space="preserve"> </w:t>
      </w:r>
      <w:r>
        <w:t xml:space="preserve">logistic (4PL) model for modelling the impact of temperature and</w:t>
      </w:r>
      <w:r>
        <w:t xml:space="preserve"> </w:t>
      </w:r>
      <w:r>
        <w:t xml:space="preserve">time on survival and fertility. We demonstrate how such an approach</w:t>
      </w:r>
      <w:r>
        <w:t xml:space="preserve"> </w:t>
      </w:r>
      <w:r>
        <w:t xml:space="preserve">can recover all the classical TDT output typical of a two-stage</w:t>
      </w:r>
      <w:r>
        <w:t xml:space="preserve"> </w:t>
      </w:r>
      <w:r>
        <w:t xml:space="preserve">modelling framework — including thermal sensitivity (</w:t>
      </w:r>
      <m:oMath>
        <m:r>
          <m:t>z</m:t>
        </m:r>
      </m:oMath>
      <w:r>
        <w:t xml:space="preserve">, slopes),</w:t>
      </w:r>
      <w:r>
        <w:t xml:space="preserve"> </w:t>
      </w:r>
      <w:r>
        <w:t xml:space="preserve">critical thermal limit (</w:t>
      </w:r>
      <m:oMath>
        <m:r>
          <m:t>C</m:t>
        </m:r>
        <m:sSub>
          <m:e>
            <m:r>
              <m:t>T</m:t>
            </m:r>
          </m:e>
          <m:sub>
            <m:r>
              <m:t>m</m:t>
            </m:r>
            <m:r>
              <m:t>a</m:t>
            </m:r>
            <m:sSub>
              <m:e>
                <m:r>
                  <m:t>x</m:t>
                </m:r>
              </m:e>
              <m:sub>
                <m:r>
                  <m:t>1</m:t>
                </m:r>
                <m:r>
                  <m:t>h</m:t>
                </m:r>
                <m:r>
                  <m:t>r</m:t>
                </m:r>
              </m:sub>
            </m:sSub>
          </m:sub>
        </m:sSub>
      </m:oMath>
      <w:r>
        <w:t xml:space="preserve">) and the heat-injury (HI)</w:t>
      </w:r>
      <w:r>
        <w:t xml:space="preserve"> </w:t>
      </w:r>
      <w:r>
        <w:t xml:space="preserve">integral, which allows for one to predict thermal injury in nature</w:t>
      </w:r>
      <w:r>
        <w:t xml:space="preserve"> </w:t>
      </w:r>
      <w:r>
        <w:t xml:space="preserve">under realistic exposure temperatures. Given its fully Bayesian</w:t>
      </w:r>
      <w:r>
        <w:t xml:space="preserve"> </w:t>
      </w:r>
      <w:r>
        <w:t xml:space="preserve">implementation, it allows for error propagation to account for</w:t>
      </w:r>
      <w:r>
        <w:t xml:space="preserve"> </w:t>
      </w:r>
      <w:r>
        <w:t xml:space="preserve">uncertainty at all stages of modelling as well as improved</w:t>
      </w:r>
      <w:r>
        <w:t xml:space="preserve"> </w:t>
      </w:r>
      <w:r>
        <w:t xml:space="preserve">inferences.</w:t>
      </w:r>
    </w:p>
    <w:p>
      <w:pPr>
        <w:numPr>
          <w:ilvl w:val="0"/>
          <w:numId w:val="1001"/>
        </w:numPr>
      </w:pPr>
      <w:r>
        <w:t xml:space="preserve">We applied our new modelling framework to data from brown shrimp</w:t>
      </w:r>
      <w:r>
        <w:t xml:space="preserve"> </w:t>
      </w:r>
      <w:r>
        <w:t xml:space="preserve">(</w:t>
      </w:r>
      <w:r>
        <w:rPr>
          <w:i/>
          <w:iCs/>
        </w:rPr>
        <w:t xml:space="preserve">Crangon crangon</w:t>
      </w:r>
      <w:r>
        <w:t xml:space="preserve">) and XX to demonstrate the equivalencies and</w:t>
      </w:r>
      <w:r>
        <w:t xml:space="preserve"> </w:t>
      </w:r>
      <w:r>
        <w:t xml:space="preserve">benefits of such an approach.</w:t>
      </w:r>
    </w:p>
    <w:p>
      <w:pPr>
        <w:numPr>
          <w:ilvl w:val="0"/>
          <w:numId w:val="1001"/>
        </w:numPr>
      </w:pPr>
      <w:r>
        <w:t xml:space="preserve">We show that the classical and Bayesian frameworks are equivalent,</w:t>
      </w:r>
      <w:r>
        <w:t xml:space="preserve"> </w:t>
      </w:r>
      <w:r>
        <w:t xml:space="preserve">but that the hierarchical 4PL delivers properly propagated</w:t>
      </w:r>
      <w:r>
        <w:t xml:space="preserve"> </w:t>
      </w:r>
      <w:r>
        <w:t xml:space="preserve">uncertainty, can account for complex hierarchical data (i.e., random</w:t>
      </w:r>
      <w:r>
        <w:t xml:space="preserve"> </w:t>
      </w:r>
      <w:r>
        <w:t xml:space="preserve">effects), can accommodate censoring and overdispersion, , and</w:t>
      </w:r>
      <w:r>
        <w:t xml:space="preserve"> </w:t>
      </w:r>
      <w:r>
        <w:t xml:space="preserve">unlocks outputs the two-step pipeline cannot provide (full survival</w:t>
      </w:r>
      <w:r>
        <w:t xml:space="preserve"> </w:t>
      </w:r>
      <w:r>
        <w:t xml:space="preserve">surface, arbitrary mortality percentiles, decomposable between-group</w:t>
      </w:r>
      <w:r>
        <w:t xml:space="preserve"> </w:t>
      </w:r>
      <w:r>
        <w:t xml:space="preserve">contrasts, dynamic-regime predictions). We provide reusable R</w:t>
      </w:r>
      <w:r>
        <w:t xml:space="preserve"> </w:t>
      </w:r>
      <w:r>
        <w:t xml:space="preserve">helpers and recommend the hierarchical 4PL as the default analysis</w:t>
      </w:r>
      <w:r>
        <w:t xml:space="preserve"> </w:t>
      </w:r>
      <w:r>
        <w:t xml:space="preserve">for new TDT data.</w:t>
      </w:r>
    </w:p>
    <w:p>
      <w:pPr>
        <w:pStyle w:val="FirstParagraph"/>
      </w:pPr>
      <w:r>
        <w:br/>
      </w:r>
    </w:p>
    <w:bookmarkEnd w:id="22"/>
    <w:bookmarkStart w:id="23" w:name="introduction"/>
    <w:p>
      <w:pPr>
        <w:pStyle w:val="Heading1"/>
      </w:pPr>
      <w:r>
        <w:t xml:space="preserve">3. Introduction</w:t>
      </w:r>
    </w:p>
    <w:p>
      <w:pPr>
        <w:pStyle w:val="FirstParagraph"/>
      </w:pPr>
      <w:r>
        <w:t xml:space="preserve">Climate change is driving more frequent and extreme heat events globally, compromising organism fitness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with cascading consequences for population persistence and biodiversity</w:t>
      </w:r>
      <w:r>
        <w:t xml:space="preserve"> </w:t>
      </w:r>
      <w:r>
        <w:t xml:space="preserve">(</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wiens_localextinctions_2016">
        <w:r>
          <w:rPr>
            <w:rStyle w:val="Hyperlink"/>
          </w:rPr>
          <w:t xml:space="preserve">Wiens 2016</w:t>
        </w:r>
      </w:hyperlink>
      <w:r>
        <w:t xml:space="preserve">)</w:t>
      </w:r>
      <w:r>
        <w:t xml:space="preserve">. Quantifying differences in thermal tolerance across species is now central to forecasting climate-change impacts on organisms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Static measures of heat tolerance, such as</w:t>
      </w:r>
      <w:r>
        <w:t xml:space="preserve"> </w:t>
      </w:r>
      <m:oMath>
        <m:r>
          <m:t>C</m:t>
        </m:r>
        <m:sSub>
          <m:e>
            <m:r>
              <m:t>T</m:t>
            </m:r>
          </m:e>
          <m:sub>
            <m:r>
              <m:t>m</m:t>
            </m:r>
            <m:r>
              <m:t>a</m:t>
            </m:r>
            <m:r>
              <m:t>x</m:t>
            </m:r>
          </m:sub>
        </m:sSub>
      </m:oMath>
      <w:r>
        <w:t xml:space="preserve">, have long been used to establish differences in vulnerability among taxa and predicting climate change risk</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static measures do not capture how the negative effects of extreme heat on fitness depend on both heat intensity and duration, limiting our ability to make realistic predictions under more dynamic thermal environments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Load Sensitivity (TLS) framework (or equivalently Thermal Death Time framework)</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resolves these limitations by jointly modelling the effects of heat intensity and duration on fitness (e.g., survival, fertility, reproduction). This matters because physiological damage accumulates in a dose-dependent manner — physiological damage accumulates faster at higher temperatures and over longer exposures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Organisms experiencing fluctuating thermal environments in nature can therefore accumulate damage to physiological systems that results in sublethal injury that compounds across successive heat exposures if not fully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Such processes can lead to delayed responses to extreme heat events.</w:t>
      </w:r>
    </w:p>
    <w:p>
      <w:pPr>
        <w:pStyle w:val="BodyText"/>
      </w:pPr>
      <w:r>
        <w:t xml:space="preserve">Thermal load sensitivity modelling, while powerful, traditionally involves a two-step approach</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First, experiments will typically be done that manipulate a range of temperatures and times (5 temperatures x 5 durations). The proportion of live/dead (or fertile/infertile, if sub-lethal) is then modelled as a function of log transformed time (in minutes or hours) using dose-response curves fit across all temperatures (usually at each temperature treatment independently). A threshold response,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is then derived from these curves. Second, the log transformed time taken to reach the threshold (e.g.,</w:t>
      </w:r>
      <w:r>
        <w:t xml:space="preserve"> </w:t>
      </w:r>
      <m:oMath>
        <m:r>
          <m:t>L</m:t>
        </m:r>
        <m:sSub>
          <m:e>
            <m:r>
              <m:t>T</m:t>
            </m:r>
          </m:e>
          <m:sub>
            <m:r>
              <m:t>50</m:t>
            </m:r>
          </m:sub>
        </m:sSub>
      </m:oMath>
      <w:r>
        <w:t xml:space="preserve">) and temperature are regressed against each other using a linear model and thermal sensitivity (i.e., the slope of this regression,</w:t>
      </w:r>
      <w:r>
        <w:t xml:space="preserve"> </w:t>
      </w:r>
      <w:r>
        <w:rPr>
          <w:i/>
          <w:iCs/>
        </w:rPr>
        <w:t xml:space="preserve">z</w:t>
      </w:r>
      <w:r>
        <w:t xml:space="preserve">) and critical thermal maxima (i.e., the intercept of the regression,</w:t>
      </w:r>
      <w:r>
        <w:t xml:space="preserve"> </w:t>
      </w:r>
      <m:oMath>
        <m:r>
          <m:t>C</m:t>
        </m:r>
        <m:sSub>
          <m:e>
            <m:r>
              <m:t>T</m:t>
            </m:r>
          </m:e>
          <m:sub>
            <m:r>
              <m:t>m</m:t>
            </m:r>
            <m:r>
              <m:t>a</m:t>
            </m:r>
            <m:sSub>
              <m:e>
                <m:r>
                  <m:t>x</m:t>
                </m:r>
              </m:e>
              <m:sub>
                <m:r>
                  <m:t>t</m:t>
                </m:r>
                <m:r>
                  <m:t>i</m:t>
                </m:r>
                <m:r>
                  <m:t>m</m:t>
                </m:r>
                <m:r>
                  <m:t>e</m:t>
                </m:r>
              </m:sub>
            </m:sSub>
          </m:sub>
        </m:sSub>
      </m:oMath>
      <w:r>
        <w:t xml:space="preserve">) are then derived</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r>
        <w:t xml:space="preserve"> </w:t>
      </w:r>
      <m:oMath>
        <m:r>
          <m:t>C</m:t>
        </m:r>
        <m:sSub>
          <m:e>
            <m:r>
              <m:t>T</m:t>
            </m:r>
          </m:e>
          <m:sub>
            <m:r>
              <m:t>m</m:t>
            </m:r>
            <m:r>
              <m:t>a</m:t>
            </m:r>
            <m:sSub>
              <m:e>
                <m:r>
                  <m:t>x</m:t>
                </m:r>
              </m:e>
              <m:sub>
                <m:r>
                  <m:t>t</m:t>
                </m:r>
                <m:r>
                  <m:t>i</m:t>
                </m:r>
                <m:r>
                  <m:t>m</m:t>
                </m:r>
                <m:r>
                  <m:t>e</m:t>
                </m:r>
              </m:sub>
            </m:sSub>
          </m:sub>
        </m:sSub>
      </m:oMath>
      <w:r>
        <w:t xml:space="preserve"> </w:t>
      </w:r>
      <w:r>
        <w:t xml:space="preserve">is usually computed at 1 min or 1 hour duration. Thermal sensitivity and</w:t>
      </w:r>
      <w:r>
        <w:t xml:space="preserve"> </w:t>
      </w:r>
      <m:oMath>
        <m:r>
          <m:t>C</m:t>
        </m:r>
        <m:sSub>
          <m:e>
            <m:r>
              <m:t>T</m:t>
            </m:r>
          </m:e>
          <m:sub>
            <m:r>
              <m:t>m</m:t>
            </m:r>
            <m:r>
              <m:t>a</m:t>
            </m:r>
            <m:sSub>
              <m:e>
                <m:r>
                  <m:t>x</m:t>
                </m:r>
              </m:e>
              <m:sub>
                <m:r>
                  <m:t>1</m:t>
                </m:r>
                <m:r>
                  <m:t>m</m:t>
                </m:r>
                <m:r>
                  <m:t>i</m:t>
                </m:r>
                <m:r>
                  <m:t>n</m:t>
                </m:r>
              </m:sub>
            </m:sSub>
          </m:sub>
        </m:sSub>
      </m:oMath>
      <w:r>
        <w:t xml:space="preserve"> </w:t>
      </w:r>
      <w:r>
        <w:t xml:space="preserve">are than used to quantify Heat Injury (HI) (e.g.,</w:t>
      </w:r>
      <w:r>
        <w:t xml:space="preserve"> </w:t>
      </w:r>
      <w:r>
        <w:t xml:space="preserve">Jørgensen</w:t>
      </w:r>
      <w:r>
        <w:t xml:space="preserve"> </w:t>
      </w:r>
      <w:r>
        <w:rPr>
          <w:i/>
          <w:iCs/>
        </w:rPr>
        <w:t xml:space="preserve">et al.</w:t>
      </w:r>
      <w:r>
        <w:t xml:space="preserve"> </w:t>
      </w:r>
      <w:r>
        <w:t xml:space="preserve">(</w:t>
      </w:r>
      <w:hyperlink w:anchor="ref-jorgensen_drosophila_2019">
        <w:r>
          <w:rPr>
            <w:rStyle w:val="Hyperlink"/>
          </w:rPr>
          <w:t xml:space="preserve">2019</w:t>
        </w:r>
      </w:hyperlink>
      <w:r>
        <w:t xml:space="preserve">)</w:t>
      </w:r>
      <w:r>
        <w:t xml:space="preserve">;</w:t>
      </w:r>
      <w:r>
        <w:t xml:space="preserve"> </w:t>
      </w:r>
      <w:r>
        <w:t xml:space="preserve">Villeneuve &amp; White (</w:t>
      </w:r>
      <w:hyperlink w:anchor="ref-villeneuve_dynamic_2024">
        <w:r>
          <w:rPr>
            <w:rStyle w:val="Hyperlink"/>
          </w:rPr>
          <w:t xml:space="preserve">2024</w:t>
        </w:r>
      </w:hyperlink>
      <w:r>
        <w:t xml:space="preserve">)</w:t>
      </w:r>
      <w:r>
        <w:t xml:space="preserve">) in response to realistic temperatures in nature. Heat injury measures the cumulative percentage or probability until reaching a given threshold (e.g.,</w:t>
      </w:r>
      <w:r>
        <w:t xml:space="preserve"> </w:t>
      </w:r>
      <m:oMath>
        <m:r>
          <m:t>L</m:t>
        </m:r>
        <m:sSub>
          <m:e>
            <m:r>
              <m:t>T</m:t>
            </m:r>
          </m:e>
          <m:sub>
            <m:r>
              <m:t>50</m:t>
            </m:r>
          </m:sub>
        </m:sSub>
      </m:oMath>
      <w:r>
        <w:t xml:space="preserve">), at which point we would predict 50% of the population to have died. Recent work has emphasized the importance of repair in heat injury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r>
        <w:t xml:space="preserve">with modelling approaches developed to capture these damage-repair dynamics.</w:t>
      </w:r>
    </w:p>
    <w:p>
      <w:pPr>
        <w:pStyle w:val="BodyText"/>
      </w:pPr>
      <w:r>
        <w:t xml:space="preserve">While the two-step approach to modelling thermal sensitivity is intuitive and simple in practice it has numerous practical and statistical limitations. First, the two-step pipeline propagates uncertainty incorrectly. The</w:t>
      </w:r>
      <w:r>
        <w:t xml:space="preserve"> </w:t>
      </w:r>
      <m:oMath>
        <m:r>
          <m:t>L</m:t>
        </m:r>
        <m:sSub>
          <m:e>
            <m:r>
              <m:t>T</m:t>
            </m:r>
          </m:e>
          <m:sub>
            <m:r>
              <m:t>50</m:t>
            </m:r>
          </m:sub>
        </m:sSub>
      </m:oMath>
      <w:r>
        <w:t xml:space="preserve"> </w:t>
      </w:r>
      <w:r>
        <w:t xml:space="preserve">estimates are estimates with non-negligible sampling variance. Treating them as fixed inputs to the regression discards that variance and miscalibrates the standard errors on the slope (</w:t>
      </w:r>
      <m:oMath>
        <m:r>
          <m:t>z</m:t>
        </m:r>
      </m:oMath>
      <w:r>
        <w:t xml:space="preserve">) and intercept (</w:t>
      </w:r>
      <m:oMath>
        <m:r>
          <m:t>C</m:t>
        </m:r>
        <m:sSub>
          <m:e>
            <m:r>
              <m:t>T</m:t>
            </m:r>
          </m:e>
          <m:sub>
            <m:r>
              <m:t>m</m:t>
            </m:r>
            <m:r>
              <m:t>a</m:t>
            </m:r>
            <m:r>
              <m:t>x</m:t>
            </m:r>
          </m:sub>
        </m:sSub>
      </m:oMath>
      <w:r>
        <w:t xml:space="preserve">)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group comparisons (between species, sexes, or life stages) inherit the miscalibrated uncertainty of the first stage. As such, differences in</w:t>
      </w:r>
      <w:r>
        <w:t xml:space="preserve"> </w:t>
      </w:r>
      <m:oMath>
        <m:r>
          <m:t>z</m:t>
        </m:r>
      </m:oMath>
      <w:r>
        <w:t xml:space="preserve"> </w:t>
      </w:r>
      <w:r>
        <w:t xml:space="preserve">between groups cannot be attributed to differences in the upper asymptote, lower asymptote, or curve steepness of the dose-response curve, because all three are collapsed into a single</w:t>
      </w:r>
      <w:r>
        <w:t xml:space="preserve"> </w:t>
      </w:r>
      <m:oMath>
        <m:r>
          <m:t>L</m:t>
        </m:r>
        <m:sSub>
          <m:e>
            <m:r>
              <m:t>T</m:t>
            </m:r>
          </m:e>
          <m:sub>
            <m:r>
              <m:t>50</m:t>
            </m:r>
          </m:sub>
        </m:sSub>
      </m:oMath>
      <w:r>
        <w:t xml:space="preserve"> </w:t>
      </w:r>
      <w:r>
        <w:t xml:space="preserve">before the comparison is made. Third, the</w:t>
      </w:r>
      <w:r>
        <w:t xml:space="preserve"> </w:t>
      </w:r>
      <m:oMath>
        <m:r>
          <m:t>L</m:t>
        </m:r>
        <m:sSub>
          <m:e>
            <m:r>
              <m:t>T</m:t>
            </m:r>
          </m:e>
          <m:sub>
            <m:r>
              <m:t>50</m:t>
            </m:r>
          </m:sub>
        </m:sSub>
      </m:oMath>
      <w:r>
        <w:t xml:space="preserve">-extraction step collapses the within-replicate count, foreclosing hierarchical decomposition of variance across replicates, plates, populations, sexes, and life stages that could affect parameters of dose-response curves</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Fourth, the intrinsically hierarchical structure of (e.g., animals within batches and assay days) is generally ignored which can lead to pseudoreplicaton, resulting in anticonservative standard errors that affect inference. Finally, propagating uncertainty from a two-step fit into downstream predictions — such as cumulative heat injury — is rarely attempted in practice understating the credible range of extreme heat impacts in nature.</w:t>
      </w:r>
    </w:p>
    <w:p>
      <w:pPr>
        <w:pStyle w:val="BodyText"/>
      </w:pPr>
      <w:r>
        <w:t xml:space="preserve">Here, we introduce a well known dose-response model, the four-parameter logistic function</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and discuss how it can be used to overcome many of the existing challenges of the two-step thermal load sensitivity models. We show how all the classical thermal load sensitivity parameters (</w:t>
      </w:r>
      <w:r>
        <w:rPr>
          <w:i/>
          <w:iCs/>
        </w:rPr>
        <w:t xml:space="preserve">z</w:t>
      </w:r>
      <w:r>
        <w:t xml:space="preserve">,</w:t>
      </w:r>
      <w:r>
        <w:t xml:space="preserve"> </w:t>
      </w:r>
      <m:oMath>
        <m:r>
          <m:t>C</m:t>
        </m:r>
        <m:sSub>
          <m:e>
            <m:r>
              <m:t>T</m:t>
            </m:r>
          </m:e>
          <m:sub>
            <m:r>
              <m:t>m</m:t>
            </m:r>
            <m:r>
              <m:t>a</m:t>
            </m:r>
            <m:r>
              <m:t>x</m:t>
            </m:r>
          </m:sub>
        </m:sSub>
      </m:oMath>
      <w:r>
        <w:t xml:space="preserve">) can be derived from this model, while also easily allowing for predictions of heat injury accumulation. We develop these models within a Bayesian framework which allows for better uncertainty calibration and error propagation with complex hierarchical data structures.</w:t>
      </w:r>
    </w:p>
    <w:bookmarkEnd w:id="23"/>
    <w:bookmarkStart w:id="27" w:name="X4ae69e6473582f743e31b9e3b0100c4bac3c9f9"/>
    <w:p>
      <w:pPr>
        <w:pStyle w:val="Heading1"/>
      </w:pPr>
      <w:r>
        <w:t xml:space="preserve">4. A non-linear Bayesian hierarchical model for characterizing thermal load sensitivity</w:t>
      </w:r>
    </w:p>
    <w:p>
      <w:pPr>
        <w:pStyle w:val="FirstParagraph"/>
      </w:pPr>
      <w:r>
        <w:t xml:space="preserve">Here, we present an alternative to the two-step pipeline: a single hierarchical four-parameter logistic (4PL) model fit jointly to all temperature by duration data. The 4PL is a flexible sigmoidal form that pairs with different sampling distributions — binomial for counts of dead or infertile individuals, time-to-event for latencies (e.g., time to knockdown), Beta for continuous proportions, or Gaussian for continuous performance measures</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w:t>
      </w:r>
    </w:p>
    <w:p>
      <w:pPr>
        <w:pStyle w:val="BodyText"/>
      </w:pPr>
      <w:r>
        <w:t xml:space="preserve">We focus on binomial outcomes for clarity, since these dominate the TLS literature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 derivations below apply unchanged when the likelihood is swapped. Although we use the four-parameter log-logistic form throughout for its flexibility — it accommodates curves that do not saturate at 0% or 100% survival/mortality — other monotonic sigmoidal families (e.g., Weibull, log-normal) and simpler nested versions of the log-logistic (3PL, with one asymptote fixed; 2PL, with both fixed at 0 and 1) can be used within this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the simpler nested versions in particular simplify or eliminate the asymmetry correction derived below.</w:t>
      </w:r>
    </w:p>
    <w:p>
      <w:pPr>
        <w:pStyle w:val="BodyText"/>
      </w:pPr>
      <w:r>
        <w:t xml:space="preserve">Below, we describe the 4PL model, discuss the flexibility in estimating different parameters, derive the classical TLS quantities, show how the model can be used to estimate heat injury, and apply the framework to two case studies that demonstrate equivalence with the classical pipeline as well as outputs only the joint fit provides. In our case studies we highlight the power of Bayesian approaches in carrying uncertainty through to predictions and derived quantities.</w:t>
      </w:r>
    </w:p>
    <w:bookmarkStart w:id="26" w:name="model-specification"/>
    <w:p>
      <w:pPr>
        <w:pStyle w:val="Heading2"/>
      </w:pPr>
      <w:r>
        <w:t xml:space="preserve">4.1 Model specification</w:t>
      </w:r>
    </w:p>
    <w:p>
      <w:pPr>
        <w:pStyle w:val="FirstParagraph"/>
      </w:pPr>
      <w:r>
        <w:t xml:space="preserve">Let</w:t>
      </w:r>
      <w:r>
        <w:t xml:space="preserve"> </w:t>
      </w:r>
      <m:oMath>
        <m:sSub>
          <m:e>
            <m:r>
              <m:t>y</m:t>
            </m:r>
          </m:e>
          <m:sub>
            <m:r>
              <m:t>i</m:t>
            </m:r>
            <m:r>
              <m:t>j</m:t>
            </m:r>
          </m:sub>
        </m:sSub>
      </m:oMath>
      <w:r>
        <w:t xml:space="preserve"> </w:t>
      </w:r>
      <w:r>
        <w:t xml:space="preserve">denote the number of survivors out of</w:t>
      </w:r>
      <w:r>
        <w:t xml:space="preserve"> </w:t>
      </w:r>
      <m:oMath>
        <m:sSub>
          <m:e>
            <m:r>
              <m:t>n</m:t>
            </m:r>
          </m:e>
          <m:sub>
            <m:r>
              <m:t>i</m:t>
            </m:r>
            <m:r>
              <m:t>j</m:t>
            </m:r>
          </m:sub>
        </m:sSub>
      </m:oMath>
      <w:r>
        <w:t xml:space="preserve"> </w:t>
      </w:r>
      <w:r>
        <w:t xml:space="preserve">individuals in trial</w:t>
      </w:r>
      <w:r>
        <w:t xml:space="preserve"> </w:t>
      </w:r>
      <m:oMath>
        <m:r>
          <m:t>j</m:t>
        </m:r>
      </m:oMath>
      <w:r>
        <w:t xml:space="preserve"> </w:t>
      </w:r>
      <w:r>
        <w:t xml:space="preserve">exposed for time</w:t>
      </w:r>
      <w:r>
        <w:t xml:space="preserve"> </w:t>
      </w:r>
      <m:oMath>
        <m:sSub>
          <m:e>
            <m:r>
              <m:t>t</m:t>
            </m:r>
          </m:e>
          <m:sub>
            <m:r>
              <m:t>i</m:t>
            </m:r>
            <m:r>
              <m:t>j</m:t>
            </m:r>
          </m:sub>
        </m:sSub>
      </m:oMath>
      <w:r>
        <w:t xml:space="preserve"> </w:t>
      </w:r>
      <w:r>
        <w:t xml:space="preserve">(minutes) at assay temperature</w:t>
      </w:r>
      <w:r>
        <w:t xml:space="preserve"> </w:t>
      </w:r>
      <m:oMath>
        <m:sSub>
          <m:e>
            <m:r>
              <m:t>T</m:t>
            </m:r>
          </m:e>
          <m:sub>
            <m:r>
              <m:t>i</m:t>
            </m:r>
            <m:r>
              <m:t>j</m:t>
            </m:r>
          </m:sub>
        </m:sSub>
      </m:oMath>
      <w:r>
        <w:t xml:space="preserve"> </w:t>
      </w:r>
      <w:r>
        <w:t xml:space="preserve">(°C). We model the counts directly with a binomial likelihood (but a beta-binomial likelihood function can also be used and controls for overdispersion):</w:t>
      </w:r>
    </w:p>
    <w:p>
      <w:pPr>
        <w:pStyle w:val="BodyText"/>
      </w:pPr>
      <w:bookmarkStart w:id="24" w:name="eq-likelihood"/>
      <m:oMathPara>
        <m:oMathParaPr>
          <m:jc m:val="center"/>
        </m:oMathParaPr>
        <m:oMath>
          <m:sSub>
            <m:e>
              <m:r>
                <m:t>y</m:t>
              </m:r>
            </m:e>
            <m:sub>
              <m:r>
                <m:t>i</m:t>
              </m:r>
              <m:r>
                <m:t>j</m:t>
              </m:r>
            </m:sub>
          </m:sSub>
          <m:r>
            <m:rPr>
              <m:sty m:val="p"/>
            </m:rPr>
            <m:t>∣</m:t>
          </m:r>
          <m:sSub>
            <m:e>
              <m:r>
                <m:t>n</m:t>
              </m:r>
            </m:e>
            <m:sub>
              <m:r>
                <m:t>i</m:t>
              </m:r>
              <m:r>
                <m:t>j</m:t>
              </m:r>
            </m:sub>
          </m:sSub>
          <m:r>
            <m:rPr>
              <m:sty m:val="p"/>
            </m:rPr>
            <m:t>,</m:t>
          </m:r>
          <m:sSub>
            <m:e>
              <m:r>
                <m:t>p</m:t>
              </m:r>
            </m:e>
            <m:sub>
              <m:r>
                <m:t>i</m:t>
              </m:r>
              <m:r>
                <m:t>j</m:t>
              </m:r>
            </m:sub>
          </m:sSub>
          <m:r>
            <m:t> </m:t>
          </m:r>
          <m:r>
            <m:rPr>
              <m:sty m:val="p"/>
            </m:rPr>
            <m:t>∼</m:t>
          </m:r>
          <m:r>
            <m:t> </m:t>
          </m:r>
          <m:r>
            <m:rPr>
              <m:nor/>
              <m:sty m:val="p"/>
            </m:rPr>
            <m:t>Binomial</m:t>
          </m:r>
          <m:d>
            <m:dPr>
              <m:begChr m:val="("/>
              <m:sepChr m:val=""/>
              <m:endChr m:val=")"/>
              <m:grow/>
            </m:dPr>
            <m:e>
              <m:sSub>
                <m:e>
                  <m:r>
                    <m:t>n</m:t>
                  </m:r>
                </m:e>
                <m:sub>
                  <m:r>
                    <m:t>i</m:t>
                  </m:r>
                  <m:r>
                    <m:t>j</m:t>
                  </m:r>
                </m:sub>
              </m:sSub>
              <m:r>
                <m:rPr>
                  <m:sty m:val="p"/>
                </m:rPr>
                <m:t>,</m:t>
              </m:r>
              <m:r>
                <m:t> </m:t>
              </m:r>
              <m:sSub>
                <m:e>
                  <m:r>
                    <m:t>p</m:t>
                  </m:r>
                </m:e>
                <m:sub>
                  <m:r>
                    <m:t>i</m:t>
                  </m:r>
                  <m:r>
                    <m:t>j</m:t>
                  </m:r>
                </m:sub>
              </m:sSub>
            </m:e>
          </m:d>
          <m:r>
            <m:rPr>
              <m:sty m:val="p"/>
            </m:rPr>
            <m:t>,</m:t>
          </m:r>
          <m:r>
            <m:t>  </m:t>
          </m:r>
          <m:d>
            <m:dPr>
              <m:begChr m:val="("/>
              <m:sepChr m:val=""/>
              <m:endChr m:val=")"/>
              <m:grow/>
            </m:dPr>
            <m:e>
              <m:r>
                <m:t>1</m:t>
              </m:r>
            </m:e>
          </m:d>
        </m:oMath>
      </m:oMathPara>
      <w:bookmarkEnd w:id="24"/>
    </w:p>
    <w:p>
      <w:pPr>
        <w:pStyle w:val="FirstParagraph"/>
      </w:pPr>
      <w:r>
        <w:t xml:space="preserve">with survival probability</w:t>
      </w:r>
      <w:r>
        <w:t xml:space="preserve"> </w:t>
      </w:r>
      <m:oMath>
        <m:sSub>
          <m:e>
            <m:r>
              <m:t>p</m:t>
            </m:r>
          </m:e>
          <m:sub>
            <m:r>
              <m:t>i</m:t>
            </m:r>
            <m:r>
              <m:t>j</m:t>
            </m:r>
          </m:sub>
        </m:sSub>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5"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r>
                        <m:t>m</m:t>
                      </m:r>
                      <m:r>
                        <m:t>i</m:t>
                      </m:r>
                      <m:sSub>
                        <m:e>
                          <m:r>
                            <m:t>d</m:t>
                          </m:r>
                        </m:e>
                        <m:sub>
                          <m:r>
                            <m:t>i</m:t>
                          </m:r>
                          <m:r>
                            <m:t>j</m:t>
                          </m:r>
                        </m:sub>
                      </m:sSub>
                    </m:e>
                  </m:d>
                </m:e>
              </m:d>
            </m:den>
          </m:f>
          <m:r>
            <m:rPr>
              <m:sty m:val="p"/>
            </m:rPr>
            <m:t>.</m:t>
          </m:r>
          <m:r>
            <m:t>  </m:t>
          </m:r>
          <m:d>
            <m:dPr>
              <m:begChr m:val="("/>
              <m:sepChr m:val=""/>
              <m:endChr m:val=")"/>
              <m:grow/>
            </m:dPr>
            <m:e>
              <m:r>
                <m:t>2</m:t>
              </m:r>
            </m:e>
          </m:d>
        </m:oMath>
      </m:oMathPara>
      <w:bookmarkEnd w:id="25"/>
    </w:p>
    <w:p>
      <w:pPr>
        <w:pStyle w:val="FirstParagraph"/>
      </w:pPr>
      <w:r>
        <w:t xml:space="preserve">where</w:t>
      </w:r>
      <w:r>
        <w:t xml:space="preserve"> </w:t>
      </w:r>
      <m:oMath>
        <m:r>
          <m:rPr>
            <m:sty m:val="p"/>
          </m:rPr>
          <m:t>ℓ</m:t>
        </m:r>
      </m:oMath>
      <w:r>
        <w:t xml:space="preserve"> </w:t>
      </w:r>
      <w:r>
        <w:t xml:space="preserve">is the lower survival probability asymptote,</w:t>
      </w:r>
      <w:r>
        <w:t xml:space="preserve"> </w:t>
      </w:r>
      <m:oMath>
        <m:r>
          <m:t>u</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t>m</m:t>
        </m:r>
        <m:r>
          <m:t>i</m:t>
        </m:r>
        <m:sSub>
          <m:e>
            <m:r>
              <m:t>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sty m:val="p"/>
          </m:rPr>
          <m:t>ℓ</m:t>
        </m:r>
      </m:oMath>
      <w:r>
        <w:t xml:space="preserve"> </w:t>
      </w:r>
      <w:r>
        <w:t xml:space="preserve">and</w:t>
      </w:r>
      <w:r>
        <w:t xml:space="preserve"> </w:t>
      </w:r>
      <m:oMath>
        <m:r>
          <m:t>u</m:t>
        </m:r>
      </m:oMath>
      <w:r>
        <w:t xml:space="preserve">. When asymptotes are near 0 and 1,</w:t>
      </w:r>
      <w:r>
        <w:t xml:space="preserve"> </w:t>
      </w:r>
      <m:oMath>
        <m:r>
          <m:t>m</m:t>
        </m:r>
        <m:r>
          <m:t>i</m:t>
        </m:r>
        <m:sSub>
          <m:e>
            <m:r>
              <m:t>d</m:t>
            </m:r>
          </m:e>
          <m:sub>
            <m:r>
              <m:t>i</m:t>
            </m:r>
            <m:r>
              <m:t>j</m:t>
            </m:r>
          </m:sub>
        </m:sSub>
      </m:oMath>
      <w:r>
        <w:t xml:space="preserve"> </w:t>
      </w:r>
      <w:r>
        <w:t xml:space="preserve">coincides with</w:t>
      </w:r>
      <w:r>
        <w:t xml:space="preserve"> </w:t>
      </w:r>
      <m:oMath>
        <m:sSub>
          <m:e>
            <m:r>
              <m:rPr>
                <m:sty m:val="p"/>
              </m:rPr>
              <m:t>log</m:t>
            </m:r>
          </m:e>
          <m:sub>
            <m:r>
              <m:t>10</m:t>
            </m:r>
          </m:sub>
        </m:sSub>
        <m:r>
          <m:rPr>
            <m:nor/>
            <m:sty m:val="p"/>
          </m:rPr>
          <m:t>LT50</m:t>
        </m:r>
      </m:oMath>
      <w:r>
        <w:t xml:space="preserve"> </w:t>
      </w:r>
      <w:r>
        <w:t xml:space="preserve">at trial</w:t>
      </w:r>
      <w:r>
        <w:t xml:space="preserve"> </w:t>
      </w:r>
      <m:oMath>
        <m:r>
          <m:t>j</m:t>
        </m:r>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sty m:val="p"/>
          </m:rPr>
          <m:t>ℓ</m:t>
        </m:r>
      </m:oMath>
      <w:r>
        <w:t xml:space="preserve">,</w:t>
      </w:r>
      <m:oMath>
        <m:r>
          <m:t>u</m:t>
        </m:r>
      </m:oMath>
      <w:r>
        <w:t xml:space="preserve">,</w:t>
      </w:r>
      <w:r>
        <w:t xml:space="preserve"> </w:t>
      </w:r>
      <m:oMath>
        <m:r>
          <m:t>k</m:t>
        </m:r>
      </m:oMath>
      <w:r>
        <w:t xml:space="preserve">,</w:t>
      </w:r>
      <w:r>
        <w:t xml:space="preserve"> </w:t>
      </w:r>
      <m:oMath>
        <m:r>
          <m:t>m</m:t>
        </m:r>
        <m:r>
          <m:t>i</m:t>
        </m:r>
        <m:sSub>
          <m:e>
            <m:r>
              <m:t>d</m:t>
            </m:r>
          </m:e>
          <m:sub>
            <m:r>
              <m:t>i</m:t>
            </m:r>
            <m:r>
              <m:t>j</m:t>
            </m:r>
          </m:sub>
        </m:sSub>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trails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6"/>
    <w:bookmarkEnd w:id="27"/>
    <w:bookmarkStart w:id="32" w:name="X46eb6268dcffa0b752ad63ad3dfd63180af2bd8"/>
    <w:p>
      <w:pPr>
        <w:pStyle w:val="Heading1"/>
      </w:pPr>
      <w:r>
        <w:t xml:space="preserve">5. Deriving key thermal load sensitivity parameters</w:t>
      </w:r>
    </w:p>
    <w:p>
      <w:pPr>
        <w:pStyle w:val="FirstParagraph"/>
      </w:pPr>
      <w:r>
        <w:t xml:space="preserve">The TLS framework is elegant in that it derives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derived these same metrics directly from our logistic function.</w:t>
      </w:r>
    </w:p>
    <w:p>
      <w:pPr>
        <w:pStyle w:val="BodyText"/>
      </w:pPr>
      <w:r>
        <w:t xml:space="preserve">As indicated above, parameters can be fit to model changes in the mean of any of the four parameters in</w:t>
      </w:r>
      <w:r>
        <w:t xml:space="preserve"> </w:t>
      </w:r>
      <w:hyperlink w:anchor="eq-4pl">
        <w:r>
          <w:rPr>
            <w:rStyle w:val="Hyperlink"/>
          </w:rPr>
          <w:t xml:space="preserve">Equation 2</w:t>
        </w:r>
      </w:hyperlink>
      <w:r>
        <w:t xml:space="preserve">. We can easily derive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by modelling the effect of temperature on midpoints as follows:</w:t>
      </w:r>
    </w:p>
    <w:p>
      <w:pPr>
        <w:pStyle w:val="BodyText"/>
      </w:pPr>
      <w:bookmarkStart w:id="28" w:name="eq-mid-temp"/>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3</m:t>
              </m:r>
            </m:e>
          </m:d>
        </m:oMath>
      </m:oMathPara>
      <w:bookmarkEnd w:id="28"/>
    </w:p>
    <w:p>
      <w:pPr>
        <w:pStyle w:val="FirstParagraph"/>
      </w:pPr>
      <w:r>
        <w:t xml:space="preserve">where</w:t>
      </w:r>
      <w:r>
        <w:t xml:space="preserve"> </w:t>
      </w:r>
      <m:oMath>
        <m:sSub>
          <m:e>
            <m:r>
              <m:rPr>
                <m:nor/>
                <m:sty m:val="p"/>
              </m:rPr>
              <m:t>mid</m:t>
            </m:r>
          </m:e>
          <m:sub>
            <m:r>
              <m:t>i</m:t>
            </m:r>
            <m:r>
              <m:t>j</m:t>
            </m:r>
          </m:sub>
        </m:sSub>
      </m:oMath>
      <w:r>
        <w:t xml:space="preserve"> </w:t>
      </w:r>
      <w:r>
        <w:t xml:space="preserve">is the midpoint (</w:t>
      </w:r>
      <m:oMath>
        <m:sSub>
          <m:e>
            <m:r>
              <m:rPr>
                <m:sty m:val="p"/>
              </m:rPr>
              <m:t>log</m:t>
            </m:r>
          </m:e>
          <m:sub>
            <m:r>
              <m:t>10</m:t>
            </m:r>
          </m:sub>
        </m:sSub>
      </m:oMath>
      <w:r>
        <w:t xml:space="preserve">-time at 50% survival between</w:t>
      </w:r>
      <w:r>
        <w:t xml:space="preserve"> </w:t>
      </w:r>
      <m:oMath>
        <m:r>
          <m:rPr>
            <m:sty m:val="p"/>
          </m:rPr>
          <m:t>ℓ</m:t>
        </m:r>
      </m:oMath>
      <w:r>
        <w:t xml:space="preserve"> </w:t>
      </w:r>
      <w:r>
        <w:t xml:space="preserve">and</w:t>
      </w:r>
      <w:r>
        <w:t xml:space="preserve"> </w:t>
      </w:r>
      <m:oMath>
        <m:r>
          <m:t>u</m:t>
        </m:r>
      </m:oMath>
      <w:r>
        <w:t xml:space="preserve">) for trial</w:t>
      </w:r>
      <w:r>
        <w:t xml:space="preserve"> </w:t>
      </w:r>
      <m:oMath>
        <m:r>
          <m:t>j</m:t>
        </m:r>
      </m:oMath>
      <w:r>
        <w:t xml:space="preserve"> </w:t>
      </w:r>
      <w:r>
        <w:t xml:space="preserve">at assay temperature</w:t>
      </w:r>
      <w:r>
        <w:t xml:space="preserve"> </w:t>
      </w:r>
      <m:oMath>
        <m:sSub>
          <m:e>
            <m:r>
              <m:t>T</m:t>
            </m:r>
          </m:e>
          <m:sub>
            <m:r>
              <m:t>i</m:t>
            </m:r>
            <m:r>
              <m:t>j</m:t>
            </m:r>
          </m:sub>
        </m:sSub>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sSub>
          <m:e>
            <m:r>
              <m:t>T</m:t>
            </m:r>
          </m:e>
          <m:sub>
            <m:r>
              <m:t>i</m:t>
            </m:r>
            <m:r>
              <m:t>j</m:t>
            </m:r>
          </m:sub>
        </m:sSub>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sSub>
          <m:e>
            <m:r>
              <m:t>T</m:t>
            </m:r>
          </m:e>
          <m:sub>
            <m:r>
              <m:t>i</m:t>
            </m:r>
            <m:r>
              <m:t>j</m:t>
            </m:r>
          </m:sub>
        </m:sSub>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Setting</w:t>
      </w:r>
      <w:r>
        <w:t xml:space="preserve"> </w:t>
      </w:r>
      <m:oMath>
        <m:sSub>
          <m:e>
            <m:r>
              <m:t>p</m:t>
            </m:r>
          </m:e>
          <m:sub>
            <m:r>
              <m:t>i</m:t>
            </m:r>
            <m:r>
              <m:t>j</m:t>
            </m:r>
          </m:sub>
        </m:sSub>
        <m:r>
          <m:rPr>
            <m:sty m:val="p"/>
          </m:rPr>
          <m:t>=</m:t>
        </m:r>
        <m:r>
          <m:t>0.5</m:t>
        </m:r>
      </m:oMath>
      <w:r>
        <w:t xml:space="preserve"> </w:t>
      </w:r>
      <w:r>
        <w:t xml:space="preserve">in</w:t>
      </w:r>
      <w:r>
        <w:t xml:space="preserve"> </w:t>
      </w:r>
      <w:hyperlink w:anchor="eq-4pl">
        <w:r>
          <w:rPr>
            <w:rStyle w:val="Hyperlink"/>
          </w:rPr>
          <w:t xml:space="preserve">Equation 2</w:t>
        </w:r>
      </w:hyperlink>
      <w:r>
        <w:t xml:space="preserve">, isolating the exponential, and taking natural logs gives</w:t>
      </w:r>
      <w:r>
        <w:t xml:space="preserve"> </w:t>
      </w:r>
      <m:oMath>
        <m:sSub>
          <m:e>
            <m:r>
              <m:rPr>
                <m:sty m:val="p"/>
              </m:rPr>
              <m:t>log</m:t>
            </m:r>
          </m:e>
          <m:sub>
            <m:r>
              <m:t>10</m:t>
            </m:r>
          </m:sub>
        </m:sSub>
        <m:r>
          <m:rPr>
            <m:nor/>
            <m:sty m:val="p"/>
          </m:rPr>
          <m:t>LT50</m:t>
        </m:r>
        <m:d>
          <m:dPr>
            <m:begChr m:val="("/>
            <m:sepChr m:val=""/>
            <m:endChr m:val=")"/>
            <m:grow/>
          </m:dPr>
          <m:e>
            <m:r>
              <m:t>T</m:t>
            </m:r>
          </m:e>
        </m:d>
        <m:r>
          <m:rPr>
            <m:sty m:val="p"/>
          </m:rPr>
          <m:t>=</m:t>
        </m:r>
        <m:r>
          <m:rPr>
            <m:nor/>
            <m:sty m:val="p"/>
          </m:rPr>
          <m:t>mid</m:t>
        </m:r>
        <m:d>
          <m:dPr>
            <m:begChr m:val="("/>
            <m:sepChr m:val=""/>
            <m:endChr m:val=")"/>
            <m:grow/>
          </m:dPr>
          <m:e>
            <m:r>
              <m:t>T</m:t>
            </m:r>
          </m:e>
        </m:d>
        <m:r>
          <m:rPr>
            <m:sty m:val="p"/>
          </m:rPr>
          <m:t>+</m:t>
        </m:r>
        <m:d>
          <m:dPr>
            <m:begChr m:val="("/>
            <m:sepChr m:val=""/>
            <m:endChr m:val=")"/>
            <m:grow/>
          </m:dPr>
          <m:e>
            <m:r>
              <m:t>1</m:t>
            </m:r>
            <m:r>
              <m:rPr>
                <m:sty m:val="p"/>
              </m:rPr>
              <m:t>/</m:t>
            </m:r>
            <m:r>
              <m:t>k</m:t>
            </m:r>
          </m:e>
        </m:d>
        <m:r>
          <m:rPr>
            <m:sty m:val="p"/>
          </m:rPr>
          <m:t>log</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oMath>
      <w:r>
        <w:t xml:space="preserve">. Substituting into</w:t>
      </w:r>
      <w:r>
        <w:t xml:space="preserve"> </w:t>
      </w:r>
      <w:hyperlink w:anchor="eq-mid-temp">
        <w:r>
          <w:rPr>
            <w:rStyle w:val="Hyperlink"/>
          </w:rPr>
          <w:t xml:space="preserve">Equation 3</w:t>
        </w:r>
      </w:hyperlink>
      <w:r>
        <w:t xml:space="preserve"> </w:t>
      </w:r>
      <w:r>
        <w:t xml:space="preserve">and grouping all terms that do not depend on</w:t>
      </w:r>
      <w:r>
        <w:t xml:space="preserve"> </w:t>
      </w:r>
      <m:oMath>
        <m:r>
          <m:t>T</m:t>
        </m:r>
      </m:oMath>
      <w:r>
        <w:t xml:space="preserve"> </w:t>
      </w:r>
      <w:r>
        <w:t xml:space="preserve">into an intercept,</w:t>
      </w:r>
      <w:r>
        <w:t xml:space="preserve"> </w:t>
      </w:r>
      <m:oMath>
        <m:r>
          <m:t>α</m:t>
        </m:r>
      </m:oMath>
      <w:r>
        <w:t xml:space="preserve">, recovers the classical TDT linear relation:</w:t>
      </w:r>
    </w:p>
    <w:p>
      <w:pPr>
        <w:pStyle w:val="BodyText"/>
      </w:pPr>
      <w:bookmarkStart w:id="29" w:name="eq-lt50"/>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d>
                    <m:dPr>
                      <m:begChr m:val="["/>
                      <m:sepChr m:val=""/>
                      <m:endChr m:val="]"/>
                      <m:grow/>
                    </m:dPr>
                    <m:e>
                      <m:sSub>
                        <m:e>
                          <m:r>
                            <m:t>β</m:t>
                          </m:r>
                        </m:e>
                        <m:sub>
                          <m:r>
                            <m:t>0</m:t>
                          </m:r>
                        </m:sub>
                      </m:sSub>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e>
                  </m:d>
                </m:e>
                <m:lim>
                  <m:r>
                    <m:rPr>
                      <m:sty m:val="p"/>
                    </m:rPr>
                    <m:t>⏟</m:t>
                  </m:r>
                </m:lim>
              </m:limLow>
            </m:e>
            <m:lim>
              <m:r>
                <m:t>α</m:t>
              </m:r>
            </m:lim>
          </m:limLow>
          <m:r>
            <m:t> </m:t>
          </m:r>
          <m:r>
            <m:rPr>
              <m:sty m:val="p"/>
            </m:rPr>
            <m:t>+</m:t>
          </m:r>
          <m:r>
            <m:t> </m:t>
          </m:r>
          <m:sSub>
            <m:e>
              <m:r>
                <m:t>β</m:t>
              </m:r>
            </m:e>
            <m:sub>
              <m:r>
                <m:t>1</m:t>
              </m:r>
            </m:sub>
          </m:sSub>
          <m:r>
            <m:t> </m:t>
          </m:r>
          <m:r>
            <m:t>T</m:t>
          </m:r>
          <m:r>
            <m:rPr>
              <m:sty m:val="p"/>
            </m:rPr>
            <m:t>,</m:t>
          </m:r>
          <m:r>
            <m:t>  </m:t>
          </m:r>
          <m:d>
            <m:dPr>
              <m:begChr m:val="("/>
              <m:sepChr m:val=""/>
              <m:endChr m:val=")"/>
              <m:grow/>
            </m:dPr>
            <m:e>
              <m:r>
                <m:t>4</m:t>
              </m:r>
            </m:e>
          </m:d>
        </m:oMath>
      </m:oMathPara>
      <w:bookmarkEnd w:id="29"/>
    </w:p>
    <w:p>
      <w:pPr>
        <w:pStyle w:val="FirstParagraph"/>
      </w:pPr>
      <w:r>
        <w:t xml:space="preserve">Note that</w:t>
      </w:r>
      <w:r>
        <w:t xml:space="preserve"> </w:t>
      </w:r>
      <w:hyperlink w:anchor="eq-lt50">
        <w:r>
          <w:rPr>
            <w:rStyle w:val="Hyperlink"/>
          </w:rPr>
          <w:t xml:space="preserve">Equation 4</w:t>
        </w:r>
      </w:hyperlink>
      <w:r>
        <w:t xml:space="preserve"> </w:t>
      </w:r>
      <w:r>
        <w:t xml:space="preserve">subtracts</w:t>
      </w:r>
      <w:r>
        <w:t xml:space="preserve"> </w:t>
      </w:r>
      <m:oMath>
        <m:sSub>
          <m:e>
            <m:r>
              <m:t>β</m:t>
            </m:r>
          </m:e>
          <m:sub>
            <m:r>
              <m:t>1</m:t>
            </m:r>
          </m:sub>
        </m:sSub>
        <m:acc>
          <m:accPr>
            <m:chr m:val="‾"/>
          </m:accPr>
          <m:e>
            <m:r>
              <m:t>T</m:t>
            </m:r>
          </m:e>
        </m:acc>
      </m:oMath>
      <w:r>
        <w:t xml:space="preserve"> </w:t>
      </w:r>
      <w:r>
        <w:t xml:space="preserve">in</w:t>
      </w:r>
      <w:r>
        <w:t xml:space="preserve"> </w:t>
      </w:r>
      <m:oMath>
        <m:r>
          <m:t>α</m:t>
        </m:r>
      </m:oMath>
      <w:r>
        <w:t xml:space="preserve"> </w:t>
      </w:r>
      <w:r>
        <w:t xml:space="preserve">because we mean-centred</w:t>
      </w:r>
      <w:r>
        <w:t xml:space="preserve"> </w:t>
      </w:r>
      <m:oMath>
        <m:r>
          <m:t>T</m:t>
        </m:r>
      </m:oMath>
      <w:r>
        <w:t xml:space="preserve">. Without this subtraction, the intercept would estimate</w:t>
      </w:r>
      <w:r>
        <w:t xml:space="preserve"> </w:t>
      </w:r>
      <m:oMath>
        <m:sSub>
          <m:e>
            <m:r>
              <m:rPr>
                <m:sty m:val="p"/>
              </m:rPr>
              <m:t>log</m:t>
            </m:r>
          </m:e>
          <m:sub>
            <m:r>
              <m:t>10</m:t>
            </m:r>
          </m:sub>
        </m:sSub>
        <m:r>
          <m:rPr>
            <m:nor/>
            <m:sty m:val="p"/>
          </m:rPr>
          <m:t>LT50</m:t>
        </m:r>
      </m:oMath>
      <w:r>
        <w:t xml:space="preserve"> </w:t>
      </w:r>
      <w:r>
        <w:t xml:space="preserve">at the average temperature (</w:t>
      </w:r>
      <m:oMath>
        <m:acc>
          <m:accPr>
            <m:chr m:val="‾"/>
          </m:accPr>
          <m:e>
            <m:r>
              <m:t>T</m:t>
            </m:r>
          </m:e>
        </m:acc>
      </m:oMath>
      <w:r>
        <w:t xml:space="preserve">); with it, the intercept estimates</w:t>
      </w:r>
      <w:r>
        <w:t xml:space="preserve"> </w:t>
      </w:r>
      <m:oMath>
        <m:sSub>
          <m:e>
            <m:r>
              <m:rPr>
                <m:sty m:val="p"/>
              </m:rPr>
              <m:t>log</m:t>
            </m:r>
          </m:e>
          <m:sub>
            <m:r>
              <m:t>10</m:t>
            </m:r>
          </m:sub>
        </m:sSub>
        <m:r>
          <m:rPr>
            <m:nor/>
            <m:sty m:val="p"/>
          </m:rPr>
          <m:t>LT50</m:t>
        </m:r>
      </m:oMath>
      <w:r>
        <w:t xml:space="preserve"> </w:t>
      </w:r>
      <w:r>
        <w:t xml:space="preserve">at</w:t>
      </w:r>
      <w:r>
        <w:t xml:space="preserve"> </w:t>
      </w:r>
      <m:oMath>
        <m:r>
          <m:t>T</m:t>
        </m:r>
        <m:r>
          <m:rPr>
            <m:sty m:val="p"/>
          </m:rPr>
          <m:t>=</m:t>
        </m:r>
        <m:r>
          <m:t>0</m:t>
        </m:r>
      </m:oMath>
      <w:r>
        <w:t xml:space="preserve">°C, matching the uncentred parameterisation used in classical TLS regressions. From</w:t>
      </w:r>
      <w:r>
        <w:t xml:space="preserve"> </w:t>
      </w:r>
      <w:hyperlink w:anchor="eq-lt50">
        <w:r>
          <w:rPr>
            <w:rStyle w:val="Hyperlink"/>
          </w:rPr>
          <w:t xml:space="preserve">Equation 4</w:t>
        </w:r>
      </w:hyperlink>
      <w:r>
        <w:t xml:space="preserve">, the classical TLS quantities fall out directly: thermal sensitivity is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r>
              <m:t>α</m:t>
            </m:r>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 Each of these quantities can be estimated separately for different strata (e.g., sex, population, species) by including the relevant fixed covariates and/or random effects in the linear predictor for</w:t>
      </w:r>
      <w:r>
        <w:t xml:space="preserve"> </w:t>
      </w:r>
      <m:oMath>
        <m:sSub>
          <m:e>
            <m:r>
              <m:rPr>
                <m:nor/>
                <m:sty m:val="p"/>
              </m:rPr>
              <m:t>mid</m:t>
            </m:r>
          </m:e>
          <m:sub>
            <m:r>
              <m:t>i</m:t>
            </m:r>
            <m:r>
              <m:t>j</m:t>
            </m:r>
          </m:sub>
        </m:sSub>
      </m:oMath>
      <w:r>
        <w:t xml:space="preserve"> </w:t>
      </w:r>
      <w:r>
        <w:t xml:space="preserve">— and, if appropriate, in the linear predictors for</w:t>
      </w:r>
      <w:r>
        <w:t xml:space="preserve"> </w:t>
      </w:r>
      <m:oMath>
        <m:r>
          <m:rPr>
            <m:sty m:val="p"/>
          </m:rPr>
          <m:t>ℓ</m:t>
        </m:r>
      </m:oMath>
      <w:r>
        <w:t xml:space="preserve">,</w:t>
      </w:r>
      <w:r>
        <w:t xml:space="preserve"> </w:t>
      </w:r>
      <m:oMath>
        <m:r>
          <m:t>u</m:t>
        </m:r>
      </m:oMath>
      <w:r>
        <w:t xml:space="preserve">, and</w:t>
      </w:r>
      <w:r>
        <w:t xml:space="preserve"> </w:t>
      </w:r>
      <m:oMath>
        <m:r>
          <m:t>k</m:t>
        </m:r>
      </m:oMath>
      <w:r>
        <w:t xml:space="preserve">, each of which is modelled separately in the joint Bayesian fit (see</w:t>
      </w:r>
      <w:r>
        <w:t xml:space="preserve"> </w:t>
      </w:r>
      <w:hyperlink w:anchor="eq-linpred">
        <w:r>
          <w:rPr>
            <w:rStyle w:val="Hyperlink"/>
          </w:rPr>
          <w:t xml:space="preserve">Equation 8</w:t>
        </w:r>
      </w:hyperlink>
      <w:r>
        <w:t xml:space="preserve"> </w:t>
      </w:r>
      <w:r>
        <w:t xml:space="preserve">below).</w:t>
      </w:r>
    </w:p>
    <w:p>
      <w:pPr>
        <w:pStyle w:val="BodyText"/>
      </w:pPr>
      <w:r>
        <w:t xml:space="preserve">Importantly, 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estimated asymptotes because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does not depend on</w:t>
      </w:r>
      <w:r>
        <w:t xml:space="preserve"> </w:t>
      </w:r>
      <m:oMath>
        <m:r>
          <m:t>T</m:t>
        </m:r>
      </m:oMath>
      <w:r>
        <w:t xml:space="preserve">. Instead, it shifts</w:t>
      </w:r>
      <w:r>
        <w:t xml:space="preserve"> </w:t>
      </w:r>
      <m:oMath>
        <m:sSub>
          <m:e>
            <m:r>
              <m:rPr>
                <m:sty m:val="p"/>
              </m:rPr>
              <m:t>log</m:t>
            </m:r>
          </m:e>
          <m:sub>
            <m:r>
              <m:t>10</m:t>
            </m:r>
          </m:sub>
        </m:sSub>
        <m:r>
          <m:rPr>
            <m:nor/>
            <m:sty m:val="p"/>
          </m:rPr>
          <m:t>LT50</m:t>
        </m:r>
      </m:oMath>
      <w:r>
        <w:t xml:space="preserve"> </w:t>
      </w:r>
      <w:r>
        <w:t xml:space="preserve">vertically without changing the slope. In contrast, threshold summaries are not robust in this way; when partial mortality or sparse data do not estimate the asymptotes to be around 0 and 1, the asymmetry correction must be retained — added to the naive</w:t>
      </w:r>
      <w:r>
        <w:t xml:space="preserve"> </w:t>
      </w:r>
      <m:oMath>
        <m:sSub>
          <m:e>
            <m:r>
              <m:rPr>
                <m:sty m:val="p"/>
              </m:rPr>
              <m:t>log</m:t>
            </m:r>
          </m:e>
          <m:sub>
            <m:r>
              <m:t>10</m:t>
            </m:r>
          </m:sub>
        </m:sSub>
        <m:r>
          <m:rPr>
            <m:nor/>
            <m:sty m:val="p"/>
          </m:rPr>
          <m:t>LT50</m:t>
        </m:r>
      </m:oMath>
      <w:r>
        <w:t xml:space="preserve"> </w:t>
      </w:r>
      <w:r>
        <w:t xml:space="preserve">(</w:t>
      </w:r>
      <w:hyperlink w:anchor="eq-lt50-corrected">
        <w:r>
          <w:rPr>
            <w:rStyle w:val="Hyperlink"/>
          </w:rPr>
          <w:t xml:space="preserve">Equation 5</w:t>
        </w:r>
      </w:hyperlink>
      <w:r>
        <w:t xml:space="preserve">) and subtracted, after division by the slope (to convert the vertical shift in</w:t>
      </w:r>
      <w:r>
        <w:t xml:space="preserve"> </w:t>
      </w:r>
      <m:oMath>
        <m:sSub>
          <m:e>
            <m:r>
              <m:rPr>
                <m:sty m:val="p"/>
              </m:rPr>
              <m:t>log</m:t>
            </m:r>
          </m:e>
          <m:sub>
            <m:r>
              <m:t>10</m:t>
            </m:r>
          </m:sub>
        </m:sSub>
        <m:r>
          <m:rPr>
            <m:nor/>
            <m:sty m:val="p"/>
          </m:rPr>
          <m:t>LT50</m:t>
        </m:r>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6</w:t>
        </w:r>
      </w:hyperlink>
      <w:r>
        <w:t xml:space="preserve">):</w:t>
      </w:r>
    </w:p>
    <w:p>
      <w:pPr>
        <w:pStyle w:val="BodyText"/>
      </w:pPr>
      <w:bookmarkStart w:id="30" w:name="eq-lt50-corrected"/>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lim>
                  <m:r>
                    <m:rPr>
                      <m:sty m:val="p"/>
                    </m:rPr>
                    <m:t>⏟</m:t>
                  </m:r>
                </m:lim>
              </m:limLow>
            </m:e>
            <m:lim>
              <m:r>
                <m:rPr>
                  <m:nor/>
                  <m:sty m:val="p"/>
                </m:rPr>
                <m:t>naive estimate</m:t>
              </m:r>
            </m:lim>
          </m:limLow>
          <m:r>
            <m:t> </m:t>
          </m:r>
          <m:r>
            <m:rPr>
              <m:sty m:val="p"/>
            </m:rPr>
            <m:t>+</m:t>
          </m:r>
          <m:r>
            <m:t> </m:t>
          </m:r>
          <m:limLow>
            <m:e>
              <m:limLow>
                <m:e>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5</m:t>
              </m:r>
            </m:e>
          </m:d>
        </m:oMath>
      </m:oMathPara>
      <w:bookmarkEnd w:id="30"/>
    </w:p>
    <w:p>
      <w:pPr>
        <w:pStyle w:val="FirstParagraph"/>
      </w:pPr>
      <w:bookmarkStart w:id="31"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limLow>
            <m:e>
              <m:limLow>
                <m:e>
                  <m:f>
                    <m:fPr>
                      <m:type m:val="bar"/>
                    </m:fPr>
                    <m:num>
                      <m:sSub>
                        <m:e>
                          <m:r>
                            <m:rPr>
                              <m:sty m:val="p"/>
                            </m:rPr>
                            <m:t>log</m:t>
                          </m:r>
                        </m:e>
                        <m:sub>
                          <m:r>
                            <m:t>10</m:t>
                          </m:r>
                        </m:sub>
                      </m:sSub>
                      <m:sSub>
                        <m:e>
                          <m:r>
                            <m:t>t</m:t>
                          </m:r>
                        </m:e>
                        <m:sub>
                          <m:r>
                            <m:rPr>
                              <m:nor/>
                              <m:sty m:val="p"/>
                            </m:rPr>
                            <m:t>ref</m:t>
                          </m:r>
                        </m:sub>
                      </m:sSub>
                      <m:r>
                        <m:rPr>
                          <m:sty m:val="p"/>
                        </m:rPr>
                        <m:t>−</m:t>
                      </m:r>
                      <m:sSub>
                        <m:e>
                          <m:r>
                            <m:t>β</m:t>
                          </m:r>
                        </m:e>
                        <m:sub>
                          <m:r>
                            <m:t>0</m:t>
                          </m:r>
                        </m:sub>
                      </m:sSub>
                      <m:r>
                        <m:rPr>
                          <m:sty m:val="p"/>
                        </m:rPr>
                        <m:t>+</m:t>
                      </m:r>
                      <m:sSub>
                        <m:e>
                          <m:r>
                            <m:t>β</m:t>
                          </m:r>
                        </m:e>
                        <m:sub>
                          <m:r>
                            <m:t>1</m:t>
                          </m:r>
                        </m:sub>
                      </m:sSub>
                      <m:acc>
                        <m:accPr>
                          <m:chr m:val="‾"/>
                        </m:accPr>
                        <m:e>
                          <m:r>
                            <m:t>T</m:t>
                          </m:r>
                        </m:e>
                      </m:acc>
                    </m:num>
                    <m:den>
                      <m:sSub>
                        <m:e>
                          <m:r>
                            <m:t>β</m:t>
                          </m:r>
                        </m:e>
                        <m:sub>
                          <m:r>
                            <m:t>1</m:t>
                          </m:r>
                        </m:sub>
                      </m:sSub>
                    </m:den>
                  </m:f>
                </m:e>
                <m:lim>
                  <m:r>
                    <m:rPr>
                      <m:sty m:val="p"/>
                    </m:rPr>
                    <m:t>⏟</m:t>
                  </m:r>
                </m:lim>
              </m:limLow>
            </m:e>
            <m:lim>
              <m:r>
                <m:rPr>
                  <m:nor/>
                  <m:sty m:val="p"/>
                </m:rPr>
                <m:t>naive estimate</m:t>
              </m:r>
            </m:lim>
          </m:limLow>
          <m:r>
            <m:t> </m:t>
          </m:r>
          <m:r>
            <m:rPr>
              <m:sty m:val="p"/>
            </m:rPr>
            <m:t>−</m:t>
          </m:r>
          <m:r>
            <m:t> </m:t>
          </m:r>
          <m:limLow>
            <m:e>
              <m:limLow>
                <m:e>
                  <m:f>
                    <m:fPr>
                      <m:type m:val="lin"/>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6</m:t>
              </m:r>
            </m:e>
          </m:d>
        </m:oMath>
      </m:oMathPara>
      <w:bookmarkEnd w:id="31"/>
    </w:p>
    <w:p>
      <w:pPr>
        <w:pStyle w:val="FirstParagraph"/>
      </w:pPr>
      <w:r>
        <w:t xml:space="preserve">In practice, however, these corrections may not often be needed so long as the experimental design includes treatments that span the full mortality range — some producing near-100% survival and others near-0% — which anchors</w:t>
      </w:r>
      <w:r>
        <w:t xml:space="preserve"> </w:t>
      </w:r>
      <m:oMath>
        <m:r>
          <m:rPr>
            <m:sty m:val="p"/>
          </m:rPr>
          <m:t>ℓ</m:t>
        </m:r>
      </m:oMath>
      <w:r>
        <w:t xml:space="preserve"> </w:t>
      </w:r>
      <w:r>
        <w:t xml:space="preserve">and</w:t>
      </w:r>
      <w:r>
        <w:t xml:space="preserve"> </w:t>
      </w:r>
      <m:oMath>
        <m:r>
          <m:t>u</m:t>
        </m:r>
      </m:oMath>
      <w:r>
        <w:t xml:space="preserve"> </w:t>
      </w:r>
      <w:r>
        <w:t xml:space="preserve">tightly near 1 and 0 and makes the correction term effectively zero. When this is the case,</w:t>
      </w:r>
      <w:r>
        <w:t xml:space="preserve"> </w:t>
      </w:r>
      <m:oMath>
        <m:sSub>
          <m:e>
            <m:r>
              <m:rPr>
                <m:sty m:val="p"/>
              </m:rPr>
              <m:t>log</m:t>
            </m:r>
          </m:e>
          <m:sub>
            <m:r>
              <m:t>10</m:t>
            </m:r>
          </m:sub>
        </m:sSub>
        <m:r>
          <m:rPr>
            <m:nor/>
            <m:sty m:val="p"/>
          </m:rPr>
          <m:t>LT50</m:t>
        </m:r>
      </m:oMath>
      <w:r>
        <w:t xml:space="preserve"> </w:t>
      </w:r>
      <w:r>
        <w:t xml:space="preserve">and</w:t>
      </w:r>
      <w:r>
        <w:t xml:space="preserve"> </w:t>
      </w:r>
      <m:oMath>
        <m:r>
          <m:t>C</m:t>
        </m:r>
        <m:sSub>
          <m:e>
            <m:r>
              <m:t>T</m:t>
            </m:r>
          </m:e>
          <m:sub>
            <m:r>
              <m:t>m</m:t>
            </m:r>
            <m:r>
              <m:t>a</m:t>
            </m:r>
            <m:r>
              <m:t>x</m:t>
            </m:r>
          </m:sub>
        </m:sSub>
      </m:oMath>
      <w:r>
        <w:t xml:space="preserve"> </w:t>
      </w:r>
      <w:r>
        <w:t xml:space="preserve">can be read directly from the naive forms in</w:t>
      </w:r>
      <w:r>
        <w:t xml:space="preserve"> </w:t>
      </w:r>
      <w:hyperlink w:anchor="eq-lt50-corrected">
        <w:r>
          <w:rPr>
            <w:rStyle w:val="Hyperlink"/>
          </w:rPr>
          <w:t xml:space="preserve">Equation 5</w:t>
        </w:r>
      </w:hyperlink>
      <w:r>
        <w:t xml:space="preserve"> </w:t>
      </w:r>
      <w:r>
        <w:t xml:space="preserve">and</w:t>
      </w:r>
      <w:r>
        <w:t xml:space="preserve"> </w:t>
      </w:r>
      <w:hyperlink w:anchor="eq-ctmax-corrected">
        <w:r>
          <w:rPr>
            <w:rStyle w:val="Hyperlink"/>
          </w:rPr>
          <w:t xml:space="preserve">Equation 6</w:t>
        </w:r>
      </w:hyperlink>
      <w:r>
        <w:t xml:space="preserve">. Computing both the naive and corrected estimates and comparing them is a useful sensitivity check for whether the correction is needed in any given dataset.</w:t>
      </w:r>
    </w:p>
    <w:bookmarkEnd w:id="32"/>
    <w:bookmarkStart w:id="33" w:name="predicting-heat-injury-under-dynamic"/>
    <w:p>
      <w:pPr>
        <w:pStyle w:val="Heading1"/>
      </w:pPr>
      <w:r>
        <w:t xml:space="preserve">6. Predicting heat injury under dynamic</w:t>
      </w:r>
    </w:p>
    <w:bookmarkEnd w:id="33"/>
    <w:bookmarkStart w:id="36" w:name="X874ed648d04cd4061333629ea007cfb78435af7"/>
    <w:p>
      <w:pPr>
        <w:pStyle w:val="Heading1"/>
      </w:pPr>
      <w:r>
        <w:t xml:space="preserve">7. Application of Bayesian dose-response models to the TLS framework</w:t>
      </w:r>
    </w:p>
    <w:p>
      <w:pPr>
        <w:pStyle w:val="FirstParagraph"/>
      </w:pPr>
      <w:r>
        <w:t xml:space="preserve">We used a four-parameter logistic function to model the impact of temperature and duration (hours/minutes) on survival probability thermal sensitivity, estimate</w:t>
      </w:r>
      <w:r>
        <w:t xml:space="preserve"> </w:t>
      </w:r>
      <m:oMath>
        <m:r>
          <m:t>C</m:t>
        </m:r>
        <m:sSub>
          <m:e>
            <m:r>
              <m:t>T</m:t>
            </m:r>
          </m:e>
          <m:sub>
            <m:r>
              <m:t>m</m:t>
            </m:r>
            <m:r>
              <m:t>a</m:t>
            </m:r>
            <m:r>
              <m:t>x</m:t>
            </m:r>
            <m:r>
              <m:t>1</m:t>
            </m:r>
            <m:r>
              <m:t>h</m:t>
            </m:r>
          </m:sub>
        </m:sSub>
      </m:oMath>
    </w:p>
    <w:p>
      <w:pPr>
        <w:pStyle w:val="BodyText"/>
      </w:pPr>
      <w:r>
        <w:t xml:space="preserve">To break the well-known likelihood ridges among</w:t>
      </w:r>
      <w:r>
        <w:t xml:space="preserve"> </w:t>
      </w:r>
      <m:oMath>
        <m:d>
          <m:dPr>
            <m:begChr m:val="("/>
            <m:sepChr m:val=""/>
            <m:endChr m:val=")"/>
            <m:grow/>
          </m:dPr>
          <m:e>
            <m:r>
              <m:rPr>
                <m:sty m:val="p"/>
              </m:rPr>
              <m:t>ℓ</m:t>
            </m:r>
            <m:r>
              <m:rPr>
                <m:sty m:val="p"/>
              </m:rPr>
              <m:t>,</m:t>
            </m:r>
            <m:r>
              <m:t>u</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4" w:name="eq-reparam"/>
      <m:oMathPara>
        <m:oMathParaPr>
          <m:jc m:val="center"/>
        </m:oMathParaPr>
        <m:oMath>
          <m:r>
            <m:rPr>
              <m:sty m:val="p"/>
            </m:rPr>
            <m:t>ℓ</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sty m:val="p"/>
                    </m:rPr>
                    <m:t>ℓ</m:t>
                  </m:r>
                </m:e>
              </m:acc>
            </m:e>
          </m:d>
          <m:r>
            <m:rPr>
              <m:sty m:val="p"/>
            </m:rPr>
            <m:t>,</m:t>
          </m:r>
          <m:r>
            <m:t>  </m:t>
          </m:r>
          <m:r>
            <m:t>u</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t>u</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7</m:t>
              </m:r>
            </m:e>
          </m:d>
        </m:oMath>
      </m:oMathPara>
      <w:bookmarkEnd w:id="34"/>
    </w:p>
    <w:p>
      <w:pPr>
        <w:pStyle w:val="FirstParagraph"/>
      </w:pPr>
      <w:r>
        <w:t xml:space="preserve">with</w:t>
      </w:r>
      <w:r>
        <w:t xml:space="preserve"> </w:t>
      </w:r>
      <m:oMath>
        <m:acc>
          <m:accPr>
            <m:chr m:val="̃"/>
          </m:accPr>
          <m:e>
            <m:r>
              <m:rPr>
                <m:sty m:val="p"/>
              </m:rPr>
              <m:t>ℓ</m:t>
            </m:r>
          </m:e>
        </m:acc>
        <m:r>
          <m:rPr>
            <m:sty m:val="p"/>
          </m:rPr>
          <m:t>,</m:t>
        </m:r>
        <m:acc>
          <m:accPr>
            <m:chr m:val="̃"/>
          </m:accPr>
          <m:e>
            <m:r>
              <m:t>u</m:t>
            </m:r>
          </m:e>
        </m:acc>
        <m:r>
          <m:rPr>
            <m:sty m:val="p"/>
          </m:rPr>
          <m:t>,</m:t>
        </m:r>
        <m:r>
          <m:t>κ</m:t>
        </m:r>
        <m:r>
          <m:rPr>
            <m:sty m:val="p"/>
          </m:rPr>
          <m:t>∈</m:t>
        </m:r>
        <m:r>
          <m:rPr>
            <m:sty m:val="p"/>
            <m:scr m:val="double-struck"/>
          </m:rPr>
          <m:t>R</m:t>
        </m:r>
      </m:oMath>
      <w:r>
        <w:t xml:space="preserve">. This constrains</w:t>
      </w:r>
      <w:r>
        <w:t xml:space="preserve"> </w:t>
      </w:r>
      <m:oMath>
        <m:r>
          <m:rPr>
            <m:sty m:val="p"/>
          </m:rPr>
          <m:t>ℓ</m:t>
        </m:r>
        <m:r>
          <m:rPr>
            <m:sty m:val="p"/>
          </m:rPr>
          <m:t>∈</m:t>
        </m:r>
        <m:d>
          <m:dPr>
            <m:begChr m:val="["/>
            <m:sepChr m:val=""/>
            <m:endChr m:val="]"/>
            <m:grow/>
          </m:dPr>
          <m:e>
            <m:r>
              <m:t>0</m:t>
            </m:r>
            <m:r>
              <m:rPr>
                <m:sty m:val="p"/>
              </m:rPr>
              <m:t>,</m:t>
            </m:r>
            <m:r>
              <m:t>0.49</m:t>
            </m:r>
          </m:e>
        </m:d>
      </m:oMath>
      <w:r>
        <w:t xml:space="preserve"> </w:t>
      </w:r>
      <w:r>
        <w:t xml:space="preserve">and</w:t>
      </w:r>
      <w:r>
        <w:t xml:space="preserve"> </w:t>
      </w:r>
      <m:oMath>
        <m:r>
          <m:t>u</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t>u</m:t>
        </m:r>
        <m:r>
          <m:rPr>
            <m:sty m:val="p"/>
          </m:rPr>
          <m:t>&gt;</m:t>
        </m:r>
        <m:r>
          <m:rPr>
            <m:sty m:val="p"/>
          </m:rPr>
          <m:t>ℓ</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The inflection point</w:t>
      </w:r>
      <w:r>
        <w:t xml:space="preserve"> </w:t>
      </w:r>
      <m:oMath>
        <m:sSub>
          <m:e>
            <m:r>
              <m:t>m</m:t>
            </m:r>
          </m:e>
          <m:sub>
            <m:r>
              <m:t>i</m:t>
            </m:r>
            <m:r>
              <m:t>j</m:t>
            </m:r>
          </m:sub>
        </m:sSub>
      </m:oMath>
      <w:r>
        <w:t xml:space="preserve"> </w:t>
      </w:r>
      <w:r>
        <w:t xml:space="preserve">is modelled as a linear function of (mean-centred) assay temperature, with additional fixed covariates and nested random effects:</w:t>
      </w:r>
    </w:p>
    <w:p>
      <w:pPr>
        <w:pStyle w:val="BodyText"/>
      </w:pPr>
      <w:bookmarkStart w:id="35" w:name="eq-linpred"/>
      <m:oMathPara>
        <m:oMathParaPr>
          <m:jc m:val="center"/>
        </m:oMathParaPr>
        <m:oMath>
          <m:sSub>
            <m:e>
              <m:r>
                <m:t>m</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8</m:t>
              </m:r>
            </m:e>
          </m:d>
        </m:oMath>
      </m:oMathPara>
      <w:bookmarkEnd w:id="35"/>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8</w:t>
        </w:r>
      </w:hyperlink>
      <w:r>
        <w:t xml:space="preserve"> </w:t>
      </w:r>
      <w:r>
        <w:t xml:space="preserve">define the hierarchical Bayesian 4PL fit directly to the raw binomial counts. Every classical TDT quantity — slope,</w:t>
      </w:r>
      <w:r>
        <w:t xml:space="preserve"> </w:t>
      </w:r>
      <m:oMath>
        <m:r>
          <m:t>z</m:t>
        </m:r>
      </m:oMath>
      <w:r>
        <w:t xml:space="preserve">, CTmax at any reference time, and the heat-injury integral — is recovered as a one-line posterior summary of this single joint fit, as derived in §</w:t>
      </w:r>
      <w:hyperlink w:anchor="equivalence-with-the-classical-pipeline">
        <w:r>
          <w:rPr>
            <w:rStyle w:val="Hyperlink"/>
          </w:rPr>
          <w:t xml:space="preserve">Equivalence with the classical pipeline</w:t>
        </w:r>
      </w:hyperlink>
      <w:r>
        <w:t xml:space="preserve">.</w:t>
      </w:r>
    </w:p>
    <w:bookmarkEnd w:id="36"/>
    <w:bookmarkStart w:id="40" w:name="Xec90b6140c5c716811717eebe02c3ac6d8434ca"/>
    <w:p>
      <w:pPr>
        <w:pStyle w:val="Heading1"/>
      </w:pPr>
      <w:r>
        <w:t xml:space="preserve">8. Case Study 1: Thermal sensitivity estimation across life stages in shrimp</w:t>
      </w:r>
    </w:p>
    <w:bookmarkStart w:id="37" w:name="priors"/>
    <w:p>
      <w:pPr>
        <w:pStyle w:val="Heading2"/>
      </w:pPr>
      <w:r>
        <w:t xml:space="preserve">8.1 Priors</w:t>
      </w:r>
    </w:p>
    <w:bookmarkEnd w:id="37"/>
    <w:bookmarkStart w:id="38" w:name="random-effects-structure"/>
    <w:p>
      <w:pPr>
        <w:pStyle w:val="Heading2"/>
      </w:pPr>
      <w:r>
        <w:t xml:space="preserve">8.2 Random-effects structure</w:t>
      </w:r>
    </w:p>
    <w:bookmarkEnd w:id="38"/>
    <w:bookmarkStart w:id="39" w:name="X7839395c41f468ab598ec75c59409da598c1b4c"/>
    <w:p>
      <w:pPr>
        <w:pStyle w:val="Heading2"/>
      </w:pPr>
      <w:r>
        <w:t xml:space="preserve">8.3 Censoring, boundary observations, and overdispersion</w:t>
      </w:r>
    </w:p>
    <w:bookmarkEnd w:id="39"/>
    <w:bookmarkEnd w:id="40"/>
    <w:bookmarkStart w:id="44" w:name="equivalence-with-the-classical-pipeline"/>
    <w:p>
      <w:pPr>
        <w:pStyle w:val="Heading1"/>
      </w:pPr>
      <w:r>
        <w:t xml:space="preserve">9. Equivalence with the classical pipeline</w:t>
      </w:r>
    </w:p>
    <w:bookmarkStart w:id="41" w:name="X43ae953c0209c15e66f3a02d5fd4343f128bc42"/>
    <w:p>
      <w:pPr>
        <w:pStyle w:val="Heading2"/>
      </w:pPr>
      <w:r>
        <w:t xml:space="preserve">9.1 Closed-form mapping from 4PL parameters to z and CTmax</w:t>
      </w:r>
    </w:p>
    <w:bookmarkEnd w:id="41"/>
    <w:bookmarkStart w:id="42" w:name="X0147c344e2b16a1aac605c4fe4f2946da80fb47"/>
    <w:p>
      <w:pPr>
        <w:pStyle w:val="Heading2"/>
      </w:pPr>
      <w:r>
        <w:t xml:space="preserve">9.2 Heat-injury integral as a posterior quantity</w:t>
      </w:r>
    </w:p>
    <w:bookmarkEnd w:id="42"/>
    <w:bookmarkStart w:id="43" w:name="X83c280133a78de915d3b14a666f30d6a82dc387"/>
    <w:p>
      <w:pPr>
        <w:pStyle w:val="Heading2"/>
      </w:pPr>
      <w:r>
        <w:t xml:space="preserve">9.3 What the 4PL delivers that the two-step cannot</w:t>
      </w:r>
    </w:p>
    <w:bookmarkEnd w:id="43"/>
    <w:bookmarkEnd w:id="44"/>
    <w:bookmarkStart w:id="51" w:name="X2a14174f4c72db593bce4e6516c6528cdb497de"/>
    <w:p>
      <w:pPr>
        <w:pStyle w:val="Heading1"/>
      </w:pPr>
      <w:r>
        <w:t xml:space="preserve">10. Worked example: brown shrimp thermal tolerance</w:t>
      </w:r>
    </w:p>
    <w:bookmarkStart w:id="45" w:name="data-and-experimental-design"/>
    <w:p>
      <w:pPr>
        <w:pStyle w:val="Heading2"/>
      </w:pPr>
      <w:r>
        <w:t xml:space="preserve">10.1 Data and experimental design</w:t>
      </w:r>
    </w:p>
    <w:bookmarkEnd w:id="45"/>
    <w:bookmarkStart w:id="46" w:name="lethal-tdt-hierarchical-4pl-on-counts"/>
    <w:p>
      <w:pPr>
        <w:pStyle w:val="Heading2"/>
      </w:pPr>
      <w:r>
        <w:t xml:space="preserve">10.2 Lethal TDT — hierarchical 4PL on counts</w:t>
      </w:r>
    </w:p>
    <w:bookmarkEnd w:id="46"/>
    <w:bookmarkStart w:id="47" w:name="sublethal-time-to-death"/>
    <w:p>
      <w:pPr>
        <w:pStyle w:val="Heading2"/>
      </w:pPr>
      <w:r>
        <w:t xml:space="preserve">10.3 Sublethal time-to-death</w:t>
      </w:r>
    </w:p>
    <w:bookmarkEnd w:id="47"/>
    <w:bookmarkStart w:id="48" w:name="dynamic-ctmax-across-ramping-rates"/>
    <w:p>
      <w:pPr>
        <w:pStyle w:val="Heading2"/>
      </w:pPr>
      <w:r>
        <w:t xml:space="preserve">10.4 Dynamic CTmax across ramping rates</w:t>
      </w:r>
    </w:p>
    <w:bookmarkEnd w:id="48"/>
    <w:bookmarkStart w:id="49" w:name="Xa764bbb0ef06e1b16f1b866442815364d0000f8"/>
    <w:p>
      <w:pPr>
        <w:pStyle w:val="Heading2"/>
      </w:pPr>
      <w:r>
        <w:t xml:space="preserve">10.5 Reconciling the three endpoints via the Jørgensen ramping equation</w:t>
      </w:r>
    </w:p>
    <w:bookmarkEnd w:id="49"/>
    <w:bookmarkStart w:id="50" w:name="Xc9d8a39a8777a97080af0145482f0bf85ce7458"/>
    <w:p>
      <w:pPr>
        <w:pStyle w:val="Heading2"/>
      </w:pPr>
      <w:r>
        <w:t xml:space="preserve">10.6 Field-temperature heat-injury projections under warming scenarios</w:t>
      </w:r>
    </w:p>
    <w:bookmarkEnd w:id="50"/>
    <w:bookmarkEnd w:id="51"/>
    <w:bookmarkStart w:id="55" w:name="discussion"/>
    <w:p>
      <w:pPr>
        <w:pStyle w:val="Heading1"/>
      </w:pPr>
      <w:r>
        <w:t xml:space="preserve">11. Discussion</w:t>
      </w:r>
    </w:p>
    <w:bookmarkStart w:id="52" w:name="X5dac85fa1a4411486a220dbeaf8627ab0091f32"/>
    <w:p>
      <w:pPr>
        <w:pStyle w:val="Heading2"/>
      </w:pPr>
      <w:r>
        <w:t xml:space="preserve">11.1 What changes for the field if the hierarchical 4PL becomes the default</w:t>
      </w:r>
    </w:p>
    <w:bookmarkEnd w:id="52"/>
    <w:bookmarkStart w:id="53" w:name="limits-of-the-present-analysis"/>
    <w:p>
      <w:pPr>
        <w:pStyle w:val="Heading2"/>
      </w:pPr>
      <w:r>
        <w:t xml:space="preserve">11.2 Limits of the present analysis</w:t>
      </w:r>
    </w:p>
    <w:bookmarkEnd w:id="53"/>
    <w:bookmarkStart w:id="54" w:name="Xf0d52b04feeaedf0b5abcee2b4d231c85971023"/>
    <w:p>
      <w:pPr>
        <w:pStyle w:val="Heading2"/>
      </w:pPr>
      <w:r>
        <w:t xml:space="preserve">11.3 Recommendations for primary studies and meta-analyses</w:t>
      </w:r>
    </w:p>
    <w:bookmarkEnd w:id="54"/>
    <w:bookmarkEnd w:id="55"/>
    <w:bookmarkStart w:id="56" w:name="conclusions"/>
    <w:p>
      <w:pPr>
        <w:pStyle w:val="Heading1"/>
      </w:pPr>
      <w:r>
        <w:t xml:space="preserve">12. Conclusions</w:t>
      </w:r>
    </w:p>
    <w:bookmarkEnd w:id="56"/>
    <w:bookmarkStart w:id="57" w:name="acknowledgements"/>
    <w:p>
      <w:pPr>
        <w:pStyle w:val="Heading1"/>
      </w:pPr>
      <w:r>
        <w:t xml:space="preserve">13. Acknowledgements</w:t>
      </w:r>
    </w:p>
    <w:bookmarkEnd w:id="57"/>
    <w:bookmarkStart w:id="58" w:name="author-contributions"/>
    <w:p>
      <w:pPr>
        <w:pStyle w:val="Heading1"/>
      </w:pPr>
      <w:r>
        <w:t xml:space="preserve">Author contributions</w:t>
      </w:r>
    </w:p>
    <w:p>
      <w:pPr>
        <w:pStyle w:val="FirstParagraph"/>
      </w:pPr>
      <w:r>
        <w:t xml:space="preserve">DN conceived the project, performed the analyses, and wrote the manuscript.</w:t>
      </w:r>
    </w:p>
    <w:bookmarkEnd w:id="58"/>
    <w:bookmarkStart w:id="62" w:name="data-and-code-availability"/>
    <w:p>
      <w:pPr>
        <w:pStyle w:val="Heading1"/>
      </w:pPr>
      <w:r>
        <w:t xml:space="preserve">Data and code availability</w:t>
      </w:r>
    </w:p>
    <w:p>
      <w:pPr>
        <w:pStyle w:val="FirstParagraph"/>
      </w:pPr>
      <w:r>
        <w:t xml:space="preserve">All data, analysis scripts, and the rendered manuscript are available at</w:t>
      </w:r>
      <w:r>
        <w:t xml:space="preserve"> </w:t>
      </w:r>
      <w:hyperlink r:id="rId59">
        <w:r>
          <w:rPr>
            <w:rStyle w:val="Hyperlink"/>
          </w:rPr>
          <w:t xml:space="preserve">https://github.com/...</w:t>
        </w:r>
      </w:hyperlink>
      <w:r>
        <w:t xml:space="preserve">. The hierarchical 4PL is implemented in</w:t>
      </w:r>
      <w:r>
        <w:t xml:space="preserve"> </w:t>
      </w:r>
      <w:hyperlink r:id="rId60">
        <w:r>
          <w:rPr>
            <w:rStyle w:val="VerbatimChar"/>
          </w:rPr>
          <w:t xml:space="preserve">brms</w:t>
        </w:r>
      </w:hyperlink>
      <w:r>
        <w:t xml:space="preserve"> </w:t>
      </w:r>
      <w:r>
        <w:t xml:space="preserve">(</w:t>
      </w:r>
      <w:hyperlink w:anchor="ref-burkner_brms_2017">
        <w:r>
          <w:rPr>
            <w:rStyle w:val="Hyperlink"/>
          </w:rPr>
          <w:t xml:space="preserve">Bürkner 2017</w:t>
        </w:r>
      </w:hyperlink>
      <w:r>
        <w:t xml:space="preserve">)</w:t>
      </w:r>
      <w:r>
        <w:t xml:space="preserve"> </w:t>
      </w:r>
      <w:r>
        <w:t xml:space="preserve">using</w:t>
      </w:r>
      <w:r>
        <w:t xml:space="preserve"> </w:t>
      </w:r>
      <w:hyperlink r:id="rId61">
        <w:r>
          <w:rPr>
            <w:rStyle w:val="VerbatimChar"/>
          </w:rPr>
          <w:t xml:space="preserve">cmdstanr</w:t>
        </w:r>
      </w:hyperlink>
      <w:r>
        <w:t xml:space="preserve"> </w:t>
      </w:r>
      <w:r>
        <w:t xml:space="preserve">as the Stan backend.</w:t>
      </w:r>
    </w:p>
    <w:bookmarkEnd w:id="62"/>
    <w:bookmarkStart w:id="63" w:name="conflict-of-interest"/>
    <w:p>
      <w:pPr>
        <w:pStyle w:val="Heading1"/>
      </w:pPr>
      <w:r>
        <w:t xml:space="preserve">Conflict of interest</w:t>
      </w:r>
    </w:p>
    <w:p>
      <w:pPr>
        <w:pStyle w:val="FirstParagraph"/>
      </w:pPr>
      <w:r>
        <w:t xml:space="preserve">The authors declare no competing interests.</w:t>
      </w:r>
    </w:p>
    <w:bookmarkEnd w:id="63"/>
    <w:bookmarkStart w:id="131" w:name="references"/>
    <w:p>
      <w:pPr>
        <w:pStyle w:val="Heading1"/>
      </w:pPr>
      <w:r>
        <w:t xml:space="preserve">References</w:t>
      </w:r>
    </w:p>
    <w:bookmarkStart w:id="130" w:name="refs"/>
    <w:bookmarkStart w:id="65"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64">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5"/>
    <w:bookmarkStart w:id="67" w:name="ref-bolker_ecologicalmodels_2008"/>
    <w:p>
      <w:pPr>
        <w:pStyle w:val="Bibliography"/>
      </w:pPr>
      <w:r>
        <w:t xml:space="preserve">Bolker, B.M. (2008).</w:t>
      </w:r>
      <w:r>
        <w:t xml:space="preserve"> </w:t>
      </w:r>
      <w:hyperlink r:id="rId66">
        <w:r>
          <w:rPr>
            <w:rStyle w:val="Hyperlink"/>
            <w:i/>
            <w:iCs/>
          </w:rPr>
          <w:t xml:space="preserve">Ecological models and data in</w:t>
        </w:r>
        <w:r>
          <w:rPr>
            <w:rStyle w:val="Hyperlink"/>
            <w:i/>
            <w:iCs/>
          </w:rPr>
          <w:t xml:space="preserve"> </w:t>
        </w:r>
        <w:r>
          <w:rPr>
            <w:rStyle w:val="Hyperlink"/>
            <w:i/>
            <w:iCs/>
          </w:rPr>
          <w:t xml:space="preserve">R</w:t>
        </w:r>
      </w:hyperlink>
      <w:r>
        <w:t xml:space="preserve">. Princeton University Press, Princeton, NJ.</w:t>
      </w:r>
    </w:p>
    <w:bookmarkEnd w:id="67"/>
    <w:bookmarkStart w:id="69" w:name="ref-buckley_damage_2025"/>
    <w:p>
      <w:pPr>
        <w:pStyle w:val="Bibliography"/>
      </w:pPr>
      <w:r>
        <w:t xml:space="preserve">Buckley, L.B., Huey, R.B. &amp; Ma, C.-S. (2025).</w:t>
      </w:r>
      <w:r>
        <w:t xml:space="preserve"> </w:t>
      </w:r>
      <w:hyperlink r:id="rId68">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69"/>
    <w:bookmarkStart w:id="71" w:name="ref-burke_ipd_2017"/>
    <w:p>
      <w:pPr>
        <w:pStyle w:val="Bibliography"/>
      </w:pPr>
      <w:r>
        <w:t xml:space="preserve">Burke, D.L., Ensor, J. &amp; Riley, R.D. (2017).</w:t>
      </w:r>
      <w:r>
        <w:t xml:space="preserve"> </w:t>
      </w:r>
      <w:hyperlink r:id="rId70">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71"/>
    <w:bookmarkStart w:id="73" w:name="ref-burkner_brms_2017"/>
    <w:p>
      <w:pPr>
        <w:pStyle w:val="Bibliography"/>
      </w:pPr>
      <w:r>
        <w:t xml:space="preserve">Bürkner, P.-C. (2017).</w:t>
      </w:r>
      <w:r>
        <w:t xml:space="preserve"> </w:t>
      </w:r>
      <w:hyperlink r:id="rId72">
        <w:r>
          <w:rPr>
            <w:rStyle w:val="Hyperlink"/>
          </w:rPr>
          <w:t xml:space="preserve">brms</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w:t>
        </w:r>
        <w:r>
          <w:rPr>
            <w:rStyle w:val="Hyperlink"/>
          </w:rPr>
          <w:t xml:space="preserve"> </w:t>
        </w:r>
        <w:r>
          <w:rPr>
            <w:rStyle w:val="Hyperlink"/>
          </w:rPr>
          <w:t xml:space="preserve">B</w:t>
        </w:r>
        <w:r>
          <w:rPr>
            <w:rStyle w:val="Hyperlink"/>
          </w:rPr>
          <w:t xml:space="preserve">ayesian multilevel models using</w:t>
        </w:r>
        <w:r>
          <w:rPr>
            <w:rStyle w:val="Hyperlink"/>
          </w:rPr>
          <w:t xml:space="preserve"> </w:t>
        </w:r>
        <w:r>
          <w:rPr>
            <w:rStyle w:val="Hyperlink"/>
          </w:rPr>
          <w:t xml:space="preserve">S</w:t>
        </w:r>
        <w:r>
          <w:rPr>
            <w:rStyle w:val="Hyperlink"/>
          </w:rPr>
          <w:t xml:space="preserve">tan</w:t>
        </w:r>
      </w:hyperlink>
      <w:r>
        <w:t xml:space="preserve">.</w:t>
      </w:r>
      <w:r>
        <w:t xml:space="preserve"> </w:t>
      </w:r>
      <w:r>
        <w:rPr>
          <w:i/>
          <w:iCs/>
        </w:rPr>
        <w:t xml:space="preserve">Journal of Statistical Software</w:t>
      </w:r>
      <w:r>
        <w:t xml:space="preserve">, 80, 1–28.</w:t>
      </w:r>
    </w:p>
    <w:bookmarkEnd w:id="73"/>
    <w:bookmarkStart w:id="75" w:name="ref-carroll_measurement_2006"/>
    <w:p>
      <w:pPr>
        <w:pStyle w:val="Bibliography"/>
      </w:pPr>
      <w:r>
        <w:t xml:space="preserve">Carroll, R.J., Ruppert, D., Stefanski, L.A. &amp; Crainiceanu, C.M. (2006).</w:t>
      </w:r>
      <w:r>
        <w:t xml:space="preserve"> </w:t>
      </w:r>
      <w:hyperlink r:id="rId74">
        <w:r>
          <w:rPr>
            <w:rStyle w:val="Hyperlink"/>
            <w:i/>
            <w:iCs/>
          </w:rPr>
          <w:t xml:space="preserve">Measurement error in nonlinear models: A modern perspective</w:t>
        </w:r>
      </w:hyperlink>
      <w:r>
        <w:t xml:space="preserve">. 2nd edn. Chapman; Hall/CRC.</w:t>
      </w:r>
    </w:p>
    <w:bookmarkEnd w:id="75"/>
    <w:bookmarkStart w:id="77"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6">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7"/>
    <w:bookmarkStart w:id="79" w:name="ref-gelman_priors_2006"/>
    <w:p>
      <w:pPr>
        <w:pStyle w:val="Bibliography"/>
      </w:pPr>
      <w:r>
        <w:t xml:space="preserve">Gelman, A. (2006).</w:t>
      </w:r>
      <w:r>
        <w:t xml:space="preserve"> </w:t>
      </w:r>
      <w:hyperlink r:id="rId78">
        <w:r>
          <w:rPr>
            <w:rStyle w:val="Hyperlink"/>
          </w:rPr>
          <w:t xml:space="preserve">Prior distributions for variance parameters in hierarchical models (comment on article by</w:t>
        </w:r>
        <w:r>
          <w:rPr>
            <w:rStyle w:val="Hyperlink"/>
          </w:rPr>
          <w:t xml:space="preserve"> </w:t>
        </w:r>
        <w:r>
          <w:rPr>
            <w:rStyle w:val="Hyperlink"/>
          </w:rPr>
          <w:t xml:space="preserve">B</w:t>
        </w:r>
        <w:r>
          <w:rPr>
            <w:rStyle w:val="Hyperlink"/>
          </w:rPr>
          <w:t xml:space="preserve">rowne and</w:t>
        </w:r>
        <w:r>
          <w:rPr>
            <w:rStyle w:val="Hyperlink"/>
          </w:rPr>
          <w:t xml:space="preserve"> </w:t>
        </w:r>
        <w:r>
          <w:rPr>
            <w:rStyle w:val="Hyperlink"/>
          </w:rPr>
          <w:t xml:space="preserve">D</w:t>
        </w:r>
        <w:r>
          <w:rPr>
            <w:rStyle w:val="Hyperlink"/>
          </w:rPr>
          <w:t xml:space="preserve">raper)</w:t>
        </w:r>
      </w:hyperlink>
      <w:r>
        <w:t xml:space="preserve">.</w:t>
      </w:r>
      <w:r>
        <w:t xml:space="preserve"> </w:t>
      </w:r>
      <w:r>
        <w:rPr>
          <w:i/>
          <w:iCs/>
        </w:rPr>
        <w:t xml:space="preserve">Bayesian Analysis</w:t>
      </w:r>
      <w:r>
        <w:t xml:space="preserve">, 1, 515–534.</w:t>
      </w:r>
    </w:p>
    <w:bookmarkEnd w:id="79"/>
    <w:bookmarkStart w:id="81" w:name="ref-harrison_olre_2014"/>
    <w:p>
      <w:pPr>
        <w:pStyle w:val="Bibliography"/>
      </w:pPr>
      <w:r>
        <w:t xml:space="preserve">Harrison, X.A. (2014).</w:t>
      </w:r>
      <w:r>
        <w:t xml:space="preserve"> </w:t>
      </w:r>
      <w:hyperlink r:id="rId80">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81"/>
    <w:bookmarkStart w:id="83"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82">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83"/>
    <w:bookmarkStart w:id="85" w:name="ref-jorgensen_drosophila_2019"/>
    <w:p>
      <w:pPr>
        <w:pStyle w:val="Bibliography"/>
      </w:pPr>
      <w:r>
        <w:t xml:space="preserve">Jørgensen, L.B., Malte, H. &amp; Overgaard, J. (2019).</w:t>
      </w:r>
      <w:r>
        <w:t xml:space="preserve"> </w:t>
      </w:r>
      <w:hyperlink r:id="rId84">
        <w:r>
          <w:rPr>
            <w:rStyle w:val="Hyperlink"/>
          </w:rPr>
          <w:t xml:space="preserve">How to assess</w:t>
        </w:r>
        <w:r>
          <w:rPr>
            <w:rStyle w:val="Hyperlink"/>
          </w:rPr>
          <w:t xml:space="preserve"> </w:t>
        </w:r>
        <w:r>
          <w:rPr>
            <w:rStyle w:val="Hyperlink"/>
          </w:rPr>
          <w:t xml:space="preserve">D</w:t>
        </w:r>
        <w:r>
          <w:rPr>
            <w:rStyle w:val="Hyperlink"/>
          </w:rPr>
          <w:t xml:space="preserve">rosophila 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85"/>
    <w:bookmarkStart w:id="87" w:name="ref-jorgensen_unifying_2021"/>
    <w:p>
      <w:pPr>
        <w:pStyle w:val="Bibliography"/>
      </w:pPr>
      <w:r>
        <w:t xml:space="preserve">Jørgensen, L.B., Malte, H. &amp; Overgaard, J. (2021).</w:t>
      </w:r>
      <w:r>
        <w:t xml:space="preserve"> </w:t>
      </w:r>
      <w:hyperlink r:id="rId86">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87"/>
    <w:bookmarkStart w:id="89" w:name="ref-jorgensen_nature_2022"/>
    <w:p>
      <w:pPr>
        <w:pStyle w:val="Bibliography"/>
      </w:pPr>
      <w:r>
        <w:t xml:space="preserve">Jørgensen, L.B., Ørsted, M., Malte, H., Wang, T. &amp; Overgaard, J. (2022).</w:t>
      </w:r>
      <w:r>
        <w:t xml:space="preserve"> </w:t>
      </w:r>
      <w:hyperlink r:id="rId88">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89"/>
    <w:bookmarkStart w:id="91" w:name="ref-kingsolver_umbanhowar_2018"/>
    <w:p>
      <w:pPr>
        <w:pStyle w:val="Bibliography"/>
      </w:pPr>
      <w:r>
        <w:t xml:space="preserve">Kingsolver, J.G. &amp; Umbanhowar, J. (2018).</w:t>
      </w:r>
      <w:r>
        <w:t xml:space="preserve"> </w:t>
      </w:r>
      <w:hyperlink r:id="rId90">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91"/>
    <w:bookmarkStart w:id="93" w:name="ref-nakagawa_santos_2012"/>
    <w:p>
      <w:pPr>
        <w:pStyle w:val="Bibliography"/>
      </w:pPr>
      <w:r>
        <w:t xml:space="preserve">Nakagawa, S. &amp; Santos, E.S.A. (2012).</w:t>
      </w:r>
      <w:r>
        <w:t xml:space="preserve"> </w:t>
      </w:r>
      <w:hyperlink r:id="rId92">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93"/>
    <w:bookmarkStart w:id="95" w:name="ref-nielsen_nlmm_2004"/>
    <w:p>
      <w:pPr>
        <w:pStyle w:val="Bibliography"/>
      </w:pPr>
      <w:r>
        <w:t xml:space="preserve">Nielsen, O.K., Ritz, C. &amp; Streibig, J.C. (2004).</w:t>
      </w:r>
      <w:r>
        <w:t xml:space="preserve"> </w:t>
      </w:r>
      <w:hyperlink r:id="rId94">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95"/>
    <w:bookmarkStart w:id="97" w:name="ref-orsted_finding_2022"/>
    <w:p>
      <w:pPr>
        <w:pStyle w:val="Bibliography"/>
      </w:pPr>
      <w:r>
        <w:t xml:space="preserve">Ørsted, M., Jørgensen, L.B. &amp; Overgaard, J. (2022).</w:t>
      </w:r>
      <w:r>
        <w:t xml:space="preserve"> </w:t>
      </w:r>
      <w:hyperlink r:id="rId96">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w:t>
        </w:r>
        <w:r>
          <w:rPr>
            <w:rStyle w:val="Hyperlink"/>
          </w:rPr>
          <w:t xml:space="preserve">max in ectotherms</w:t>
        </w:r>
      </w:hyperlink>
      <w:r>
        <w:t xml:space="preserve">.</w:t>
      </w:r>
      <w:r>
        <w:t xml:space="preserve"> </w:t>
      </w:r>
      <w:r>
        <w:rPr>
          <w:i/>
          <w:iCs/>
        </w:rPr>
        <w:t xml:space="preserve">Journal of Experimental Biology</w:t>
      </w:r>
      <w:r>
        <w:t xml:space="preserve">, 225, jeb244514.</w:t>
      </w:r>
    </w:p>
    <w:bookmarkEnd w:id="97"/>
    <w:bookmarkStart w:id="99" w:name="ref-orsted_suzukii_2024"/>
    <w:p>
      <w:pPr>
        <w:pStyle w:val="Bibliography"/>
      </w:pPr>
      <w:r>
        <w:t xml:space="preserve">Ørsted, M., Willot, Q., Olsen, A.K., Kongsgaard, V. &amp; Overgaard, J. (2024).</w:t>
      </w:r>
      <w:r>
        <w:t xml:space="preserve"> </w:t>
      </w:r>
      <w:hyperlink r:id="rId98">
        <w:r>
          <w:rPr>
            <w:rStyle w:val="Hyperlink"/>
          </w:rPr>
          <w:t xml:space="preserve">Thermal limits of survival and reproduction depend on stress duration: A case study of</w:t>
        </w:r>
        <w:r>
          <w:rPr>
            <w:rStyle w:val="Hyperlink"/>
          </w:rPr>
          <w:t xml:space="preserve"> </w:t>
        </w:r>
        <w:r>
          <w:rPr>
            <w:rStyle w:val="Hyperlink"/>
          </w:rPr>
          <w:t xml:space="preserve">D</w:t>
        </w:r>
        <w:r>
          <w:rPr>
            <w:rStyle w:val="Hyperlink"/>
          </w:rPr>
          <w:t xml:space="preserve">rosophila suzukii</w:t>
        </w:r>
      </w:hyperlink>
      <w:r>
        <w:t xml:space="preserve">.</w:t>
      </w:r>
      <w:r>
        <w:t xml:space="preserve"> </w:t>
      </w:r>
      <w:r>
        <w:rPr>
          <w:i/>
          <w:iCs/>
        </w:rPr>
        <w:t xml:space="preserve">Ecology Letters</w:t>
      </w:r>
      <w:r>
        <w:t xml:space="preserve">, 27, e14421.</w:t>
      </w:r>
    </w:p>
    <w:bookmarkEnd w:id="99"/>
    <w:bookmarkStart w:id="101" w:name="ref-pinsky_marine_2019"/>
    <w:p>
      <w:pPr>
        <w:pStyle w:val="Bibliography"/>
      </w:pPr>
      <w:r>
        <w:t xml:space="preserve">Pinsky, M.L., Eikeset, A.M., McCauley, D.J., Payne, J.L. &amp; Sunday, J.M. (2019).</w:t>
      </w:r>
      <w:r>
        <w:t xml:space="preserve"> </w:t>
      </w:r>
      <w:hyperlink r:id="rId100">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101"/>
    <w:bookmarkStart w:id="103"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02">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03"/>
    <w:bookmarkStart w:id="105" w:name="ref-rezende_drosophila_mortality_2020"/>
    <w:p>
      <w:pPr>
        <w:pStyle w:val="Bibliography"/>
      </w:pPr>
      <w:r>
        <w:t xml:space="preserve">Rezende, E.L., Bozinovic, F., Szilágyi, A. &amp; Santos, M. (2020).</w:t>
      </w:r>
      <w:r>
        <w:t xml:space="preserve"> </w:t>
      </w:r>
      <w:hyperlink r:id="rId104">
        <w:r>
          <w:rPr>
            <w:rStyle w:val="Hyperlink"/>
          </w:rPr>
          <w:t xml:space="preserve">Predicting temperature mortality and selection in natural</w:t>
        </w:r>
        <w:r>
          <w:rPr>
            <w:rStyle w:val="Hyperlink"/>
          </w:rPr>
          <w:t xml:space="preserve"> </w:t>
        </w:r>
        <w:r>
          <w:rPr>
            <w:rStyle w:val="Hyperlink"/>
          </w:rPr>
          <w:t xml:space="preserve">D</w:t>
        </w:r>
        <w:r>
          <w:rPr>
            <w:rStyle w:val="Hyperlink"/>
          </w:rPr>
          <w:t xml:space="preserve">rosophila populations</w:t>
        </w:r>
      </w:hyperlink>
      <w:r>
        <w:t xml:space="preserve">.</w:t>
      </w:r>
      <w:r>
        <w:t xml:space="preserve"> </w:t>
      </w:r>
      <w:r>
        <w:rPr>
          <w:i/>
          <w:iCs/>
        </w:rPr>
        <w:t xml:space="preserve">Science</w:t>
      </w:r>
      <w:r>
        <w:t xml:space="preserve">, 369, 1242–1245.</w:t>
      </w:r>
    </w:p>
    <w:bookmarkEnd w:id="105"/>
    <w:bookmarkStart w:id="107" w:name="ref-rezende_landscapes_2014"/>
    <w:p>
      <w:pPr>
        <w:pStyle w:val="Bibliography"/>
      </w:pPr>
      <w:r>
        <w:t xml:space="preserve">Rezende, E.L., Castañeda, L.E. &amp; Santos, M. (2014).</w:t>
      </w:r>
      <w:r>
        <w:t xml:space="preserve"> </w:t>
      </w:r>
      <w:hyperlink r:id="rId106">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7"/>
    <w:bookmarkStart w:id="109" w:name="ref-ritz_ecotox_2010"/>
    <w:p>
      <w:pPr>
        <w:pStyle w:val="Bibliography"/>
      </w:pPr>
      <w:r>
        <w:t xml:space="preserve">Ritz, C. (2010).</w:t>
      </w:r>
      <w:r>
        <w:t xml:space="preserve"> </w:t>
      </w:r>
      <w:hyperlink r:id="rId108">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09"/>
    <w:bookmarkStart w:id="111" w:name="ref-ritz_drc_2015"/>
    <w:p>
      <w:pPr>
        <w:pStyle w:val="Bibliography"/>
      </w:pPr>
      <w:r>
        <w:t xml:space="preserve">Ritz, C., Baty, F., Streibig, J.C. &amp; Gerhard, D. (2015).</w:t>
      </w:r>
      <w:r>
        <w:t xml:space="preserve"> </w:t>
      </w:r>
      <w:hyperlink r:id="rId110">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11"/>
    <w:bookmarkStart w:id="113" w:name="ref-ritz_streibig_2008"/>
    <w:p>
      <w:pPr>
        <w:pStyle w:val="Bibliography"/>
      </w:pPr>
      <w:r>
        <w:t xml:space="preserve">Ritz, C. &amp; Streibig, J.C. (2008).</w:t>
      </w:r>
      <w:r>
        <w:t xml:space="preserve"> </w:t>
      </w:r>
      <w:hyperlink r:id="rId112">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13"/>
    <w:bookmarkStart w:id="115" w:name="ref-rudemo_random_1989"/>
    <w:p>
      <w:pPr>
        <w:pStyle w:val="Bibliography"/>
      </w:pPr>
      <w:r>
        <w:t xml:space="preserve">Rudemo, M., Ruppert, D. &amp; Streibig, J.C. (1989).</w:t>
      </w:r>
      <w:r>
        <w:t xml:space="preserve"> </w:t>
      </w:r>
      <w:hyperlink r:id="rId114">
        <w:r>
          <w:rPr>
            <w:rStyle w:val="Hyperlink"/>
          </w:rPr>
          <w:t xml:space="preserve">Random-effect models in nonlinear regression with applications to bioassay</w:t>
        </w:r>
      </w:hyperlink>
      <w:r>
        <w:t xml:space="preserve">.</w:t>
      </w:r>
      <w:r>
        <w:t xml:space="preserve"> </w:t>
      </w:r>
      <w:r>
        <w:rPr>
          <w:i/>
          <w:iCs/>
        </w:rPr>
        <w:t xml:space="preserve">Biometrics</w:t>
      </w:r>
      <w:r>
        <w:t xml:space="preserve">, 45, 349–362.</w:t>
      </w:r>
    </w:p>
    <w:bookmarkEnd w:id="115"/>
    <w:bookmarkStart w:id="117" w:name="ref-schielzeth_centering_2010"/>
    <w:p>
      <w:pPr>
        <w:pStyle w:val="Bibliography"/>
      </w:pPr>
      <w:r>
        <w:t xml:space="preserve">Schielzeth, H. (2010).</w:t>
      </w:r>
      <w:r>
        <w:t xml:space="preserve"> </w:t>
      </w:r>
      <w:hyperlink r:id="rId116">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17"/>
    <w:bookmarkStart w:id="119"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8">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19"/>
    <w:bookmarkStart w:id="121" w:name="ref-snook_fertility_2026"/>
    <w:p>
      <w:pPr>
        <w:pStyle w:val="Bibliography"/>
      </w:pPr>
      <w:r>
        <w:t xml:space="preserve">Snook, R.R., Bretman, A., Dougherty, L.R. &amp; Fricke, C. (2026).</w:t>
      </w:r>
      <w:r>
        <w:t xml:space="preserve"> </w:t>
      </w:r>
      <w:hyperlink r:id="rId120">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21"/>
    <w:bookmarkStart w:id="123" w:name="ref-sunday_global_2011"/>
    <w:p>
      <w:pPr>
        <w:pStyle w:val="Bibliography"/>
      </w:pPr>
      <w:r>
        <w:t xml:space="preserve">Sunday, J.M., Bates, A.E. &amp; Dulvy, N.K. (2011).</w:t>
      </w:r>
      <w:r>
        <w:t xml:space="preserve"> </w:t>
      </w:r>
      <w:hyperlink r:id="rId122">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23"/>
    <w:bookmarkStart w:id="125" w:name="ref-sunday_redistribution_2012"/>
    <w:p>
      <w:pPr>
        <w:pStyle w:val="Bibliography"/>
      </w:pPr>
      <w:r>
        <w:t xml:space="preserve">Sunday, J.M., Bates, A.E. &amp; Dulvy, N.K. (2012).</w:t>
      </w:r>
      <w:r>
        <w:t xml:space="preserve"> </w:t>
      </w:r>
      <w:hyperlink r:id="rId124">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25"/>
    <w:bookmarkStart w:id="127" w:name="ref-villeneuve_dynamic_2024"/>
    <w:p>
      <w:pPr>
        <w:pStyle w:val="Bibliography"/>
      </w:pPr>
      <w:r>
        <w:t xml:space="preserve">Villeneuve, A.R. &amp; White, E.R. (2024).</w:t>
      </w:r>
      <w:r>
        <w:t xml:space="preserve"> </w:t>
      </w:r>
      <w:hyperlink r:id="rId126">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27"/>
    <w:bookmarkStart w:id="129" w:name="ref-wiens_localextinctions_2016"/>
    <w:p>
      <w:pPr>
        <w:pStyle w:val="Bibliography"/>
      </w:pPr>
      <w:r>
        <w:t xml:space="preserve">Wiens, J.J. (2016).</w:t>
      </w:r>
      <w:r>
        <w:t xml:space="preserve"> </w:t>
      </w:r>
      <w:hyperlink r:id="rId128">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29"/>
    <w:bookmarkEnd w:id="130"/>
    <w:bookmarkEnd w:id="131"/>
    <w:bookmarkStart w:id="132" w:name="X0a6b9f6e1b4d87c3bcd816dd30505d2c7e986ca"/>
    <w:p>
      <w:pPr>
        <w:pStyle w:val="Heading1"/>
      </w:pPr>
      <w:r>
        <w:t xml:space="preserve">14. Supplementary information for: A flexible modelling framework for estimating thermal sensitivity across life</w:t>
      </w:r>
    </w:p>
    <w:p>
      <w:pPr>
        <w:pStyle w:val="FirstParagraph"/>
      </w:pPr>
      <w:r>
        <w:t xml:space="preserve">Daniel W.A. Noble (Division of Ecology and Evolution, Research School of</w:t>
      </w:r>
      <w:r>
        <w:t xml:space="preserve"> </w:t>
      </w:r>
      <w:r>
        <w:t xml:space="preserve">Biology, Australian National University)</w:t>
      </w:r>
      <w:r>
        <w:br/>
      </w:r>
      <w:r>
        <w:t xml:space="preserve">Pieter A. Arnold (Division of Ecology and Evolution, Research School of</w:t>
      </w:r>
      <w:r>
        <w:t xml:space="preserve"> </w:t>
      </w:r>
      <w:r>
        <w:t xml:space="preserve">Biology, Australian National University)</w:t>
      </w:r>
      <w:r>
        <w:br/>
      </w:r>
      <w:r>
        <w:t xml:space="preserve">Patrice Pottier (Department of Biological and Environmental Sciences,</w:t>
      </w:r>
      <w:r>
        <w:t xml:space="preserve"> </w:t>
      </w:r>
      <w:r>
        <w:t xml:space="preserve">University of Gothenburg)</w:t>
      </w:r>
      <w:r>
        <w:br/>
      </w:r>
      <w:r>
        <w:t xml:space="preserve">today</w:t>
      </w:r>
    </w:p>
    <w:p>
      <w:pPr>
        <w:pStyle w:val="BodyText"/>
      </w:pPr>
      <w:r>
        <w:br/>
      </w:r>
    </w:p>
    <w:bookmarkEnd w:id="132"/>
    <w:bookmarkStart w:id="187" w:name="a-tutorial-with-simulations"/>
    <w:p>
      <w:pPr>
        <w:pStyle w:val="Heading1"/>
      </w:pPr>
      <w:r>
        <w:t xml:space="preserve">15.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141" w:name="simulating-data"/>
    <w:p>
      <w:pPr>
        <w:pStyle w:val="Heading3"/>
      </w:pPr>
      <w:r>
        <w:t xml:space="preserve">15.0.1</w:t>
      </w:r>
      <w:r>
        <w:t xml:space="preserve"> </w:t>
      </w:r>
      <w:r>
        <w:rPr>
          <w:i/>
          <w:iCs/>
        </w:rPr>
        <w:t xml:space="preserve">Simulating Data</w:t>
      </w:r>
    </w:p>
    <w:bookmarkStart w:id="133" w:name="sec-sim-step1"/>
    <w:p>
      <w:pPr>
        <w:pStyle w:val="Heading4"/>
      </w:pPr>
      <w:r>
        <w:t xml:space="preserve">15.0.1.1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p>
    <w:bookmarkEnd w:id="133"/>
    <w:bookmarkStart w:id="134" w:name="sec-sim-step2"/>
    <w:p>
      <w:pPr>
        <w:pStyle w:val="Heading4"/>
      </w:pPr>
      <w:r>
        <w:t xml:space="preserve">15.0.1.2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134"/>
    <w:bookmarkStart w:id="139" w:name="sec-sim-step3"/>
    <w:p>
      <w:pPr>
        <w:pStyle w:val="Heading4"/>
      </w:pPr>
      <w:r>
        <w:t xml:space="preserve">15.0.1.3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suppfig-true-surface">
        <w:r>
          <w:rPr>
            <w:rStyle w:val="Hyperlink"/>
          </w:rPr>
          <w:t xml:space="preserve">Figure S1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138" w:name="suppfig-true-surface"/>
          <w:p>
            <w:pPr>
              <w:jc w:val="center"/>
            </w:pPr>
            <w:r>
              <w:drawing>
                <wp:inline>
                  <wp:extent cx="5943600" cy="3396342"/>
                  <wp:effectExtent b="0" l="0" r="0" t="0"/>
                  <wp:docPr descr="" title="" id="136" name="Picture"/>
                  <a:graphic>
                    <a:graphicData uri="http://schemas.openxmlformats.org/drawingml/2006/picture">
                      <pic:pic>
                        <pic:nvPicPr>
                          <pic:cNvPr descr="ms/supplement_files/figure-docx/plot-true-surface-1.png" id="137" name="Picture"/>
                          <pic:cNvPicPr>
                            <a:picLocks noChangeArrowheads="1" noChangeAspect="1"/>
                          </pic:cNvPicPr>
                        </pic:nvPicPr>
                        <pic:blipFill>
                          <a:blip r:embed="rId135"/>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The known 4PL dose-response surface used to generate the simulated data, evaluated on a dense time grid at each of the five assay temperatures. The horizontal line marks 50% survival; where each curve crosses it gives the true LT50 at that temperature.</w:t>
            </w:r>
          </w:p>
          <w:bookmarkEnd w:id="138"/>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139"/>
    <w:bookmarkStart w:id="140" w:name="sec-sim-step4"/>
    <w:p>
      <w:pPr>
        <w:pStyle w:val="Heading4"/>
      </w:pPr>
      <w:r>
        <w:t xml:space="preserve">15.0.1.4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140"/>
    <w:bookmarkEnd w:id="141"/>
    <w:bookmarkStart w:id="152" w:name="sec-twostage"/>
    <w:p>
      <w:pPr>
        <w:pStyle w:val="Heading3"/>
      </w:pPr>
      <w:r>
        <w:t xml:space="preserve">15.0.2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143" w:name="sec-twostage-step1"/>
    <w:p>
      <w:pPr>
        <w:pStyle w:val="Heading4"/>
      </w:pPr>
      <w:r>
        <w:t xml:space="preserve">15.0.2.1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142" w:name="supptbl-stage1-lt50"/>
          <w:p>
            <w:pPr>
              <w:jc w:val="center"/>
            </w:pPr>
            <w:pPr>
              <w:jc w:val="start"/>
              <w:spacing w:before="200"/>
              <w:pStyle w:val="ImageCaption"/>
            </w:pPr>
            <w:r>
              <w:t xml:space="preserve">Table S1: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4"/>
              <w:gridCol w:w="1989"/>
              <w:gridCol w:w="1842"/>
              <w:gridCol w:w="1793"/>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truth_log10_lt50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bin_log10_lt50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bb_log10_lt50</w:t>
                  </w:r>
                </w:p>
              </w:tc>
            </w:tr>
            <w:tr>
              <w:trPr>
                <w:trHeight w:val="56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2.082</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1.528</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1.195</w:t>
                  </w:r>
                </w:p>
              </w:tc>
            </w:tr>
            <w:tr>
              <w:trPr>
                <w:trHeight w:val="569"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0.954</w:t>
                  </w:r>
                </w:p>
              </w:tc>
            </w:tr>
          </w:tbl>
          <w:bookmarkEnd w:id="142"/>
        </w:tc>
      </w:tr>
    </w:tbl>
    <w:p>
      <w:pPr>
        <w:pStyle w:val="BodyText"/>
      </w:pPr>
      <w:r>
        <w:t xml:space="preserve">With the simulation’s true asymptotes near 0 and 1, the 2PL’s forced-asymptote constraint introduces negligible bias here, so each Stage-1 estimate sits close to the simulation truth.</w:t>
      </w:r>
    </w:p>
    <w:bookmarkEnd w:id="143"/>
    <w:bookmarkStart w:id="151" w:name="sec-twostage-step2"/>
    <w:p>
      <w:pPr>
        <w:pStyle w:val="Heading4"/>
      </w:pPr>
      <w:r>
        <w:t xml:space="preserve">15.0.2.2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suppfig-stage2-regression">
        <w:r>
          <w:rPr>
            <w:rStyle w:val="Hyperlink"/>
          </w:rPr>
          <w:t xml:space="preserve">Figure S2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supptbl-stage1-lt50">
        <w:r>
          <w:rPr>
            <w:rStyle w:val="Hyperlink"/>
          </w:rPr>
          <w:t xml:space="preserve">Table S1</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step that changes</w:t>
      </w:r>
      <w:r>
        <w:t xml:space="preserve"> </w:t>
      </w:r>
      <m:oMath>
        <m:sSub>
          <m:e>
            <m:r>
              <m:rPr>
                <m:sty m:val="p"/>
              </m:rPr>
              <m:t>log</m:t>
            </m:r>
          </m:e>
          <m:sub>
            <m:r>
              <m:t>10</m:t>
            </m:r>
          </m:sub>
        </m:sSub>
        <m:r>
          <m:rPr>
            <m:nor/>
            <m:sty m:val="p"/>
          </m:rPr>
          <m:t>LT50</m:t>
        </m:r>
      </m:oMath>
      <w:r>
        <w:t xml:space="preserve"> </w:t>
      </w:r>
      <w:r>
        <w:t xml:space="preserve">by one decade.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147" w:name="suppfig-stage2-regression"/>
          <w:p>
            <w:pPr>
              <w:jc w:val="center"/>
            </w:pPr>
            <w:r>
              <w:drawing>
                <wp:inline>
                  <wp:extent cx="5943600" cy="3820885"/>
                  <wp:effectExtent b="0" l="0" r="0" t="0"/>
                  <wp:docPr descr="" title="" id="145" name="Picture"/>
                  <a:graphic>
                    <a:graphicData uri="http://schemas.openxmlformats.org/drawingml/2006/picture">
                      <pic:pic>
                        <pic:nvPicPr>
                          <pic:cNvPr descr="ms/supplement_files/figure-docx/plot-stage2-regression-1.png" id="146" name="Picture"/>
                          <pic:cNvPicPr>
                            <a:picLocks noChangeArrowheads="1" noChangeAspect="1"/>
                          </pic:cNvPicPr>
                        </pic:nvPicPr>
                        <pic:blipFill>
                          <a:blip r:embed="rId144"/>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147"/>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quarto/share/formats/docx/important.png" id="150" name="Picture"/>
                          <pic:cNvPicPr>
                            <a:picLocks noChangeArrowheads="1" noChangeAspect="1"/>
                          </pic:cNvPicPr>
                        </pic:nvPicPr>
                        <pic:blipFill>
                          <a:blip r:embed="rId1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151"/>
    <w:bookmarkEnd w:id="152"/>
    <w:bookmarkStart w:id="165" w:name="sec-joint"/>
    <w:p>
      <w:pPr>
        <w:pStyle w:val="Heading3"/>
      </w:pPr>
      <w:r>
        <w:t xml:space="preserve">15.0.3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157" w:name="sec-joint-spec"/>
    <w:p>
      <w:pPr>
        <w:pStyle w:val="Heading4"/>
      </w:pPr>
      <w:r>
        <w:t xml:space="preserve">15.0.3.1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153"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9</m:t>
              </m:r>
            </m:e>
          </m:d>
        </m:oMath>
      </m:oMathPara>
      <w:bookmarkEnd w:id="153"/>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154"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10</m:t>
              </m:r>
            </m:e>
          </m:d>
        </m:oMath>
      </m:oMathPara>
      <w:bookmarkEnd w:id="15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In</w:t>
      </w:r>
      <w:r>
        <w:t xml:space="preserve"> </w:t>
      </w:r>
      <w:r>
        <w:rPr>
          <w:rStyle w:val="VerbatimChar"/>
        </w:rPr>
        <w:t xml:space="preserve">brms</w:t>
      </w:r>
      <w:r>
        <w:t xml:space="preserve"> </w:t>
      </w:r>
      <w:r>
        <w:t xml:space="preserve">non-linear syntax these two pieces become one formula and four sub-formulas — one for each parameter in the 4PL model:</w:t>
      </w:r>
    </w:p>
    <w:p>
      <w:pPr>
        <w:pStyle w:val="SourceCode"/>
      </w:pPr>
      <w:r>
        <w:rPr>
          <w:rStyle w:val="CommentTok"/>
        </w:rPr>
        <w:t xml:space="preserve"># Soft constraints to keep the parameters in their natural ranges.</w:t>
      </w:r>
      <w:r>
        <w:br/>
      </w:r>
      <w:r>
        <w:rPr>
          <w:rStyle w:val="CommentTok"/>
        </w:rPr>
        <w:t xml:space="preserve"># These are not informative priors — just the bounds the parameters</w:t>
      </w:r>
      <w:r>
        <w:br/>
      </w:r>
      <w:r>
        <w:rPr>
          <w:rStyle w:val="CommentTok"/>
        </w:rPr>
        <w:t xml:space="preserve"># must obey to be biologically meaningful.</w:t>
      </w:r>
      <w:r>
        <w:br/>
      </w:r>
      <w:r>
        <w:rPr>
          <w:rStyle w:val="NormalTok"/>
        </w:rPr>
        <w:t xml:space="preserve">priors_4pl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"ell"</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AttributeTok"/>
        </w:rPr>
        <w:t xml:space="preserve">nlpar =</w:t>
      </w:r>
      <w:r>
        <w:rPr>
          <w:rStyle w:val="NormalTok"/>
        </w:rPr>
        <w:t xml:space="preserve"> </w:t>
      </w:r>
      <w:r>
        <w:rPr>
          <w:rStyle w:val="StringTok"/>
        </w:rPr>
        <w:t xml:space="preserve">"u"</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"k"</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w:t>
      </w:r>
      <w:r>
        <w:br/>
      </w:r>
      <w:r>
        <w:br/>
      </w:r>
      <w:r>
        <w:rPr>
          <w:rStyle w:val="NormalTok"/>
        </w:rPr>
        <w:t xml:space="preserve">bform_bin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CommentTok"/>
        </w:rPr>
        <w:t xml:space="preserve"># Same model, beta-binomial likelihood for the overdispersed dataset.</w:t>
      </w:r>
      <w:r>
        <w:br/>
      </w:r>
      <w:r>
        <w:rPr>
          <w:rStyle w:val="NormalTok"/>
        </w:rPr>
        <w:t xml:space="preserve">bform_bb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The first line in</w:t>
      </w:r>
      <w:r>
        <w:t xml:space="preserve"> </w:t>
      </w:r>
      <w:r>
        <w:rPr>
          <w:rStyle w:val="VerbatimChar"/>
        </w:rPr>
        <w:t xml:space="preserve">bf()</w:t>
      </w:r>
      <w:r>
        <w:t xml:space="preserve"> </w:t>
      </w:r>
      <w:r>
        <w:t xml:space="preserve">is</w:t>
      </w:r>
      <w:r>
        <w:t xml:space="preserve"> </w:t>
      </w:r>
      <w:hyperlink w:anchor="eq-supp-4pl">
        <w:r>
          <w:rPr>
            <w:rStyle w:val="Hyperlink"/>
          </w:rPr>
          <w:t xml:space="preserve">Equation 9</w:t>
        </w:r>
      </w:hyperlink>
      <w:r>
        <w:t xml:space="preserve">. The next four lines say (i) the asymptotes and slope are simply scalars and we estimate an overall intercept for each (</w:t>
      </w:r>
      <w:r>
        <w:rPr>
          <w:rStyle w:val="VerbatimChar"/>
        </w:rPr>
        <w:t xml:space="preserve">ell ~ 1</w:t>
      </w:r>
      <w:r>
        <w:t xml:space="preserve">,</w:t>
      </w:r>
      <w:r>
        <w:t xml:space="preserve"> </w:t>
      </w:r>
      <w:r>
        <w:rPr>
          <w:rStyle w:val="VerbatimChar"/>
        </w:rPr>
        <w:t xml:space="preserve">u ~ 1</w:t>
      </w:r>
      <w:r>
        <w:t xml:space="preserve">,</w:t>
      </w:r>
      <w:r>
        <w:t xml:space="preserve"> </w:t>
      </w:r>
      <w:r>
        <w:rPr>
          <w:rStyle w:val="VerbatimChar"/>
        </w:rPr>
        <w:t xml:space="preserve">k ~ 1</w:t>
      </w:r>
      <w:r>
        <w:t xml:space="preserve">) and (ii) the midpoint depends linearly on mean-centred temperature (</w:t>
      </w:r>
      <w:r>
        <w:rPr>
          <w:rStyle w:val="VerbatimChar"/>
        </w:rPr>
        <w:t xml:space="preserve">mid ~ T_c</w:t>
      </w:r>
      <w:r>
        <w:t xml:space="preserve">), recovering</w:t>
      </w:r>
      <w:r>
        <w:t xml:space="preserve"> </w:t>
      </w:r>
      <w:hyperlink w:anchor="eq-supp-mid-temp">
        <w:r>
          <w:rPr>
            <w:rStyle w:val="Hyperlink"/>
          </w:rPr>
          <w:t xml:space="preserve">Equation 10</w:t>
        </w:r>
      </w:hyperlink>
      <w:r>
        <w:t xml:space="preserve">. This is the entire model.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important.png" id="156" name="Picture"/>
                          <pic:cNvPicPr>
                            <a:picLocks noChangeArrowheads="1" noChangeAspect="1"/>
                          </pic:cNvPicPr>
                        </pic:nvPicPr>
                        <pic:blipFill>
                          <a:blip r:embed="rId1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model we fit is rather simple — it can be extended in several ways. For example, random effects can be added to any of the four 4PL parameters; for instance,</w:t>
            </w:r>
            <w:r>
              <w:t xml:space="preserve"> </w:t>
            </w:r>
            <w:r>
              <w:rPr>
                <w:rStyle w:val="VerbatimChar"/>
              </w:rPr>
              <w:t xml:space="preserve">mid ~ T_c + (1 | day)</w:t>
            </w:r>
            <w:r>
              <w:t xml:space="preserve"> </w:t>
            </w:r>
            <w:r>
              <w:t xml:space="preserve">allows the midpoint to vary across assay days or batches. Temperature can also be a predictor for the other 4PL parameters — adding</w:t>
            </w:r>
            <w:r>
              <w:t xml:space="preserve"> </w:t>
            </w:r>
            <w:r>
              <w:rPr>
                <w:rStyle w:val="VerbatimChar"/>
              </w:rPr>
              <w:t xml:space="preserve">k ~ T_c</w:t>
            </w:r>
            <w:r>
              <w:t xml:space="preserve">, for instance, would let the slope of the dose-response curve itself depend on temperature. Random effects in the joint fit also enable a much more detailed variance decomposition than the two-stage pipeline can deliver. We’ll explore more of this in</w:t>
            </w:r>
            <w:r>
              <w:t xml:space="preserve"> </w:t>
            </w:r>
            <w:hyperlink w:anchor="sec-joint-extend">
              <w:r>
                <w:rPr>
                  <w:rStyle w:val="Hyperlink"/>
                </w:rPr>
                <w:t xml:space="preserve">Section 15.0.6</w:t>
              </w:r>
            </w:hyperlink>
            <w:r>
              <w:t xml:space="preserve">.</w:t>
            </w:r>
          </w:p>
        </w:tc>
      </w:tr>
    </w:tbl>
    <w:bookmarkEnd w:id="157"/>
    <w:bookmarkStart w:id="158" w:name="sec-joint-fit"/>
    <w:p>
      <w:pPr>
        <w:pStyle w:val="Heading4"/>
      </w:pPr>
      <w:r>
        <w:t xml:space="preserve">15.0.3.2 Fitting the model</w:t>
      </w:r>
    </w:p>
    <w:p>
      <w:pPr>
        <w:pStyle w:val="FirstParagraph"/>
      </w:pPr>
      <w:r>
        <w:t xml:space="preserve">Now that we have the model formula set up and priors we can fit the model. We pass</w:t>
      </w:r>
      <w:r>
        <w:t xml:space="preserve"> </w:t>
      </w:r>
      <w:r>
        <w:rPr>
          <w:rStyle w:val="VerbatimChar"/>
        </w:rPr>
        <w:t xml:space="preserve">file = ...</w:t>
      </w:r>
      <w:r>
        <w:t xml:space="preserve"> </w:t>
      </w:r>
      <w:r>
        <w:t xml:space="preserve">and</w:t>
      </w:r>
      <w:r>
        <w:t xml:space="preserve"> </w:t>
      </w:r>
      <w:r>
        <w:rPr>
          <w:rStyle w:val="VerbatimChar"/>
        </w:rPr>
        <w:t xml:space="preserve">file_refit = "on_change"</w:t>
      </w:r>
      <w:r>
        <w:t xml:space="preserve"> </w:t>
      </w:r>
      <w:r>
        <w:t xml:space="preserve">directly to</w:t>
      </w:r>
      <w:r>
        <w:t xml:space="preserve"> </w:t>
      </w:r>
      <w:r>
        <w:rPr>
          <w:rStyle w:val="VerbatimChar"/>
        </w:rPr>
        <w:t xml:space="preserve">brm()</w:t>
      </w:r>
      <w:r>
        <w:t xml:space="preserve">. This tells</w:t>
      </w:r>
      <w:r>
        <w:t xml:space="preserve"> </w:t>
      </w:r>
      <w:r>
        <w:rPr>
          <w:rStyle w:val="VerbatimChar"/>
        </w:rPr>
        <w:t xml:space="preserve">brms</w:t>
      </w:r>
      <w:r>
        <w:t xml:space="preserve"> </w:t>
      </w:r>
      <w:r>
        <w:t xml:space="preserve">to save the fit to disk on first run and to reload it on subsequent runs unless the model or data has changed.</w:t>
      </w:r>
    </w:p>
    <w:p>
      <w:pPr>
        <w:pStyle w:val="SourceCode"/>
      </w:pPr>
      <w:r>
        <w:rPr>
          <w:rStyle w:val="NormalTok"/>
        </w:rPr>
        <w:t xml:space="preserve">fit_bin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bform_bin, </w:t>
      </w:r>
      <w:r>
        <w:rPr>
          <w:rStyle w:val="AttributeTok"/>
        </w:rPr>
        <w:t xml:space="preserve">data =</w:t>
      </w:r>
      <w:r>
        <w:rPr>
          <w:rStyle w:val="NormalTok"/>
        </w:rPr>
        <w:t xml:space="preserve"> sim_bin,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r>
        <w:br/>
      </w:r>
      <w:r>
        <w:br/>
      </w:r>
      <w:r>
        <w:rPr>
          <w:rStyle w:val="NormalTok"/>
        </w:rPr>
        <w:t xml:space="preserve">fit_bb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bform_bb, </w:t>
      </w:r>
      <w:r>
        <w:rPr>
          <w:rStyle w:val="AttributeTok"/>
        </w:rPr>
        <w:t xml:space="preserve">data =</w:t>
      </w:r>
      <w:r>
        <w:rPr>
          <w:rStyle w:val="NormalTok"/>
        </w:rPr>
        <w:t xml:space="preserve"> sim_bb,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0.9875292 0.0001264011 0.987227 0.9877159</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0.9263016 0.00105021 0.9238746 0.9280369</w:t>
      </w:r>
    </w:p>
    <w:bookmarkEnd w:id="158"/>
    <w:bookmarkStart w:id="164" w:name="sec-joint-recovery"/>
    <w:p>
      <w:pPr>
        <w:pStyle w:val="Heading4"/>
      </w:pPr>
      <w:r>
        <w:t xml:space="preserve">15.0.3.3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supptbl-recovery">
        <w:r>
          <w:rPr>
            <w:rStyle w:val="Hyperlink"/>
          </w:rPr>
          <w:t xml:space="preserve">Table S2</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159" w:name="supptbl-recovery"/>
          <w:p>
            <w:pPr>
              <w:jc w:val="center"/>
            </w:pPr>
            <w:pPr>
              <w:jc w:val="start"/>
              <w:spacing w:before="200"/>
              <w:pStyle w:val="ImageCaption"/>
            </w:pPr>
            <w:r>
              <w:t xml:space="preserve">Table S2: Posterior medians and 95% credible intervals for the four 4PL parameters and the temperature slope, compared to the known truth used to generate the simulated data. Recovery is judged successful when the credible interval covers the truth.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8"/>
              <w:gridCol w:w="1034"/>
              <w:gridCol w:w="1548"/>
              <w:gridCol w:w="1352"/>
              <w:gridCol w:w="1389"/>
              <w:gridCol w:w="1499"/>
              <w:gridCol w:w="1303"/>
              <w:gridCol w:w="1340"/>
            </w:tblGrid>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bb_upper</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0.038</w:t>
                  </w:r>
                </w:p>
              </w:tc>
            </w:tr>
            <w:tr>
              <w:trPr>
                <w:trHeight w:val="57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0.974</w:t>
                  </w:r>
                </w:p>
              </w:tc>
            </w:tr>
            <w:tr>
              <w:trPr>
                <w:trHeight w:val="57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8.328</w:t>
                  </w:r>
                </w:p>
              </w:tc>
            </w:tr>
            <w:tr>
              <w:trPr>
                <w:trHeight w:val="59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mid_beta0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1.537</w:t>
                  </w:r>
                </w:p>
              </w:tc>
            </w:tr>
            <w:tr>
              <w:trPr>
                <w:trHeight w:val="59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mid_beta1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-0.140</w:t>
                  </w:r>
                </w:p>
              </w:tc>
            </w:tr>
          </w:tbl>
          <w:bookmarkEnd w:id="159"/>
        </w:tc>
      </w:tr>
    </w:tbl>
    <w:p>
      <w:pPr>
        <w:pStyle w:val="BodyText"/>
      </w:pPr>
      <w:r>
        <w:t xml:space="preserve">We can also overlay the posterior fitted curves on the simulated data (</w:t>
      </w:r>
      <w:hyperlink w:anchor="suppfig-recovery-fit">
        <w:r>
          <w:rPr>
            <w:rStyle w:val="Hyperlink"/>
          </w:rPr>
          <w:t xml:space="preserve">Figure S3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163" w:name="suppfig-recovery-fit"/>
          <w:p>
            <w:pPr>
              <w:jc w:val="center"/>
            </w:pPr>
            <w:r>
              <w:drawing>
                <wp:inline>
                  <wp:extent cx="5943600" cy="3714750"/>
                  <wp:effectExtent b="0" l="0" r="0" t="0"/>
                  <wp:docPr descr="" title="" id="161" name="Picture"/>
                  <a:graphic>
                    <a:graphicData uri="http://schemas.openxmlformats.org/drawingml/2006/picture">
                      <pic:pic>
                        <pic:nvPicPr>
                          <pic:cNvPr descr="ms/supplement_files/figure-docx/plot-recovery-fit-1.png" id="162" name="Picture"/>
                          <pic:cNvPicPr>
                            <a:picLocks noChangeArrowheads="1" noChangeAspect="1"/>
                          </pic:cNvPicPr>
                        </pic:nvPicPr>
                        <pic:blipFill>
                          <a:blip r:embed="rId160"/>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163"/>
        </w:tc>
      </w:tr>
    </w:tbl>
    <w:bookmarkEnd w:id="164"/>
    <w:bookmarkEnd w:id="165"/>
    <w:bookmarkStart w:id="174" w:name="sec-joint-derive"/>
    <w:p>
      <w:pPr>
        <w:pStyle w:val="Heading3"/>
      </w:pPr>
      <w:r>
        <w:t xml:space="preserve">15.0.4</w:t>
      </w:r>
      <w:r>
        <w:t xml:space="preserve"> </w:t>
      </w:r>
      <w:r>
        <w:rPr>
          <w:i/>
          <w:iCs/>
        </w:rPr>
        <w:t xml:space="preserve">Deriving</w:t>
      </w:r>
      <w:r>
        <w:rPr>
          <w:i/>
          <w:iCs/>
        </w:rPr>
        <w:t xml:space="preserve"> </w:t>
      </w:r>
      <m:oMath>
        <m:r>
          <m:t>z</m:t>
        </m:r>
      </m:oMath>
      <w:r>
        <w:rPr>
          <w:i/>
          <w:iCs/>
        </w:rPr>
        <w:t xml:space="preserve"> </w:t>
      </w:r>
      <w:r>
        <w:rPr>
          <w:i/>
          <w:iCs/>
        </w:rPr>
        <w:t xml:space="preserve">and</w:t>
      </w:r>
      <w:r>
        <w:rPr>
          <w:i/>
          <w:iCs/>
        </w:rPr>
        <w:t xml:space="preserve"> </w:t>
      </w:r>
      <m:oMath>
        <m:r>
          <m:t>C</m:t>
        </m:r>
        <m:sSub>
          <m:e>
            <m:r>
              <m:t>T</m:t>
            </m:r>
          </m:e>
          <m:sub>
            <m:r>
              <m:t>m</m:t>
            </m:r>
            <m:r>
              <m:t>a</m:t>
            </m:r>
            <m:sSub>
              <m:e>
                <m:r>
                  <m:t>x</m:t>
                </m:r>
              </m:e>
              <m:sub>
                <m:r>
                  <m:t>1</m:t>
                </m:r>
                <m:r>
                  <m:t>h</m:t>
                </m:r>
                <m:r>
                  <m:t>r</m:t>
                </m:r>
              </m:sub>
            </m:sSub>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 thermal sensitivity (</w:t>
      </w:r>
      <m:oMath>
        <m:r>
          <m:t>z</m:t>
        </m:r>
      </m:oMath>
      <w:r>
        <w:t xml:space="preserve">) and the critical thermal limit at a reference duration (</w:t>
      </w:r>
      <m:oMath>
        <m:r>
          <m:t>C</m:t>
        </m:r>
        <m:sSub>
          <m:e>
            <m:r>
              <m:t>T</m:t>
            </m:r>
          </m:e>
          <m:sub>
            <m:r>
              <m:t>m</m:t>
            </m:r>
            <m:r>
              <m:t>a</m:t>
            </m:r>
            <m:sSub>
              <m:e>
                <m:r>
                  <m:t>x</m:t>
                </m:r>
              </m:e>
              <m:sub>
                <m:r>
                  <m:t>1</m:t>
                </m:r>
                <m:r>
                  <m:t>h</m:t>
                </m:r>
                <m:r>
                  <m:t>r</m:t>
                </m:r>
              </m:sub>
            </m:sSub>
          </m:sub>
        </m:sSub>
      </m:oMath>
      <w:r>
        <w:t xml:space="preserve">) — fall out as one-line transformations of the posterior we just fit. We never refit the model; we just push the posterior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same closed-form expressions used to derive the simulation truth in Step 1.</w:t>
      </w:r>
    </w:p>
    <w:p>
      <w:pPr>
        <w:pStyle w:val="SourceCode"/>
      </w:pPr>
      <w:r>
        <w:rPr>
          <w:rStyle w:val="CommentTok"/>
        </w:rPr>
        <w:t xml:space="preserve"># Helper: push posterior draws of (ell, u, k, beta0, beta1) through the closed-</w:t>
      </w:r>
      <w:r>
        <w:br/>
      </w:r>
      <w:r>
        <w:rPr>
          <w:rStyle w:val="CommentTok"/>
        </w:rPr>
        <w:t xml:space="preserve"># form derivations from the main text to get z and CTmax at 1 hour.</w:t>
      </w:r>
      <w:r>
        <w:br/>
      </w:r>
      <w:r>
        <w:rPr>
          <w:rStyle w:val="NormalTok"/>
        </w:rPr>
        <w:t xml:space="preserve">derive_z_ctmax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posterior</w:t>
      </w:r>
      <w:r>
        <w:rPr>
          <w:rStyle w:val="SpecialCharTok"/>
        </w:rPr>
        <w:t xml:space="preserve">::</w:t>
      </w:r>
      <w:r>
        <w:rPr>
          <w:rStyle w:val="FunctionTok"/>
        </w:rPr>
        <w:t xml:space="preserve">as_draws_df</w:t>
      </w:r>
      <w:r>
        <w:rPr>
          <w:rStyle w:val="NormalTok"/>
        </w:rPr>
        <w:t xml:space="preserve">(fit) </w:t>
      </w:r>
      <w:r>
        <w:rPr>
          <w:rStyle w:val="SpecialCharTok"/>
        </w:rPr>
        <w:t xml:space="preserve">|&gt;</w:t>
      </w:r>
      <w:r>
        <w:rPr>
          <w:rStyle w:val="NormalTok"/>
        </w:rPr>
        <w:t xml:space="preserve">      </w:t>
      </w:r>
      <w:r>
        <w:rPr>
          <w:rStyle w:val="CommentTok"/>
        </w:rPr>
        <w:t xml:space="preserve"># Pulls out posterior distribution for each parameter from the model as a data frame</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    </w:t>
      </w:r>
      <w:r>
        <w:rPr>
          <w:rStyle w:val="CommentTok"/>
        </w:rPr>
        <w:t xml:space="preserve"># Take each draw from the model and calculate a value of z, giving us a poetrior distribution of sensitivity values, z</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Take upper, lower and slope of temp (along with overall mean) to caluclate the intercept.</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 </w:t>
      </w:r>
      <w:r>
        <w:rPr>
          <w:rStyle w:val="CommentTok"/>
        </w:rPr>
        <w:t xml:space="preserve"># Now, use alpha and temperature slope on midpoints, referencing at 1hour, to calculate CTmax</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(z, CTmax_1hr) </w:t>
      </w:r>
      <w:r>
        <w:rPr>
          <w:rStyle w:val="CommentTok"/>
        </w:rPr>
        <w:t xml:space="preserve"># Select out the whole posterior distribution for our new derived variables</w:t>
      </w:r>
      <w:r>
        <w:br/>
      </w:r>
      <w:r>
        <w:rPr>
          <w:rStyle w:val="NormalTok"/>
        </w:rPr>
        <w:t xml:space="preserve">}</w:t>
      </w:r>
      <w:r>
        <w:br/>
      </w:r>
      <w:r>
        <w:br/>
      </w:r>
      <w:r>
        <w:rPr>
          <w:rStyle w:val="CommentTok"/>
        </w:rPr>
        <w:t xml:space="preserve"># Now, lets use our function to extract the estimates from these two fitted models.</w:t>
      </w:r>
      <w:r>
        <w:br/>
      </w:r>
      <w:r>
        <w:rPr>
          <w:rStyle w:val="NormalTok"/>
        </w:rPr>
        <w:t xml:space="preserve">draws_bin_d </w:t>
      </w:r>
      <w:r>
        <w:rPr>
          <w:rStyle w:val="OtherTok"/>
        </w:rPr>
        <w:t xml:space="preserve">&lt;-</w:t>
      </w:r>
      <w:r>
        <w:rPr>
          <w:rStyle w:val="NormalTok"/>
        </w:rPr>
        <w:t xml:space="preserve"> </w:t>
      </w:r>
      <w:r>
        <w:rPr>
          <w:rStyle w:val="FunctionTok"/>
        </w:rPr>
        <w:t xml:space="preserve">derive_z_ctmax</w:t>
      </w:r>
      <w:r>
        <w:rPr>
          <w:rStyle w:val="NormalTok"/>
        </w:rPr>
        <w:t xml:space="preserve">(fit_bin)</w:t>
      </w:r>
      <w:r>
        <w:br/>
      </w:r>
      <w:r>
        <w:rPr>
          <w:rStyle w:val="NormalTok"/>
        </w:rPr>
        <w:t xml:space="preserve">draws_bb_d  </w:t>
      </w:r>
      <w:r>
        <w:rPr>
          <w:rStyle w:val="OtherTok"/>
        </w:rPr>
        <w:t xml:space="preserve">&lt;-</w:t>
      </w:r>
      <w:r>
        <w:rPr>
          <w:rStyle w:val="NormalTok"/>
        </w:rPr>
        <w:t xml:space="preserve"> </w:t>
      </w:r>
      <w:r>
        <w:rPr>
          <w:rStyle w:val="FunctionTok"/>
        </w:rPr>
        <w:t xml:space="preserve">derive_z_ctmax</w:t>
      </w:r>
      <w:r>
        <w:rPr>
          <w:rStyle w:val="NormalTok"/>
        </w:rPr>
        <w:t xml:space="preserve">(fit_bb)</w:t>
      </w:r>
    </w:p>
    <w:tbl>
      <w:tblPr>
        <w:tblStyle w:val="Table"/>
        <w:tblW w:type="pct" w:w="5000"/>
        <w:tblLayout w:type="fixed"/>
        <w:tblLook w:firstRow="0" w:lastRow="0" w:firstColumn="0" w:lastColumn="0" w:noHBand="0" w:noVBand="0" w:val="0000"/>
      </w:tblPr>
      <w:tblGrid>
        <w:gridCol w:w="7920"/>
      </w:tblGrid>
      <w:tr>
        <w:tc>
          <w:tcPr/>
          <w:bookmarkStart w:id="166" w:name="supptbl-tls-recovery"/>
          <w:p>
            <w:pPr>
              <w:jc w:val="center"/>
            </w:pPr>
            <w:pPr>
              <w:jc w:val="start"/>
              <w:spacing w:before="200"/>
              <w:pStyle w:val="ImageCaption"/>
            </w:pPr>
            <w:r>
              <w:t xml:space="preserve">Table S3: Posterior medians and 95% credible intervals for thermal sensitivity (</w:t>
            </w:r>
            <m:oMath>
              <m:r>
                <m:t>z</m:t>
              </m:r>
            </m:oMath>
            <w:r>
              <w:t xml:space="preserve">) and the critical thermal limit at a 1-hour reference duration (</w:t>
            </w:r>
            <m:oMath>
              <m:r>
                <m:t>C</m:t>
              </m:r>
              <m:sSub>
                <m:e>
                  <m:r>
                    <m:t>T</m:t>
                  </m:r>
                </m:e>
                <m:sub>
                  <m:r>
                    <m:t>m</m:t>
                  </m:r>
                  <m:r>
                    <m:t>a</m:t>
                  </m:r>
                  <m:sSub>
                    <m:e>
                      <m:r>
                        <m:t>x</m:t>
                      </m:r>
                    </m:e>
                    <m:sub>
                      <m:r>
                        <m:t>1</m:t>
                      </m:r>
                      <m:r>
                        <m:t>h</m:t>
                      </m:r>
                      <m:r>
                        <m:t>r</m:t>
                      </m:r>
                    </m:sub>
                  </m:sSub>
                </m:sub>
              </m:sSub>
            </m:oMath>
            <w:r>
              <w:t xml:space="preserve">), derived directly from the joint Bayesian 4PL fit. Both quantities recover the simulation truth under both binomial and beta-binomial likelihoods.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084"/>
              <w:gridCol w:w="1548"/>
              <w:gridCol w:w="1352"/>
              <w:gridCol w:w="1389"/>
              <w:gridCol w:w="1499"/>
              <w:gridCol w:w="1303"/>
              <w:gridCol w:w="1340"/>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bb_upper</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7.121</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32.371</w:t>
                  </w:r>
                </w:p>
              </w:tc>
            </w:tr>
          </w:tbl>
          <w:bookmarkEnd w:id="1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fig-tls-recovery"/>
          <w:p>
            <w:pPr>
              <w:jc w:val="center"/>
            </w:pPr>
            <w:r>
              <w:drawing>
                <wp:inline>
                  <wp:extent cx="5943600" cy="2971800"/>
                  <wp:effectExtent b="0" l="0" r="0" t="0"/>
                  <wp:docPr descr="" title="" id="168" name="Picture"/>
                  <a:graphic>
                    <a:graphicData uri="http://schemas.openxmlformats.org/drawingml/2006/picture">
                      <pic:pic>
                        <pic:nvPicPr>
                          <pic:cNvPr descr="ms/supplement_files/figure-docx/plot-tls-recovery-1.png" id="169" name="Picture"/>
                          <pic:cNvPicPr>
                            <a:picLocks noChangeArrowheads="1" noChangeAspect="1"/>
                          </pic:cNvPicPr>
                        </pic:nvPicPr>
                        <pic:blipFill>
                          <a:blip r:embed="rId16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distributions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binomial fit (blue) and beta-binomial fit (orange). Vertical dashed lines mark the simulation truth. Both posteriors are tightly concentrated around the truth, illustrating that the joint Bayesian fit recovers the classical TLS quantities with calibrated uncertainty without any additional regression step.</w:t>
            </w:r>
          </w:p>
          <w:bookmarkEnd w:id="170"/>
        </w:tc>
      </w:tr>
    </w:tbl>
    <w:p>
      <w:pPr>
        <w:pStyle w:val="BodyText"/>
      </w:pPr>
      <w:r>
        <w:t xml:space="preserve">The two derived quantities recover their simulation truth in both fits (</w:t>
      </w:r>
      <w:hyperlink w:anchor="supptbl-tls-recovery">
        <w:r>
          <w:rPr>
            <w:rStyle w:val="Hyperlink"/>
          </w:rPr>
          <w:t xml:space="preserve">Table S3</w:t>
        </w:r>
      </w:hyperlink>
      <w:r>
        <w:t xml:space="preserve">,</w:t>
      </w:r>
      <w:r>
        <w:t xml:space="preserve"> </w:t>
      </w:r>
      <w:hyperlink w:anchor="suppfig-tls-recovery">
        <w:r>
          <w:rPr>
            <w:rStyle w:val="Hyperlink"/>
          </w:rPr>
          <w:t xml:space="preserve">Figure S4</w:t>
        </w:r>
      </w:hyperlink>
      <w:r>
        <w:t xml:space="preserve">), with credible intervals that reflect joint uncertainty in all four 4PL parameters and the temperature slope. Crucially,</w:t>
      </w:r>
      <w:r>
        <w:t xml:space="preserve"> </w:t>
      </w:r>
      <w:r>
        <w:rPr>
          <w:b/>
          <w:bCs/>
        </w:rPr>
        <w:t xml:space="preserve">we did not run a second regression</w:t>
      </w:r>
      <w:r>
        <w:t xml:space="preserve"> </w:t>
      </w:r>
      <w:r>
        <w:t xml:space="preserve">to get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They are properties of the same posterior we already have. This is the key practical advantage of the joint approach over the two-step pipeline: every classical TLS quantity is one transformation away from the fit we have already run, and every quantity inherits the same calibrated uncertainty.</w:t>
      </w:r>
    </w:p>
    <w:p>
      <w:pPr>
        <w:pStyle w:val="BodyText"/>
      </w:pPr>
      <w:r>
        <w:t xml:space="preserve">Given that we have the full distribution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can now report on uncertainty in their values</w:t>
      </w:r>
      <w:r>
        <w:t xml:space="preserve"> </w:t>
      </w:r>
      <w:r>
        <w:rPr>
          <w:i/>
          <w:iCs/>
        </w:rPr>
        <w:t xml:space="preserve">very</w:t>
      </w:r>
      <w:r>
        <w:t xml:space="preserve"> </w:t>
      </w:r>
      <w:r>
        <w:t xml:space="preserve">easily. All we need to do is take the standard deviation of this distribution for the standard error or we can even summaise with quantiles as follows:</w:t>
      </w:r>
    </w:p>
    <w:tbl>
      <w:tblPr>
        <w:tblStyle w:val="Table"/>
        <w:tblW w:type="pct" w:w="5000"/>
        <w:tblLayout w:type="fixed"/>
        <w:tblLook w:firstRow="0" w:lastRow="0" w:firstColumn="0" w:lastColumn="0" w:noHBand="0" w:noVBand="0" w:val="0000"/>
      </w:tblPr>
      <w:tblGrid>
        <w:gridCol w:w="7920"/>
      </w:tblGrid>
      <w:tr>
        <w:tc>
          <w:tcPr/>
          <w:bookmarkStart w:id="171" w:name="supptbl-uncert-z-ct"/>
          <w:p>
            <w:pPr>
              <w:jc w:val="center"/>
            </w:pPr>
            <w:pPr>
              <w:jc w:val="start"/>
              <w:spacing w:before="200"/>
              <w:pStyle w:val="ImageCaption"/>
            </w:pPr>
            <w:r>
              <w:t xml:space="preserve">Table S4: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joint Bayesian 4PL: posterior mean, standard deviation, median, and 95% credible interval (2.5% and 97.5% quantiles), reported separately for the binomial and beta-binomial fits.</w:t>
            </w:r>
          </w:p>
          <w:p>
            <w:pPr>
              <w:pStyle w:val="SourceCode"/>
              <w:jc w:val="center"/>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(x),</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(x),</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(uncert_summary) </w:t>
            </w:r>
            <w:r>
              <w:rPr>
                <w:rStyle w:val="SpecialCharTok"/>
              </w:rPr>
              <w:t xml:space="preserve">|&gt;</w:t>
            </w:r>
            <w:r>
              <w:br/>
            </w:r>
            <w:r>
              <w:rPr>
                <w:rStyle w:val="NormalTok"/>
              </w:rPr>
              <w:t xml:space="preserve">  flextable</w:t>
            </w:r>
            <w:r>
              <w:rPr>
                <w:rStyle w:val="SpecialCharTok"/>
              </w:rPr>
              <w:t xml:space="preserve">::</w:t>
            </w:r>
            <w:r>
              <w:rPr>
                <w:rStyle w:val="FunctionTok"/>
              </w:rPr>
              <w:t xml:space="preserve">set_header_labels</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StringTok"/>
              </w:rPr>
              <w:t xml:space="preserve">"Quantity"</w:t>
            </w:r>
            <w:r>
              <w:rPr>
                <w:rStyle w:val="NormalTok"/>
              </w:rPr>
              <w:t xml:space="preserve">,</w:t>
            </w:r>
            <w:r>
              <w:br/>
            </w:r>
            <w:r>
              <w:rPr>
                <w:rStyle w:val="NormalTok"/>
              </w:rPr>
              <w:t xml:space="preserve">    </w:t>
            </w:r>
            <w:r>
              <w:rPr>
                <w:rStyle w:val="AttributeTok"/>
              </w:rPr>
              <w:t xml:space="preserve">likelihood =</w:t>
            </w:r>
            <w:r>
              <w:rPr>
                <w:rStyle w:val="NormalTok"/>
              </w:rPr>
              <w:t xml:space="preserve"> </w:t>
            </w:r>
            <w:r>
              <w:rPr>
                <w:rStyle w:val="StringTok"/>
              </w:rPr>
              <w:t xml:space="preserve">"Likelihood"</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tringTok"/>
              </w:rPr>
              <w:t xml:space="preserve">"SD"</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StringTok"/>
              </w:rPr>
              <w:t xml:space="preserve">"Median"</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StringTok"/>
              </w:rPr>
              <w:t xml:space="preserve">"2.5%"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StringTok"/>
              </w:rPr>
              <w:t xml:space="preserve">"97.5%"</w:t>
            </w:r>
            <w:r>
              <w:br/>
            </w:r>
            <w:r>
              <w:rPr>
                <w:rStyle w:val="NormalTok"/>
              </w:rPr>
              <w:t xml:space="preserve">  )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colformat_double</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756"/>
              <w:gridCol w:w="1084"/>
              <w:gridCol w:w="961"/>
              <w:gridCol w:w="1132"/>
              <w:gridCol w:w="1084"/>
              <w:gridCol w:w="1084"/>
            </w:tblGrid>
            <w:tr>
              <w:trPr>
                <w:trHeight w:val="6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Likelihood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97.5%</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Binomial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6.798</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Binomial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32.207</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Beta-binomial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7.121</w:t>
                  </w:r>
                </w:p>
              </w:tc>
            </w:tr>
            <w:tr>
              <w:trPr>
                <w:trHeight w:val="618"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Beta-binomial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32.371</w:t>
                  </w:r>
                </w:p>
              </w:tc>
            </w:tr>
          </w:tbl>
          <w:bookmarkEnd w:id="171"/>
        </w:tc>
      </w:tr>
    </w:tbl>
    <w:p>
      <w:pPr>
        <w:pStyle w:val="FirstParagraph"/>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0.25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0.12 °C.</w:t>
      </w:r>
    </w:p>
    <w:p>
      <w:pPr>
        <w:pStyle w:val="BodyText"/>
      </w:pPr>
      <w:r>
        <w:t xml:space="preserve">The beta-binomial fit is slightly wider on both quantities (SD on</w:t>
      </w:r>
      <w:r>
        <w:t xml:space="preserve"> </w:t>
      </w:r>
      <m:oMath>
        <m:r>
          <m:t>z</m:t>
        </m:r>
      </m:oMath>
      <w:r>
        <w:t xml:space="preserve">: 0.16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important.png" id="173" name="Picture"/>
                          <pic:cNvPicPr>
                            <a:picLocks noChangeArrowheads="1" noChangeAspect="1"/>
                          </pic:cNvPicPr>
                        </pic:nvPicPr>
                        <pic:blipFill>
                          <a:blip r:embed="rId1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174"/>
    <w:bookmarkStart w:id="177" w:name="sec-compare"/>
    <w:p>
      <w:pPr>
        <w:pStyle w:val="Heading3"/>
      </w:pPr>
      <w:r>
        <w:t xml:space="preserve">15.0.5</w:t>
      </w:r>
      <w:r>
        <w:t xml:space="preserve"> </w:t>
      </w:r>
      <w:r>
        <w:rPr>
          <w:i/>
          <w:iCs/>
        </w:rPr>
        <w:t xml:space="preserve">Comparing the two pipelines</w:t>
      </w:r>
    </w:p>
    <w:bookmarkStart w:id="176" w:name="sec-compare-table"/>
    <w:p>
      <w:pPr>
        <w:pStyle w:val="Heading4"/>
      </w:pPr>
      <w:r>
        <w:t xml:space="preserve">15.0.5.1 Point-estimate agreement on the same data</w:t>
      </w:r>
    </w:p>
    <w:p>
      <w:pPr>
        <w:pStyle w:val="FirstParagraph"/>
      </w:pPr>
      <w:hyperlink w:anchor="supptbl-twostage-compare">
        <w:r>
          <w:rPr>
            <w:rStyle w:val="Hyperlink"/>
          </w:rPr>
          <w:t xml:space="preserve">Table S5</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175" w:name="supptbl-twostage-compare"/>
          <w:p>
            <w:pPr>
              <w:jc w:val="center"/>
            </w:pPr>
            <w:pPr>
              <w:jc w:val="start"/>
              <w:spacing w:before="200"/>
              <w:pStyle w:val="ImageCaption"/>
            </w:pPr>
            <w:r>
              <w:t xml:space="preserve">Table S5: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084"/>
              <w:gridCol w:w="2465"/>
              <w:gridCol w:w="2868"/>
              <w:gridCol w:w="2966"/>
              <w:gridCol w:w="3370"/>
            </w:tblGrid>
            <w:tr>
              <w:trPr>
                <w:trHeight w:val="6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Two-stage (binomial)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Joint Bayesian (binomial)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Two-stage (beta-binomial)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Joint Bayesian (beta-binomial)</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r>
          </w:tbl>
          <w:bookmarkEnd w:id="175"/>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176"/>
    <w:bookmarkEnd w:id="177"/>
    <w:bookmarkStart w:id="186" w:name="sec-joint-extend"/>
    <w:p>
      <w:pPr>
        <w:pStyle w:val="Heading3"/>
      </w:pPr>
      <w:r>
        <w:t xml:space="preserve">15.0.6</w:t>
      </w:r>
      <w:r>
        <w:t xml:space="preserve"> </w:t>
      </w:r>
      <w:r>
        <w:rPr>
          <w:i/>
          <w:iCs/>
        </w:rPr>
        <w:t xml:space="preserve">Extending the model: temperature-varying shape parameters</w:t>
      </w:r>
    </w:p>
    <w:p>
      <w:pPr>
        <w:pStyle w:val="FirstParagraph"/>
      </w:pPr>
      <w:r>
        <w:t xml:space="preserve">The closed-form derivations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assumed that</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are scalars — they do not depend on</w:t>
      </w:r>
      <w:r>
        <w:t xml:space="preserve"> </w:t>
      </w:r>
      <m:oMath>
        <m:r>
          <m:t>T</m:t>
        </m:r>
      </m:oMath>
      <w:r>
        <w:t xml:space="preserve">, so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is a single number rather than a function of temperature. This is convenient but not required. If</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also vary with temperature, then we need to predict how each of these parameters changes with temperature and apply a temperature-varying correction factor. Linear effects of temperature on the shape parameters of the dose-response curve are mechanistically interpretable and biologically plausible. Three concrete examples come to mind:</w:t>
      </w:r>
    </w:p>
    <w:p>
      <w:pPr>
        <w:pStyle w:val="Compact"/>
        <w:numPr>
          <w:ilvl w:val="0"/>
          <w:numId w:val="1003"/>
        </w:numPr>
      </w:pPr>
      <w:r>
        <w:rPr>
          <w:rStyle w:val="VerbatimChar"/>
          <w:b/>
          <w:bCs/>
        </w:rPr>
        <w:t xml:space="preserve">u ~ T_c</w:t>
      </w:r>
      <w:r>
        <w:t xml:space="preserve"> </w:t>
      </w:r>
      <w:r>
        <w:t xml:space="preserve">lets the upper asymptote (baseline survival at very short exposures) decline with rising assay temperature. This may be quite a sensible assumption if brief exposures at high</w:t>
      </w:r>
      <w:r>
        <w:t xml:space="preserve"> </w:t>
      </w:r>
      <m:oMath>
        <m:r>
          <m:t>T</m:t>
        </m:r>
      </m:oMath>
      <w:r>
        <w:t xml:space="preserve"> </w:t>
      </w:r>
      <w:r>
        <w:t xml:space="preserve">cause some immediate mortality.</w:t>
      </w:r>
    </w:p>
    <w:p>
      <w:pPr>
        <w:pStyle w:val="Compact"/>
        <w:numPr>
          <w:ilvl w:val="0"/>
          <w:numId w:val="1003"/>
        </w:numPr>
      </w:pPr>
      <w:r>
        <w:rPr>
          <w:rStyle w:val="VerbatimChar"/>
          <w:b/>
          <w:bCs/>
        </w:rPr>
        <w:t xml:space="preserve">ell ~ T_c</w:t>
      </w:r>
      <w:r>
        <w:t xml:space="preserve"> </w:t>
      </w:r>
      <w:r>
        <w:t xml:space="preserve">lets the residual surviving fraction at very long exposures depend on</w:t>
      </w:r>
      <w:r>
        <w:t xml:space="preserve"> </w:t>
      </w:r>
      <m:oMath>
        <m:r>
          <m:t>T</m:t>
        </m:r>
      </m:oMath>
      <w:r>
        <w:t xml:space="preserve">. While this seems less plausible, if there is individual variation (which seems likely) some fraction may still survive, partiuclarly at less extreme temperatures, which could shift the lower baseline across each temperature treatment.</w:t>
      </w:r>
    </w:p>
    <w:p>
      <w:pPr>
        <w:pStyle w:val="Compact"/>
        <w:numPr>
          <w:ilvl w:val="0"/>
          <w:numId w:val="1003"/>
        </w:numPr>
      </w:pPr>
      <w:r>
        <w:rPr>
          <w:rStyle w:val="VerbatimChar"/>
          <w:b/>
          <w:bCs/>
        </w:rPr>
        <w:t xml:space="preserve">k ~ T_c</w:t>
      </w:r>
      <w:r>
        <w:t xml:space="preserve"> </w:t>
      </w:r>
      <w:r>
        <w:t xml:space="preserve">lets the dose-response steepness depend on</w:t>
      </w:r>
      <w:r>
        <w:t xml:space="preserve"> </w:t>
      </w:r>
      <m:oMath>
        <m:r>
          <m:t>T</m:t>
        </m:r>
      </m:oMath>
      <w:r>
        <w:t xml:space="preserve">. Biologically this is the most interesting case: protein denaturation kinetics often look more threshold-like (sharper</w:t>
      </w:r>
      <w:r>
        <w:t xml:space="preserve"> </w:t>
      </w:r>
      <m:oMath>
        <m:r>
          <m:t>k</m:t>
        </m:r>
      </m:oMath>
      <w:r>
        <w:t xml:space="preserve">) near a protein’s melting temperature, so the slope at extreme assay temperatures may be steeper than at moderate ones and there is some suggestions that this could be true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kingsolver_umbanhowar_2018">
        <w:r>
          <w:rPr>
            <w:rStyle w:val="Hyperlink"/>
          </w:rPr>
          <w:t xml:space="preserve">Kingsolver &amp; Umbanhowar 2018</w:t>
        </w:r>
      </w:hyperlink>
      <w:r>
        <w:t xml:space="preserve">)</w:t>
      </w:r>
      <w:r>
        <w:t xml:space="preserve">.</w:t>
      </w:r>
    </w:p>
    <w:p>
      <w:pPr>
        <w:pStyle w:val="FirstParagraph"/>
      </w:pPr>
      <w:r>
        <w:t xml:space="preserve">When any shape parameter depends on</w:t>
      </w:r>
      <w:r>
        <w:t xml:space="preserve"> </w:t>
      </w:r>
      <m:oMath>
        <m:r>
          <m:t>T</m:t>
        </m:r>
      </m:oMath>
      <w:r>
        <w:t xml:space="preserve"> </w:t>
      </w:r>
      <w:r>
        <w:t xml:space="preserve">the asymmetry correction itself becomes a function of</w:t>
      </w:r>
      <w:r>
        <w:t xml:space="preserve"> </w:t>
      </w:r>
      <m:oMath>
        <m:r>
          <m:t>T</m:t>
        </m:r>
      </m:oMath>
      <w:r>
        <w:t xml:space="preserve">:</w:t>
      </w:r>
    </w:p>
    <w:p>
      <w:pPr>
        <w:pStyle w:val="BodyText"/>
      </w:pPr>
      <w:bookmarkStart w:id="178"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11</m:t>
              </m:r>
            </m:e>
          </m:d>
        </m:oMath>
      </m:oMathPara>
      <w:bookmarkEnd w:id="178"/>
    </w:p>
    <w:p>
      <w:pPr>
        <w:pStyle w:val="FirstParagraph"/>
      </w:pPr>
      <w:r>
        <w:t xml:space="preserve">The midpoint piece</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is still a straight line in</w:t>
      </w:r>
      <w:r>
        <w:t xml:space="preserve"> </w:t>
      </w:r>
      <m:oMath>
        <m:r>
          <m:t>T</m:t>
        </m:r>
      </m:oMath>
      <w:r>
        <w:t xml:space="preserve">, but the asymmetry-correction piece now varies with</w:t>
      </w:r>
      <w:r>
        <w:t xml:space="preserve"> </w:t>
      </w:r>
      <m:oMath>
        <m:r>
          <m:t>T</m:t>
        </m:r>
      </m:oMath>
      <w:r>
        <w:t xml:space="preserve"> </w:t>
      </w:r>
      <w:r>
        <w:t xml:space="preserve">through</w:t>
      </w:r>
      <w:r>
        <w:t xml:space="preserve"> </w:t>
      </w:r>
      <m:oMath>
        <m:r>
          <m:t>k</m:t>
        </m:r>
        <m:d>
          <m:dPr>
            <m:begChr m:val="("/>
            <m:sepChr m:val=""/>
            <m:endChr m:val=")"/>
            <m:grow/>
          </m:dPr>
          <m:e>
            <m:r>
              <m:t>T</m:t>
            </m:r>
          </m:e>
        </m:d>
        <m:r>
          <m:rPr>
            <m:sty m:val="p"/>
          </m:rPr>
          <m:t>,</m:t>
        </m:r>
        <m:r>
          <m:t>u</m:t>
        </m:r>
        <m:d>
          <m:dPr>
            <m:begChr m:val="("/>
            <m:sepChr m:val=""/>
            <m:endChr m:val=")"/>
            <m:grow/>
          </m:dPr>
          <m:e>
            <m:r>
              <m:t>T</m:t>
            </m:r>
          </m:e>
        </m:d>
        <m:r>
          <m:rPr>
            <m:sty m:val="p"/>
          </m:rPr>
          <m:t>,</m:t>
        </m:r>
        <m:r>
          <m:rPr>
            <m:sty m:val="p"/>
          </m:rPr>
          <m:t>ℓ</m:t>
        </m:r>
        <m:d>
          <m:dPr>
            <m:begChr m:val="("/>
            <m:sepChr m:val=""/>
            <m:endChr m:val=")"/>
            <m:grow/>
          </m:dPr>
          <m:e>
            <m:r>
              <m:t>T</m:t>
            </m:r>
          </m:e>
        </m:d>
      </m:oMath>
      <w:r>
        <w:t xml:space="preserve">. Their sum is therefore non-linear in</w:t>
      </w:r>
      <w:r>
        <w:t xml:space="preserve"> </w:t>
      </w:r>
      <m:oMath>
        <m:r>
          <m:t>T</m:t>
        </m:r>
      </m:oMath>
      <w:r>
        <w:t xml:space="preserve">. Two consequences follow, and they affect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differently:</w:t>
      </w:r>
      <w:r>
        <w:t xml:space="preserve"> </w:t>
      </w:r>
      <m:oMath>
        <m:r>
          <m:t>z</m:t>
        </m:r>
      </m:oMath>
      <w:r>
        <w:t xml:space="preserve"> </w:t>
      </w:r>
      <w:r>
        <w:t xml:space="preserve">becomes a</w:t>
      </w:r>
      <w:r>
        <w:t xml:space="preserve"> </w:t>
      </w:r>
      <w:r>
        <w:rPr>
          <w:i/>
          <w:iCs/>
        </w:rPr>
        <w:t xml:space="preserve">function</w:t>
      </w:r>
      <w:r>
        <w:t xml:space="preserve"> </w:t>
      </w:r>
      <w:r>
        <w:t xml:space="preserve">of temperature (no longer a single slope but a local value at each</w:t>
      </w:r>
      <w:r>
        <w:t xml:space="preserve"> </w:t>
      </w:r>
      <m:oMath>
        <m:r>
          <m:t>T</m:t>
        </m:r>
      </m:oMath>
      <w:r>
        <w:t xml:space="preserve">). In contrast,</w:t>
      </w:r>
      <w:r>
        <w:t xml:space="preserve"> </w:t>
      </w:r>
      <m:oMath>
        <m:r>
          <m:t>C</m:t>
        </m:r>
        <m:sSub>
          <m:e>
            <m:r>
              <m:t>T</m:t>
            </m:r>
          </m:e>
          <m:sub>
            <m:r>
              <m:t>m</m:t>
            </m:r>
            <m:r>
              <m:t>a</m:t>
            </m:r>
            <m:sSub>
              <m:e>
                <m:r>
                  <m:t>x</m:t>
                </m:r>
              </m:e>
              <m:sub>
                <m:r>
                  <m:t>1</m:t>
                </m:r>
                <m:r>
                  <m:t>h</m:t>
                </m:r>
                <m:r>
                  <m:t>r</m:t>
                </m:r>
              </m:sub>
            </m:sSub>
          </m:sub>
        </m:sSub>
      </m:oMath>
      <w:r>
        <w:t xml:space="preserve"> </w:t>
      </w:r>
      <w:r>
        <w:t xml:space="preserve">remains a</w:t>
      </w:r>
      <w:r>
        <w:t xml:space="preserve"> </w:t>
      </w:r>
      <w:r>
        <w:rPr>
          <w:i/>
          <w:iCs/>
        </w:rPr>
        <w:t xml:space="preserve">single</w:t>
      </w:r>
      <w:r>
        <w:t xml:space="preserve"> </w:t>
      </w:r>
      <w:r>
        <w:t xml:space="preserve">number but its value just shifts because the underlying curve is now bent rather than straight.</w:t>
      </w:r>
    </w:p>
    <w:p>
      <w:pPr>
        <w:pStyle w:val="Compact"/>
        <w:numPr>
          <w:ilvl w:val="0"/>
          <w:numId w:val="1004"/>
        </w:numPr>
      </w:pPr>
      <m:oMath>
        <m:r>
          <m:t>z</m:t>
        </m:r>
      </m:oMath>
      <w:r>
        <w:rPr>
          <w:b/>
          <w:bCs/>
        </w:rPr>
        <w:t xml:space="preserve"> </w:t>
      </w:r>
      <w:r>
        <w:rPr>
          <w:b/>
          <w:bCs/>
        </w:rPr>
        <w:t xml:space="preserve">becomes a function of temperature.</w:t>
      </w:r>
      <w:r>
        <w:t xml:space="preserve"> </w:t>
      </w:r>
      <w:r>
        <w:t xml:space="preserve">Since</w:t>
      </w:r>
      <w:r>
        <w:t xml:space="preserve"> </w:t>
      </w:r>
      <m:oMath>
        <m:r>
          <m:t>z</m:t>
        </m:r>
      </m:oMath>
      <w:r>
        <w:t xml:space="preserve"> </w:t>
      </w:r>
      <w:r>
        <w:t xml:space="preserve">is defined by the local rate of change of</w:t>
      </w:r>
      <w:r>
        <w:t xml:space="preserve"> </w:t>
      </w:r>
      <m:oMath>
        <m:sSub>
          <m:e>
            <m:r>
              <m:rPr>
                <m:sty m:val="p"/>
              </m:rPr>
              <m:t>log</m:t>
            </m:r>
          </m:e>
          <m:sub>
            <m:r>
              <m:t>10</m:t>
            </m:r>
          </m:sub>
        </m:sSub>
        <m:r>
          <m:rPr>
            <m:nor/>
            <m:sty m:val="p"/>
          </m:rPr>
          <m:t>LT50</m:t>
        </m:r>
      </m:oMath>
      <w:r>
        <w:t xml:space="preserve"> </w:t>
      </w:r>
      <w:r>
        <w:t xml:space="preserve">with</w:t>
      </w:r>
      <w:r>
        <w:t xml:space="preserve"> </w:t>
      </w:r>
      <m:oMath>
        <m:r>
          <m:t>T</m:t>
        </m:r>
      </m:oMath>
      <w:r>
        <w:t xml:space="preserve">,</w:t>
      </w:r>
      <w:r>
        <w:t xml:space="preserve"> </w:t>
      </w:r>
      <m:oMath>
        <m:r>
          <m:t>z</m:t>
        </m:r>
        <m:d>
          <m:dPr>
            <m:begChr m:val="("/>
            <m:sepChr m:val=""/>
            <m:endChr m:val=")"/>
            <m:grow/>
          </m:dPr>
          <m:e>
            <m:r>
              <m:t>T</m:t>
            </m:r>
          </m:e>
        </m:d>
        <m:r>
          <m:rPr>
            <m:sty m:val="p"/>
          </m:rPr>
          <m:t>=</m:t>
        </m:r>
        <m:r>
          <m:rPr>
            <m:sty m:val="p"/>
          </m:rPr>
          <m:t>−</m:t>
        </m:r>
        <m:r>
          <m:t>1</m:t>
        </m:r>
        <m:r>
          <m:rPr>
            <m:sty m:val="p"/>
          </m:rPr>
          <m:t>/</m:t>
        </m:r>
        <m:f>
          <m:fPr>
            <m:type m:val="lin"/>
          </m:fPr>
          <m:num>
            <m:r>
              <m:t>d</m:t>
            </m:r>
            <m:sSub>
              <m:e>
                <m:r>
                  <m:rPr>
                    <m:sty m:val="p"/>
                  </m:rPr>
                  <m:t>log</m:t>
                </m:r>
              </m:e>
              <m:sub>
                <m:r>
                  <m:t>10</m:t>
                </m:r>
              </m:sub>
            </m:sSub>
            <m:r>
              <m:rPr>
                <m:nor/>
                <m:sty m:val="p"/>
              </m:rPr>
              <m:t>LT50</m:t>
            </m:r>
            <m:d>
              <m:dPr>
                <m:begChr m:val="("/>
                <m:sepChr m:val=""/>
                <m:endChr m:val=")"/>
                <m:grow/>
              </m:dPr>
              <m:e>
                <m:r>
                  <m:t>T</m:t>
                </m:r>
              </m:e>
            </m:d>
          </m:num>
          <m:den>
            <m:r>
              <m:t>d</m:t>
            </m:r>
            <m:r>
              <m:t>T</m:t>
            </m:r>
          </m:den>
        </m:f>
      </m:oMath>
      <w:r>
        <w:t xml:space="preserve">. In other words, the local slope of</w:t>
      </w:r>
      <w:r>
        <w:t xml:space="preserve"> </w:t>
      </w:r>
      <m:oMath>
        <m:sSub>
          <m:e>
            <m:r>
              <m:rPr>
                <m:sty m:val="p"/>
              </m:rPr>
              <m:t>log</m:t>
            </m:r>
          </m:e>
          <m:sub>
            <m:r>
              <m:t>10</m:t>
            </m:r>
          </m:sub>
        </m:sSub>
        <m:r>
          <m:rPr>
            <m:nor/>
            <m:sty m:val="p"/>
          </m:rPr>
          <m:t>LT50</m:t>
        </m:r>
      </m:oMath>
      <w:r>
        <w:t xml:space="preserve"> </w:t>
      </w:r>
      <w:r>
        <w:t xml:space="preserve">at any given</w:t>
      </w:r>
      <w:r>
        <w:t xml:space="preserve"> </w:t>
      </w:r>
      <m:oMath>
        <m:r>
          <m:t>T</m:t>
        </m:r>
      </m:oMath>
      <w:r>
        <w:t xml:space="preserve"> </w:t>
      </w:r>
      <w:r>
        <w:t xml:space="preserve">varies across the assay range because the shape of the dose-response curve changes with</w:t>
      </w:r>
      <w:r>
        <w:t xml:space="preserve"> </w:t>
      </w:r>
      <m:oMath>
        <m:r>
          <m:t>T</m:t>
        </m:r>
      </m:oMath>
      <w:r>
        <w:t xml:space="preserve">. This curvature leads to the infinitesimal rates (local slopes) changing which affects the overall sensitivity,</w:t>
      </w:r>
      <w:r>
        <w:t xml:space="preserve"> </w:t>
      </w:r>
      <w:r>
        <w:rPr>
          <w:i/>
          <w:iCs/>
        </w:rPr>
        <w:t xml:space="preserve">z</w:t>
      </w:r>
      <w:r>
        <w:t xml:space="preserve">. In these cases, it’s better to estimate the local slope first. An overall</w:t>
      </w:r>
      <w:r>
        <w:t xml:space="preserve"> </w:t>
      </w:r>
      <m:oMath>
        <m:r>
          <m:t>z</m:t>
        </m:r>
      </m:oMath>
      <w:r>
        <w:t xml:space="preserve"> </w:t>
      </w:r>
      <w:r>
        <w:t xml:space="preserve">can then be obtained by averaging the local slopes if a single summary is needed (pooling the posteriors).</w:t>
      </w:r>
    </w:p>
    <w:p>
      <w:pPr>
        <w:pStyle w:val="Compact"/>
        <w:numPr>
          <w:ilvl w:val="0"/>
          <w:numId w:val="1004"/>
        </w:numPr>
      </w:pPr>
      <m:oMath>
        <m:r>
          <m:t>C</m:t>
        </m:r>
        <m:sSub>
          <m:e>
            <m:r>
              <m:t>T</m:t>
            </m:r>
          </m:e>
          <m:sub>
            <m:r>
              <m:t>m</m:t>
            </m:r>
            <m:r>
              <m:t>a</m:t>
            </m:r>
            <m:r>
              <m:t>x</m:t>
            </m:r>
          </m:sub>
        </m:sSub>
      </m:oMath>
      <w:r>
        <w:rPr>
          <w:b/>
          <w:bCs/>
        </w:rPr>
        <w:t xml:space="preserve"> </w:t>
      </w:r>
      <w:r>
        <w:rPr>
          <w:b/>
          <w:bCs/>
        </w:rPr>
        <w:t xml:space="preserve">has no closed form.</w:t>
      </w:r>
      <w:r>
        <w:t xml:space="preserve"> </w:t>
      </w:r>
      <w:r>
        <w:t xml:space="preserve">We now need to solve</w:t>
      </w:r>
      <w:r>
        <w:t xml:space="preserve"> </w:t>
      </w:r>
      <m:oMath>
        <m:sSub>
          <m:e>
            <m:r>
              <m:rPr>
                <m:sty m:val="p"/>
              </m:rPr>
              <m:t>log</m:t>
            </m:r>
          </m:e>
          <m:sub>
            <m:r>
              <m:t>10</m:t>
            </m:r>
          </m:sub>
        </m:sSub>
        <m:r>
          <m:rPr>
            <m:nor/>
            <m:sty m:val="p"/>
          </m:rPr>
          <m:t>LT50</m:t>
        </m:r>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w:t>
      </w:r>
      <w:r>
        <w:t xml:space="preserve">for</w:t>
      </w:r>
      <w:r>
        <w:t xml:space="preserve"> </w:t>
      </w:r>
      <m:oMath>
        <m:r>
          <m:t>T</m:t>
        </m:r>
      </m:oMath>
      <w:r>
        <w:t xml:space="preserve"> </w:t>
      </w:r>
      <w:r>
        <w:t xml:space="preserve">per posterior draw — recovered numerically by predicting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from the model on a fine</w:t>
      </w:r>
      <w:r>
        <w:t xml:space="preserve"> </w:t>
      </w:r>
      <m:oMath>
        <m:r>
          <m:t>T</m:t>
        </m:r>
      </m:oMath>
      <w:r>
        <w:t xml:space="preserve"> </w:t>
      </w:r>
      <w:r>
        <w:t xml:space="preserve">grid and inverting with</w:t>
      </w:r>
      <w:r>
        <w:t xml:space="preserve"> </w:t>
      </w:r>
      <w:r>
        <w:rPr>
          <w:rStyle w:val="VerbatimChar"/>
        </w:rPr>
        <w:t xml:space="preserve">approx()</w:t>
      </w:r>
      <w:r>
        <w:t xml:space="preserve">. The output is the same kind of posterior we already have, just produced numerically rather than algebraically.</w:t>
      </w:r>
    </w:p>
    <w:bookmarkStart w:id="179" w:name="sec-joint-extend-recipe"/>
    <w:p>
      <w:pPr>
        <w:pStyle w:val="Heading4"/>
      </w:pPr>
      <w:r>
        <w:t xml:space="preserve">15.0.6.1 A numerical recipe for</w:t>
      </w:r>
      <w:r>
        <w:t xml:space="preserve"> </w:t>
      </w:r>
      <m:oMath>
        <m:r>
          <m:t>z</m:t>
        </m:r>
      </m:oMath>
      <w:r>
        <w:t xml:space="preserve"> </w:t>
      </w:r>
      <w:r>
        <w:t xml:space="preserve">and</w:t>
      </w:r>
      <w:r>
        <w:t xml:space="preserve"> </w:t>
      </w:r>
      <m:oMath>
        <m:r>
          <m:t>C</m:t>
        </m:r>
        <m:sSub>
          <m:e>
            <m:r>
              <m:t>T</m:t>
            </m:r>
          </m:e>
          <m:sub>
            <m:r>
              <m:t>m</m:t>
            </m:r>
            <m:r>
              <m:t>a</m:t>
            </m:r>
            <m:r>
              <m:t>x</m:t>
            </m:r>
          </m:sub>
        </m:sSub>
      </m:oMath>
    </w:p>
    <w:p>
      <w:pPr>
        <w:pStyle w:val="FirstParagraph"/>
      </w:pPr>
      <w:r>
        <w:t xml:space="preserve">The simplest way to recover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a fitted model — whether shape parameters are constant or vary with</w:t>
      </w:r>
      <w:r>
        <w:t xml:space="preserve"> </w:t>
      </w:r>
      <m:oMath>
        <m:r>
          <m:t>T</m:t>
        </m:r>
      </m:oMath>
      <w:r>
        <w:t xml:space="preserve"> </w:t>
      </w:r>
      <w:r>
        <w:t xml:space="preserve">— is to</w:t>
      </w:r>
      <w:r>
        <w:t xml:space="preserve"> </w:t>
      </w:r>
      <w:r>
        <w:rPr>
          <w:b/>
          <w:bCs/>
        </w:rPr>
        <w:t xml:space="preserve">predict survival probabilities from the model</w:t>
      </w:r>
      <w:r>
        <w:t xml:space="preserve"> </w:t>
      </w:r>
      <w:r>
        <w:t xml:space="preserve">on a fine</w:t>
      </w:r>
      <w:r>
        <w:t xml:space="preserve"> </w:t>
      </w:r>
      <m:oMath>
        <m:d>
          <m:dPr>
            <m:begChr m:val="("/>
            <m:sepChr m:val=""/>
            <m:endChr m:val=")"/>
            <m:grow/>
          </m:dPr>
          <m:e>
            <m:r>
              <m:t>T</m:t>
            </m:r>
            <m:r>
              <m:rPr>
                <m:sty m:val="p"/>
              </m:rPr>
              <m:t>,</m:t>
            </m:r>
            <m:r>
              <m:t>t</m:t>
            </m:r>
          </m:e>
        </m:d>
      </m:oMath>
      <w:r>
        <w:t xml:space="preserve"> </w:t>
      </w:r>
      <w:r>
        <w:t xml:space="preserve">grid and interpolate. We can use</w:t>
      </w:r>
      <w:r>
        <w:t xml:space="preserve"> </w:t>
      </w:r>
      <w:r>
        <w:rPr>
          <w:rStyle w:val="VerbatimChar"/>
        </w:rPr>
        <w:t xml:space="preserve">tidybayes::add_epred_draws()</w:t>
      </w:r>
      <w:r>
        <w:t xml:space="preserve"> </w:t>
      </w:r>
      <w:r>
        <w:t xml:space="preserve">for the prediction and base R’s</w:t>
      </w:r>
      <w:r>
        <w:t xml:space="preserve"> </w:t>
      </w:r>
      <w:r>
        <w:rPr>
          <w:rStyle w:val="VerbatimChar"/>
        </w:rPr>
        <w:t xml:space="preserve">approx()</w:t>
      </w:r>
      <w:r>
        <w:t xml:space="preserve"> </w:t>
      </w:r>
      <w:r>
        <w:t xml:space="preserve">for the interpolation. The same code runs whether the fit has constant shape parameters or shape parameters that vary with</w:t>
      </w:r>
      <w:r>
        <w:t xml:space="preserve"> </w:t>
      </w:r>
      <m:oMath>
        <m:r>
          <m:t>T</m:t>
        </m:r>
      </m:oMath>
      <w:r>
        <w:t xml:space="preserve">.</w:t>
      </w:r>
    </w:p>
    <w:p>
      <w:pPr>
        <w:pStyle w:val="SourceCode"/>
      </w:pPr>
      <w:r>
        <w:rPr>
          <w:rStyle w:val="CommentTok"/>
        </w:rPr>
        <w:t xml:space="preserve"># Temperatures at which we'll evaluate z. When shape parameters depend on T,</w:t>
      </w:r>
      <w:r>
        <w:br/>
      </w:r>
      <w:r>
        <w:rPr>
          <w:rStyle w:val="CommentTok"/>
        </w:rPr>
        <w:t xml:space="preserve"># z is itself a function of T, so we compute it at each of the original assay</w:t>
      </w:r>
      <w:r>
        <w:br/>
      </w:r>
      <w:r>
        <w:rPr>
          <w:rStyle w:val="CommentTok"/>
        </w:rPr>
        <w:t xml:space="preserve"># temperatures and report the full set rather than a single number.</w:t>
      </w:r>
      <w:r>
        <w:br/>
      </w:r>
      <w:r>
        <w:rPr>
          <w:rStyle w:val="NormalTok"/>
        </w:rPr>
        <w:t xml:space="preserve">T_eval </w:t>
      </w:r>
      <w:r>
        <w:rPr>
          <w:rStyle w:val="OtherTok"/>
        </w:rPr>
        <w:t xml:space="preserve">&lt;-</w:t>
      </w:r>
      <w:r>
        <w:rPr>
          <w:rStyle w:val="NormalTok"/>
        </w:rPr>
        <w:t xml:space="preserve"> temps</w:t>
      </w:r>
      <w:r>
        <w:br/>
      </w:r>
      <w:r>
        <w:rPr>
          <w:rStyle w:val="NormalTok"/>
        </w:rPr>
        <w:t xml:space="preserve">half_step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half-width (°C) of the central finite difference window</w:t>
      </w:r>
      <w:r>
        <w:br/>
      </w:r>
      <w:r>
        <w:br/>
      </w:r>
      <w:r>
        <w:rPr>
          <w:rStyle w:val="CommentTok"/>
        </w:rPr>
        <w:t xml:space="preserve"># Build a (T, t) grid covering the assay window. The columns log10_t, T_c, and</w:t>
      </w:r>
      <w:r>
        <w:br/>
      </w:r>
      <w:r>
        <w:rPr>
          <w:rStyle w:val="CommentTok"/>
        </w:rPr>
        <w:t xml:space="preserve"># n must match the variables the fitted model expects on its input side — they</w:t>
      </w:r>
      <w:r>
        <w:br/>
      </w:r>
      <w:r>
        <w:rPr>
          <w:rStyle w:val="CommentTok"/>
        </w:rPr>
        <w:t xml:space="preserve"># are exactly the same as the columns of `design` used to fit the model.</w:t>
      </w:r>
      <w:r>
        <w:br/>
      </w:r>
      <w:r>
        <w:rPr>
          <w:rStyle w:val="NormalTok"/>
        </w:rPr>
        <w:t xml:space="preserve">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CommentTok"/>
        </w:rPr>
        <w:t xml:space="preserve"># Now, from the fitted model, draw posterior expected survival probabilities</w:t>
      </w:r>
      <w:r>
        <w:br/>
      </w:r>
      <w:r>
        <w:rPr>
          <w:rStyle w:val="CommentTok"/>
        </w:rPr>
        <w:t xml:space="preserve"># at every point in the (T, t) grid. `add_epred_draws()` returns a long tibble</w:t>
      </w:r>
      <w:r>
        <w:br/>
      </w:r>
      <w:r>
        <w:rPr>
          <w:rStyle w:val="CommentTok"/>
        </w:rPr>
        <w:t xml:space="preserve"># with one row per (grid point × posterior draw); the column .epred is the</w:t>
      </w:r>
      <w:r>
        <w:br/>
      </w:r>
      <w:r>
        <w:rPr>
          <w:rStyle w:val="CommentTok"/>
        </w:rPr>
        <w:t xml:space="preserve"># predicted survival probability under that draw. ndraws keeps it manageable.</w:t>
      </w:r>
      <w:r>
        <w:br/>
      </w:r>
      <w:r>
        <w:rPr>
          <w:rStyle w:val="NormalTok"/>
        </w:rPr>
        <w:t xml:space="preserve">epred </w:t>
      </w:r>
      <w:r>
        <w:rPr>
          <w:rStyle w:val="OtherTok"/>
        </w:rPr>
        <w:t xml:space="preserve">&lt;-</w:t>
      </w:r>
      <w:r>
        <w:rPr>
          <w:rStyle w:val="NormalTok"/>
        </w:rPr>
        <w:t xml:space="preserve"> pred_grid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(fit_bin,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CommentTok"/>
        </w:rPr>
        <w:t xml:space="preserve"># For each (draw, T) we find the duration t at which predicted survival</w:t>
      </w:r>
      <w:r>
        <w:br/>
      </w:r>
      <w:r>
        <w:rPr>
          <w:rStyle w:val="CommentTok"/>
        </w:rPr>
        <w:t xml:space="preserve"># crosses 0.5 — that's log10(LT50)(T) for that draw. Linear interpolation</w:t>
      </w:r>
      <w:r>
        <w:br/>
      </w:r>
      <w:r>
        <w:rPr>
          <w:rStyle w:val="CommentTok"/>
        </w:rPr>
        <w:t xml:space="preserve"># through the grid via approx() avoids any need for root-finding.</w:t>
      </w:r>
      <w:r>
        <w:br/>
      </w:r>
      <w:r>
        <w:rPr>
          <w:rStyle w:val="NormalTok"/>
        </w:rPr>
        <w:t xml:space="preserve">lt50_T </w:t>
      </w:r>
      <w:r>
        <w:rPr>
          <w:rStyle w:val="OtherTok"/>
        </w:rPr>
        <w:t xml:space="preserve">&lt;-</w:t>
      </w:r>
      <w:r>
        <w:rPr>
          <w:rStyle w:val="NormalTok"/>
        </w:rPr>
        <w:t xml:space="preserve"> epred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Per posterior draw, compute z at each evaluation temperature in T_eval via</w:t>
      </w:r>
      <w:r>
        <w:br/>
      </w:r>
      <w:r>
        <w:rPr>
          <w:rStyle w:val="CommentTok"/>
        </w:rPr>
        <w:t xml:space="preserve"># a central finite difference on the lt50_T grid. For each T_at we approx()</w:t>
      </w:r>
      <w:r>
        <w:br/>
      </w:r>
      <w:r>
        <w:rPr>
          <w:rStyle w:val="CommentTok"/>
        </w:rPr>
        <w:t xml:space="preserve"># log10(LT50) at T_at ± half_step and divide the difference by the full step</w:t>
      </w:r>
      <w:r>
        <w:br/>
      </w:r>
      <w:r>
        <w:rPr>
          <w:rStyle w:val="CommentTok"/>
        </w:rPr>
        <w:t xml:space="preserve"># (2 * half_step, in °C) to get the slope; z = -1 / slope.</w:t>
      </w:r>
      <w:r>
        <w:br/>
      </w:r>
      <w:r>
        <w:rPr>
          <w:rStyle w:val="NormalTok"/>
        </w:rPr>
        <w:t xml:space="preserve">z_per_draw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CommentTok"/>
        </w:rPr>
        <w:t xml:space="preserve"># Per posterior draw, CTmax_1hr is the temperature at which log10(LT50) =</w:t>
      </w:r>
      <w:r>
        <w:br/>
      </w:r>
      <w:r>
        <w:rPr>
          <w:rStyle w:val="CommentTok"/>
        </w:rPr>
        <w:t xml:space="preserve"># log10(60). It is a single number per draw (does not depend on T_eval).</w:t>
      </w:r>
      <w:r>
        <w:br/>
      </w:r>
      <w:r>
        <w:rPr>
          <w:rStyle w:val="NormalTok"/>
        </w:rPr>
        <w:t xml:space="preserve">ctmax_per_draw </w:t>
      </w:r>
      <w:r>
        <w:rPr>
          <w:rStyle w:val="OtherTok"/>
        </w:rPr>
        <w:t xml:space="preserve">&lt;-</w:t>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summary of z at each evaluation temperature: median and 95% CrI.</w:t>
      </w:r>
      <w:r>
        <w:br/>
      </w:r>
      <w:r>
        <w:rPr>
          <w:rStyle w:val="NormalTok"/>
        </w:rPr>
        <w:t xml:space="preserve">z_per_draw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1    30  6.68  6.57  6.81</w:t>
      </w:r>
      <w:r>
        <w:br/>
      </w:r>
      <w:r>
        <w:rPr>
          <w:rStyle w:val="VerbatimChar"/>
        </w:rPr>
        <w:t xml:space="preserve">2    32  6.68  6.57  6.81</w:t>
      </w:r>
      <w:r>
        <w:br/>
      </w:r>
      <w:r>
        <w:rPr>
          <w:rStyle w:val="VerbatimChar"/>
        </w:rPr>
        <w:t xml:space="preserve">3    34  6.68  6.57  6.81</w:t>
      </w:r>
      <w:r>
        <w:br/>
      </w:r>
      <w:r>
        <w:rPr>
          <w:rStyle w:val="VerbatimChar"/>
        </w:rPr>
        <w:t xml:space="preserve">4    36  6.68  6.57  6.81</w:t>
      </w:r>
      <w:r>
        <w:br/>
      </w:r>
      <w:r>
        <w:rPr>
          <w:rStyle w:val="VerbatimChar"/>
        </w:rPr>
        <w:t xml:space="preserve">5    38  6.68  6.57  6.81</w:t>
      </w:r>
    </w:p>
    <w:p>
      <w:pPr>
        <w:pStyle w:val="SourceCode"/>
      </w:pPr>
      <w:r>
        <w:rPr>
          <w:rStyle w:val="CommentTok"/>
        </w:rPr>
        <w:t xml:space="preserve"># Posterior summary of CTmax_1hr.</w:t>
      </w:r>
      <w:r>
        <w:br/>
      </w:r>
      <w:r>
        <w:rPr>
          <w:rStyle w:val="NormalTok"/>
        </w:rPr>
        <w:t xml:space="preserve">ctmax_per_draw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1          32.1         32.1         32.2</w:t>
      </w:r>
    </w:p>
    <w:p>
      <w:pPr>
        <w:pStyle w:val="FirstParagraph"/>
      </w:pPr>
      <w:r>
        <w:t xml:space="preserve">The posterior medians of</w:t>
      </w:r>
      <w:r>
        <w:t xml:space="preserve"> </w:t>
      </w:r>
      <m:oMath>
        <m:r>
          <m:t>z</m:t>
        </m:r>
      </m:oMath>
      <w:r>
        <w:t xml:space="preserve"> </w:t>
      </w:r>
      <w:r>
        <w:t xml:space="preserve">at each of the five assay temperatures are essentially identical to one another, and the common value matches the closed-form posterior median of</w:t>
      </w:r>
      <w:r>
        <w:t xml:space="preserve"> </w:t>
      </w:r>
      <m:oMath>
        <m:r>
          <m:t>z</m:t>
        </m:r>
      </m:oMath>
      <w:r>
        <w:t xml:space="preserve"> </w:t>
      </w:r>
      <w:r>
        <w:t xml:space="preserve">from</w:t>
      </w:r>
      <w:r>
        <w:t xml:space="preserve"> </w:t>
      </w:r>
      <w:hyperlink w:anchor="sec-joint-derive">
        <w:r>
          <w:rPr>
            <w:rStyle w:val="Hyperlink"/>
          </w:rPr>
          <w:t xml:space="preserve">Section 15.0.4</w:t>
        </w:r>
      </w:hyperlink>
      <w:r>
        <w:t xml:space="preserve"> </w:t>
      </w:r>
      <w:r>
        <w:t xml:space="preserve">— exactly as expected for a fit with linear</w:t>
      </w:r>
      <w:r>
        <w:t xml:space="preserve"> </w:t>
      </w:r>
      <w:r>
        <w:rPr>
          <w:rStyle w:val="VerbatimChar"/>
        </w:rPr>
        <w:t xml:space="preserve">mid(T)</w:t>
      </w:r>
      <w:r>
        <w:t xml:space="preserve"> </w:t>
      </w:r>
      <w:r>
        <w:t xml:space="preserve">and constant shape parameters, where</w:t>
      </w:r>
      <w:r>
        <w:t xml:space="preserve"> </w:t>
      </w:r>
      <m:oMath>
        <m:r>
          <m:t>z</m:t>
        </m:r>
      </m:oMath>
      <w:r>
        <w:t xml:space="preserve"> </w:t>
      </w:r>
      <w:r>
        <w:t xml:space="preserve">does not depend on temperature. This flatness is the sanity check; if the same recipe is applied to a fit that lets the shape parameters vary with</w:t>
      </w:r>
      <w:r>
        <w:t xml:space="preserve"> </w:t>
      </w:r>
      <m:oMath>
        <m:r>
          <m:t>T</m:t>
        </m:r>
      </m:oMath>
      <w:r>
        <w:t xml:space="preserve"> </w:t>
      </w:r>
      <w:r>
        <w:t xml:space="preserve">(e.g. </w:t>
      </w:r>
      <w:r>
        <w:rPr>
          <w:rStyle w:val="VerbatimChar"/>
        </w:rPr>
        <w:t xml:space="preserve">k ~ T_c</w:t>
      </w:r>
      <w:r>
        <w:t xml:space="preserve">), the same output will show</w:t>
      </w:r>
      <w:r>
        <w:t xml:space="preserve"> </w:t>
      </w:r>
      <m:oMath>
        <m:r>
          <m:t>z</m:t>
        </m:r>
      </m:oMath>
      <w:r>
        <w:t xml:space="preserve"> </w:t>
      </w:r>
      <w:r>
        <w:t xml:space="preserve">varying across the assay range, as it should.</w:t>
      </w:r>
      <w:r>
        <w:t xml:space="preserve"> </w:t>
      </w:r>
      <m:oMath>
        <m:r>
          <m:t>C</m:t>
        </m:r>
        <m:sSub>
          <m:e>
            <m:r>
              <m:t>T</m:t>
            </m:r>
          </m:e>
          <m:sub>
            <m:r>
              <m:t>m</m:t>
            </m:r>
            <m:r>
              <m:t>a</m:t>
            </m:r>
            <m:sSub>
              <m:e>
                <m:r>
                  <m:t>x</m:t>
                </m:r>
              </m:e>
              <m:sub>
                <m:r>
                  <m:t>1</m:t>
                </m:r>
                <m:r>
                  <m:t>h</m:t>
                </m:r>
                <m:r>
                  <m:t>r</m:t>
                </m:r>
              </m:sub>
            </m:sSub>
          </m:sub>
        </m:sSub>
      </m:oMath>
      <w:r>
        <w:t xml:space="preserve"> </w:t>
      </w:r>
      <w:r>
        <w:t xml:space="preserve">likewise reproduces the closed-form posterior in</w:t>
      </w:r>
      <w:r>
        <w:t xml:space="preserve"> </w:t>
      </w:r>
      <w:r>
        <w:rPr>
          <w:rStyle w:val="VerbatimChar"/>
        </w:rPr>
        <w:t xml:space="preserve">draws_bin_d</w:t>
      </w:r>
      <w:r>
        <w:t xml:space="preserve"> </w:t>
      </w:r>
      <w:r>
        <w:t xml:space="preserve">from</w:t>
      </w:r>
      <w:r>
        <w:t xml:space="preserve"> </w:t>
      </w:r>
      <w:hyperlink w:anchor="sec-joint-derive">
        <w:r>
          <w:rPr>
            <w:rStyle w:val="Hyperlink"/>
          </w:rPr>
          <w:t xml:space="preserve">Section 15.0.4</w:t>
        </w:r>
      </w:hyperlink>
      <w:r>
        <w:t xml:space="preserve">.</w:t>
      </w:r>
    </w:p>
    <w:bookmarkEnd w:id="179"/>
    <w:bookmarkStart w:id="185" w:name="sec-joint-extend-example"/>
    <w:p>
      <w:pPr>
        <w:pStyle w:val="Heading4"/>
      </w:pPr>
      <w:r>
        <w:t xml:space="preserve">15.0.6.2 Demonstrating changes with temperature-varying shape parameters</w:t>
      </w:r>
    </w:p>
    <w:p>
      <w:pPr>
        <w:pStyle w:val="FirstParagraph"/>
      </w:pPr>
      <w:r>
        <w:t xml:space="preserve">To make the points above concrete, we re-simulate beta-binomial data on the same factorial design as the simple case, but now both the dose-response steepness</w:t>
      </w:r>
      <w:r>
        <w:t xml:space="preserve"> </w:t>
      </w:r>
      <m:oMath>
        <m:r>
          <m:t>k</m:t>
        </m:r>
      </m:oMath>
      <w:r>
        <w:t xml:space="preserve"> </w:t>
      </w:r>
      <w:r>
        <w:t xml:space="preserve">and the upper asymptote</w:t>
      </w:r>
      <w:r>
        <w:t xml:space="preserve"> </w:t>
      </w:r>
      <m:oMath>
        <m:r>
          <m:t>u</m:t>
        </m:r>
      </m:oMath>
      <w:r>
        <w:t xml:space="preserve"> </w:t>
      </w:r>
      <w:r>
        <w:t xml:space="preserve">vary linearly with assay temperature. We then fit the joint Bayesian 4PL with the corresponding</w:t>
      </w:r>
      <w:r>
        <w:t xml:space="preserve"> </w:t>
      </w:r>
      <w:r>
        <w:rPr>
          <w:rStyle w:val="VerbatimChar"/>
        </w:rPr>
        <w:t xml:space="preserve">bf()</w:t>
      </w:r>
      <w:r>
        <w:t xml:space="preserve"> </w:t>
      </w:r>
      <w:r>
        <w:t xml:space="preserve">formula and apply the same predict-and-interpolate recipe.</w:t>
      </w:r>
    </w:p>
    <w:p>
      <w:pPr>
        <w:pStyle w:val="SourceCode"/>
      </w:pPr>
      <w:r>
        <w:rPr>
          <w:rStyle w:val="CommentTok"/>
        </w:rPr>
        <w:t xml:space="preserve"># (Re-defined here so this chunk can be run independently of the earlier</w:t>
      </w:r>
      <w:r>
        <w:br/>
      </w:r>
      <w:r>
        <w:rPr>
          <w:rStyle w:val="CommentTok"/>
        </w:rPr>
        <w:t xml:space="preserve"># simulation. Same values as the original `sim-design` chunk in @sec-sim-step2.)</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exposure durations (min)</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beta-binomial dispersion</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w:t>
      </w:r>
      <w:r>
        <w:rPr>
          <w:rStyle w:val="DecValTok"/>
        </w:rPr>
        <w:t xml:space="preserve">34</w:t>
      </w:r>
      <w:r>
        <w:rPr>
          <w:rStyle w:val="NormalTok"/>
        </w:rPr>
        <w:t xml:space="preserve">,                            </w:t>
      </w:r>
      <w:r>
        <w:rPr>
          <w:rStyle w:val="CommentTok"/>
        </w:rPr>
        <w:t xml:space="preserve"># mean-centred T (T_bar = 34)</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CommentTok"/>
        </w:rPr>
        <w:t xml:space="preserve"># Truth is defined on a constrained raw scale. This keeps ell in [0, 0.49],</w:t>
      </w:r>
      <w:r>
        <w:br/>
      </w:r>
      <w:r>
        <w:rPr>
          <w:rStyle w:val="CommentTok"/>
        </w:rPr>
        <w:t xml:space="preserve"># u in [0.51, 1], and k positive at every assay temperature. Those constraints</w:t>
      </w:r>
      <w:r>
        <w:br/>
      </w:r>
      <w:r>
        <w:rPr>
          <w:rStyle w:val="CommentTok"/>
        </w:rPr>
        <w:t xml:space="preserve"># avoid the label-switching and invalid-curve geometry that make identity-scale</w:t>
      </w:r>
      <w:r>
        <w:br/>
      </w:r>
      <w:r>
        <w:rPr>
          <w:rStyle w:val="CommentTok"/>
        </w:rPr>
        <w:t xml:space="preserve"># 4PL fits mix poorly when u and k vary with temperature.</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0.20</w:t>
      </w:r>
      <w:r>
        <w:rPr>
          <w:rStyle w:val="NormalTok"/>
        </w:rPr>
        <w:t xml:space="preserve">,                        </w:t>
      </w:r>
      <w:r>
        <w:rPr>
          <w:rStyle w:val="CommentTok"/>
        </w:rPr>
        <w:t xml:space="preserve"># u declines as T rises</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0.10</w:t>
      </w:r>
      <w:r>
        <w:rPr>
          <w:rStyle w:val="NormalTok"/>
        </w:rPr>
        <w:t xml:space="preserve">,                         </w:t>
      </w:r>
      <w:r>
        <w:rPr>
          <w:rStyle w:val="CommentTok"/>
        </w:rPr>
        <w:t xml:space="preserve"># k rises as T rises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CommentTok"/>
        </w:rPr>
        <w:t xml:space="preserve"># Build per-cell true survival probabilities and draw beta-binomial counts.</w:t>
      </w:r>
      <w:r>
        <w:br/>
      </w:r>
      <w:r>
        <w:rPr>
          <w:rStyle w:val="CommentTok"/>
        </w:rPr>
        <w:t xml:space="preserve"># (mutate keeps all columns of `design`; mid and p_true from the original</w:t>
      </w:r>
      <w:r>
        <w:br/>
      </w:r>
      <w:r>
        <w:rPr>
          <w:rStyle w:val="CommentTok"/>
        </w:rPr>
        <w:t xml:space="preserve"># sim are overwritten in place with the new T-varying values.)</w:t>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           </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br/>
      </w:r>
      <w:r>
        <w:rPr>
          <w:rStyle w:val="NormalTok"/>
        </w:rPr>
        <w:t xml:space="preserve">             (u </w:t>
      </w:r>
      <w:r>
        <w:rPr>
          <w:rStyle w:val="SpecialCharTok"/>
        </w:rPr>
        <w:t xml:space="preserve">-</w:t>
      </w:r>
      <w:r>
        <w:rPr>
          <w:rStyle w:val="NormalTok"/>
        </w:rPr>
        <w:t xml:space="preserve"> 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Lets have a look at the data along with truth (</w:t>
      </w:r>
      <w:hyperlink w:anchor="suppfig-true-surface-ext">
        <w:r>
          <w:rPr>
            <w:rStyle w:val="Hyper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3" w:name="suppfig-true-surface-ext"/>
          <w:p>
            <w:pPr>
              <w:jc w:val="center"/>
            </w:pPr>
            <w:r>
              <w:drawing>
                <wp:inline>
                  <wp:extent cx="5943600" cy="3714750"/>
                  <wp:effectExtent b="0" l="0" r="0" t="0"/>
                  <wp:docPr descr="" title="" id="181" name="Picture"/>
                  <a:graphic>
                    <a:graphicData uri="http://schemas.openxmlformats.org/drawingml/2006/picture">
                      <pic:pic>
                        <pic:nvPicPr>
                          <pic:cNvPr descr="ms/supplement_files/figure-docx/plot-true-surface-ext-1.png" id="182" name="Picture"/>
                          <pic:cNvPicPr>
                            <a:picLocks noChangeArrowheads="1" noChangeAspect="1"/>
                          </pic:cNvPicPr>
                        </pic:nvPicPr>
                        <pic:blipFill>
                          <a:blip r:embed="rId180"/>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linearly with assay temperature, overlaid on the simulated beta-binomial counts (points). One coloured curve and a corresponding cloud of points per assay temperature; the horizontal dashed line marks 50% survival.</w:t>
            </w:r>
          </w:p>
          <w:bookmarkEnd w:id="183"/>
        </w:tc>
      </w:tr>
    </w:tbl>
    <w:p>
      <w:pPr>
        <w:pStyle w:val="BodyText"/>
      </w:pPr>
      <w:r>
        <w:t xml:space="preserve">Now that we have the simulated data, let’s fit the model. The important change from the simple-model fit is that the four 4PL parameters are no longer fit directly on the identity scale — each one needs a different transformation because each has a different constraint: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Natural-scale constraint</w:t>
            </w:r>
          </w:p>
        </w:tc>
        <w:tc>
          <w:tcPr/>
          <w:p>
            <w:pPr>
              <w:pStyle w:val="Compact"/>
            </w:pPr>
            <w:r>
              <w:t xml:space="preserve">Transform used</w:t>
            </w:r>
          </w:p>
        </w:tc>
      </w:tr>
      <w:tr>
        <w:tc>
          <w:tcPr/>
          <w:p>
            <w:pPr>
              <w:pStyle w:val="Compact"/>
            </w:pPr>
            <w:r>
              <w:rPr>
                <w:rStyle w:val="VerbatimChar"/>
              </w:rPr>
              <w:t xml:space="preserve">ell</w:t>
            </w:r>
            <w:r>
              <w:t xml:space="preserve"> </w:t>
            </w:r>
            <w:r>
              <w:t xml:space="preserve">(lower asymptote)</w:t>
            </w:r>
          </w:p>
        </w:tc>
        <w:tc>
          <w:tcPr/>
          <w:p>
            <w:pPr>
              <w:pStyle w:val="Compact"/>
            </w:pPr>
            <m:oMath>
              <m:d>
                <m:dPr>
                  <m:begChr m:val="["/>
                  <m:sepChr m:val=""/>
                  <m:endChr m:val="]"/>
                  <m:grow/>
                </m:dPr>
                <m:e>
                  <m:r>
                    <m:t>0</m:t>
                  </m:r>
                  <m:r>
                    <m:rPr>
                      <m:sty m:val="p"/>
                    </m:rPr>
                    <m:t>,</m:t>
                  </m:r>
                  <m:r>
                    <m:t>0.49</m:t>
                  </m:r>
                </m:e>
              </m:d>
            </m:oMath>
          </w:p>
        </w:tc>
        <w:tc>
          <w:tcPr/>
          <w:p>
            <w:pPr>
              <w:pStyle w:val="Compact"/>
            </w:pPr>
            <w:r>
              <w:rPr>
                <w:rStyle w:val="VerbatimChar"/>
              </w:rPr>
              <w:t xml:space="preserve">0.49 * inv_logit(ellraw)</w:t>
            </w:r>
            <w:r>
              <w:t xml:space="preserve"> </w:t>
            </w:r>
            <w:r>
              <w:t xml:space="preserve">— squashes raw real to</w:t>
            </w:r>
            <w:r>
              <w:t xml:space="preserve"> </w:t>
            </w:r>
            <m:oMath>
              <m:d>
                <m:dPr>
                  <m:begChr m:val="("/>
                  <m:sepChr m:val=""/>
                  <m:endChr m:val=")"/>
                  <m:grow/>
                </m:dPr>
                <m:e>
                  <m:r>
                    <m:t>0</m:t>
                  </m:r>
                  <m:r>
                    <m:rPr>
                      <m:sty m:val="p"/>
                    </m:rPr>
                    <m:t>,</m:t>
                  </m:r>
                  <m:r>
                    <m:t>0.49</m:t>
                  </m:r>
                </m:e>
              </m:d>
            </m:oMath>
          </w:p>
        </w:tc>
      </w:tr>
      <w:tr>
        <w:tc>
          <w:tcPr/>
          <w:p>
            <w:pPr>
              <w:pStyle w:val="Compact"/>
            </w:pPr>
            <w:r>
              <w:rPr>
                <w:rStyle w:val="VerbatimChar"/>
              </w:rPr>
              <w:t xml:space="preserve">u</w:t>
            </w:r>
            <w:r>
              <w:t xml:space="preserve"> </w:t>
            </w:r>
            <w:r>
              <w:t xml:space="preserve">(upper asymptote)</w:t>
            </w:r>
          </w:p>
        </w:tc>
        <w:tc>
          <w:tcPr/>
          <w:p>
            <w:pPr>
              <w:pStyle w:val="Compact"/>
            </w:pPr>
            <m:oMath>
              <m:d>
                <m:dPr>
                  <m:begChr m:val="["/>
                  <m:sepChr m:val=""/>
                  <m:endChr m:val="]"/>
                  <m:grow/>
                </m:dPr>
                <m:e>
                  <m:r>
                    <m:t>0.51</m:t>
                  </m:r>
                  <m:r>
                    <m:rPr>
                      <m:sty m:val="p"/>
                    </m:rPr>
                    <m:t>,</m:t>
                  </m:r>
                  <m:r>
                    <m:t>1</m:t>
                  </m:r>
                </m:e>
              </m:d>
            </m:oMath>
          </w:p>
        </w:tc>
        <w:tc>
          <w:tcPr/>
          <w:p>
            <w:pPr>
              <w:pStyle w:val="Compact"/>
            </w:pPr>
            <w:r>
              <w:rPr>
                <w:rStyle w:val="VerbatimChar"/>
              </w:rPr>
              <w:t xml:space="preserve">0.51 + 0.49 * inv_logit(uraw)</w:t>
            </w:r>
            <w:r>
              <w:t xml:space="preserve"> </w:t>
            </w:r>
            <w:r>
              <w:t xml:space="preserve">— squashes raw real to</w:t>
            </w:r>
            <w:r>
              <w:t xml:space="preserve"> </w:t>
            </w:r>
            <m:oMath>
              <m:d>
                <m:dPr>
                  <m:begChr m:val="("/>
                  <m:sepChr m:val=""/>
                  <m:endChr m:val=")"/>
                  <m:grow/>
                </m:dPr>
                <m:e>
                  <m:r>
                    <m:t>0.51</m:t>
                  </m:r>
                  <m:r>
                    <m:rPr>
                      <m:sty m:val="p"/>
                    </m:rPr>
                    <m:t>,</m:t>
                  </m:r>
                  <m:r>
                    <m:t>1</m:t>
                  </m:r>
                </m:e>
              </m:d>
            </m:oMath>
          </w:p>
        </w:tc>
      </w:tr>
      <w:tr>
        <w:tc>
          <w:tcPr/>
          <w:p>
            <w:pPr>
              <w:pStyle w:val="Compact"/>
            </w:pPr>
            <w:r>
              <w:rPr>
                <w:rStyle w:val="VerbatimChar"/>
              </w:rPr>
              <w:t xml:space="preserve">k</w:t>
            </w:r>
            <w:r>
              <w:t xml:space="preserve"> </w:t>
            </w:r>
            <w:r>
              <w:t xml:space="preserve">(slope)</w:t>
            </w:r>
          </w:p>
        </w:tc>
        <w:tc>
          <w:tcPr/>
          <w:p>
            <w:pPr>
              <w:pStyle w:val="Compact"/>
            </w:pPr>
            <m:oMath>
              <m:r>
                <m:rPr>
                  <m:sty m:val="p"/>
                </m:rPr>
                <m:t>&gt;</m:t>
              </m:r>
              <m:r>
                <m:t>0</m:t>
              </m:r>
            </m:oMath>
          </w:p>
        </w:tc>
        <w:tc>
          <w:tcPr/>
          <w:p>
            <w:pPr>
              <w:pStyle w:val="Compact"/>
            </w:pPr>
            <w:r>
              <w:rPr>
                <w:rStyle w:val="VerbatimChar"/>
              </w:rPr>
              <w:t xml:space="preserve">exp(logk)</w:t>
            </w:r>
            <w:r>
              <w:t xml:space="preserve"> </w:t>
            </w:r>
            <w:r>
              <w:t xml:space="preserve">— squashes raw real to</w:t>
            </w:r>
            <w:r>
              <w:t xml:space="preserve"> </w:t>
            </w:r>
            <m:oMath>
              <m:d>
                <m:dPr>
                  <m:begChr m:val="("/>
                  <m:sepChr m:val=""/>
                  <m:endChr m:val=")"/>
                  <m:grow/>
                </m:dPr>
                <m:e>
                  <m:r>
                    <m:t>0</m:t>
                  </m:r>
                  <m:r>
                    <m:rPr>
                      <m:sty m:val="p"/>
                    </m:rPr>
                    <m:t>,</m:t>
                  </m:r>
                  <m:r>
                    <m:rPr>
                      <m:sty m:val="p"/>
                    </m:rPr>
                    <m:t>∞</m:t>
                  </m:r>
                </m:e>
              </m:d>
            </m:oMath>
          </w:p>
        </w:tc>
      </w:tr>
      <w:tr>
        <w:tc>
          <w:tcPr/>
          <w:p>
            <w:pPr>
              <w:pStyle w:val="Compact"/>
            </w:pPr>
            <w:r>
              <w:rPr>
                <w:rStyle w:val="VerbatimChar"/>
              </w:rPr>
              <w:t xml:space="preserve">mid</w:t>
            </w:r>
            <w:r>
              <w:t xml:space="preserve"> </w:t>
            </w:r>
            <w:r>
              <w:t xml:space="preserve">(midpoint)</w:t>
            </w:r>
          </w:p>
        </w:tc>
        <w:tc>
          <w:tcPr/>
          <w:p>
            <w:pPr>
              <w:pStyle w:val="Compact"/>
            </w:pPr>
            <w:r>
              <w:t xml:space="preserve">unconstrained</w:t>
            </w:r>
          </w:p>
        </w:tc>
        <w:tc>
          <w:tcPr/>
          <w:p>
            <w:pPr>
              <w:pStyle w:val="Compact"/>
            </w:pPr>
            <w:r>
              <w:t xml:space="preserve">identity (no transform)</w:t>
            </w:r>
          </w:p>
        </w:tc>
      </w:tr>
    </w:tbl>
    <w:p>
      <w:pPr>
        <w:pStyle w:val="BodyText"/>
      </w:pPr>
      <w:r>
        <w:t xml:space="preserve">The asymptotes use the</w:t>
      </w:r>
      <w:r>
        <w:t xml:space="preserve"> </w:t>
      </w:r>
      <w:r>
        <w:rPr>
          <w:b/>
          <w:bCs/>
        </w:rPr>
        <w:t xml:space="preserve">disjoint</w:t>
      </w:r>
      <w:r>
        <w:t xml:space="preserve"> </w:t>
      </w:r>
      <w:r>
        <w:t xml:space="preserve">intervals</w:t>
      </w:r>
      <w:r>
        <w:t xml:space="preserve"> </w:t>
      </w:r>
      <m:oMath>
        <m:d>
          <m:dPr>
            <m:begChr m:val="["/>
            <m:sepChr m:val=""/>
            <m:endChr m:val="]"/>
            <m:grow/>
          </m:dPr>
          <m:e>
            <m:r>
              <m:t>0</m:t>
            </m:r>
            <m:r>
              <m:rPr>
                <m:sty m:val="p"/>
              </m:rPr>
              <m:t>,</m:t>
            </m:r>
            <m:r>
              <m:t>0.49</m:t>
            </m:r>
          </m:e>
        </m:d>
      </m:oMath>
      <w:r>
        <w:t xml:space="preserve"> </w:t>
      </w:r>
      <w:r>
        <w:t xml:space="preserve">and</w:t>
      </w:r>
      <w:r>
        <w:t xml:space="preserve"> </w:t>
      </w:r>
      <m:oMath>
        <m:d>
          <m:dPr>
            <m:begChr m:val="["/>
            <m:sepChr m:val=""/>
            <m:endChr m:val="]"/>
            <m:grow/>
          </m:dPr>
          <m:e>
            <m:r>
              <m:t>0.51</m:t>
            </m:r>
            <m:r>
              <m:rPr>
                <m:sty m:val="p"/>
              </m:rPr>
              <m:t>,</m:t>
            </m:r>
            <m:r>
              <m:t>1</m:t>
            </m:r>
          </m:e>
        </m:d>
      </m:oMath>
      <w:r>
        <w:t xml:space="preserve"> </w:t>
      </w:r>
      <w:r>
        <w:t xml:space="preserve">(rather than each covering all of</w:t>
      </w:r>
      <w:r>
        <w:t xml:space="preserve"> </w:t>
      </w:r>
      <m:oMath>
        <m:d>
          <m:dPr>
            <m:begChr m:val="["/>
            <m:sepChr m:val=""/>
            <m:endChr m:val="]"/>
            <m:grow/>
          </m:dPr>
          <m:e>
            <m:r>
              <m:t>0</m:t>
            </m:r>
            <m:r>
              <m:rPr>
                <m:sty m:val="p"/>
              </m:rPr>
              <m:t>,</m:t>
            </m:r>
            <m:r>
              <m:t>1</m:t>
            </m:r>
          </m:e>
        </m:d>
      </m:oMath>
      <w:r>
        <w:t xml:space="preserve">) to prevent MCMC sampling issues where upper and lower asymptotes flip during MCMC sampling which can cause convergence issues — to help here we constrain them and estimate on the logit scale. The 0.02 gap at</w:t>
      </w:r>
      <w:r>
        <w:t xml:space="preserve"> </w:t>
      </w:r>
      <m:oMath>
        <m:r>
          <m:t>p</m:t>
        </m:r>
        <m:r>
          <m:rPr>
            <m:sty m:val="p"/>
          </m:rPr>
          <m:t>=</m:t>
        </m:r>
        <m:r>
          <m:t>0.5</m:t>
        </m:r>
      </m:oMath>
      <w:r>
        <w:t xml:space="preserve"> </w:t>
      </w:r>
      <w:r>
        <w:t xml:space="preserve">guarantees</w:t>
      </w:r>
      <w:r>
        <w:t xml:space="preserve"> </w:t>
      </w:r>
      <m:oMath>
        <m:r>
          <m:t>u</m:t>
        </m:r>
        <m:r>
          <m:rPr>
            <m:sty m:val="p"/>
          </m:rPr>
          <m:t>&gt;</m:t>
        </m:r>
        <m:r>
          <m:rPr>
            <m:sty m:val="p"/>
          </m:rPr>
          <m:t>ℓ</m:t>
        </m:r>
      </m:oMath>
      <w:r>
        <w:t xml:space="preserve"> </w:t>
      </w:r>
      <w:r>
        <w:t xml:space="preserve">always, so the chains can’t oscillate — which matters here because</w:t>
      </w:r>
      <w:r>
        <w:t xml:space="preserve"> </w:t>
      </w:r>
      <m:oMath>
        <m:r>
          <m:t>u</m:t>
        </m:r>
      </m:oMath>
      <w:r>
        <w:t xml:space="preserve"> </w:t>
      </w:r>
      <w:r>
        <w:t xml:space="preserve">and</w:t>
      </w:r>
      <w:r>
        <w:t xml:space="preserve"> </w:t>
      </w:r>
      <m:oMath>
        <m:r>
          <m:rPr>
            <m:sty m:val="p"/>
          </m:rPr>
          <m:t>ℓ</m:t>
        </m:r>
      </m:oMath>
      <w:r>
        <w:t xml:space="preserve"> </w:t>
      </w:r>
      <w:r>
        <w:t xml:space="preserve">can vary across temperatures. The cost is hard-bounding the asymptotes a few percentage points away from 0.5 — fine for survival data where genuine</w:t>
      </w:r>
      <w:r>
        <w:t xml:space="preserve"> </w:t>
      </w:r>
      <m:oMath>
        <m:r>
          <m:t>L</m:t>
        </m:r>
        <m:sSub>
          <m:e>
            <m:r>
              <m:t>T</m:t>
            </m:r>
          </m:e>
          <m:sub>
            <m:r>
              <m:t>50</m:t>
            </m:r>
          </m:sub>
        </m:sSub>
      </m:oMath>
      <w:r>
        <w:t xml:space="preserve"> </w:t>
      </w:r>
      <w:r>
        <w:t xml:space="preserve">assays don’t sit at the boundary anyway. We also constrain</w:t>
      </w:r>
      <w:r>
        <w:t xml:space="preserve"> </w:t>
      </w:r>
      <w:r>
        <w:rPr>
          <w:rStyle w:val="VerbatimChar"/>
        </w:rPr>
        <w:t xml:space="preserve">k</w:t>
      </w:r>
      <w:r>
        <w:t xml:space="preserve"> </w:t>
      </w:r>
      <w:r>
        <w:t xml:space="preserve">to be positive, but on a log scale via</w:t>
      </w:r>
      <w:r>
        <w:t xml:space="preserve"> </w:t>
      </w:r>
      <w:r>
        <w:rPr>
          <w:rStyle w:val="VerbatimChar"/>
        </w:rPr>
        <w:t xml:space="preserve">exp(logk)</w:t>
      </w:r>
      <w:r>
        <w:t xml:space="preserve">. Because</w:t>
      </w:r>
      <w:r>
        <w:t xml:space="preserve"> </w:t>
      </w:r>
      <m:oMath>
        <m:r>
          <m:t>u</m:t>
        </m:r>
      </m:oMath>
      <w:r>
        <w:t xml:space="preserve">,</w:t>
      </w:r>
      <w:r>
        <w:t xml:space="preserve"> </w:t>
      </w:r>
      <m:oMath>
        <m:r>
          <m:rPr>
            <m:sty m:val="p"/>
          </m:rPr>
          <m:t>ℓ</m:t>
        </m:r>
      </m:oMath>
      <w:r>
        <w:t xml:space="preserve"> </w:t>
      </w:r>
      <w:r>
        <w:t xml:space="preserve">and</w:t>
      </w:r>
      <w:r>
        <w:t xml:space="preserve"> </w:t>
      </w:r>
      <w:r>
        <w:rPr>
          <w:rStyle w:val="VerbatimChar"/>
        </w:rPr>
        <w:t xml:space="preserve">k</w:t>
      </w:r>
      <w:r>
        <w:t xml:space="preserve"> </w:t>
      </w:r>
      <w:r>
        <w:t xml:space="preserve">have different transformations and meanings, we apply each transformation per parameter inside the formula before they are combined — as opposed to a single link function on the linear predictor as is typical in GLMMs.</w:t>
      </w:r>
    </w:p>
    <w:p>
      <w:pPr>
        <w:pStyle w:val="BodyText"/>
      </w:pPr>
      <w:r>
        <w:t xml:space="preserve">We just need to remember in our fits that these values are transformed so we need to back-transform to make sense of the coefficients.</w:t>
      </w:r>
    </w:p>
    <w:p>
      <w:pPr>
        <w:pStyle w:val="SourceCode"/>
      </w:pPr>
      <w:r>
        <w:rPr>
          <w:rStyle w:val="CommentTok"/>
        </w:rPr>
        <w:t xml:space="preserve"># Same 4PL likelihood as before, but with constrained transformations:</w:t>
      </w:r>
      <w:r>
        <w:br/>
      </w:r>
      <w:r>
        <w:rPr>
          <w:rStyle w:val="CommentTok"/>
        </w:rPr>
        <w:t xml:space="preserve">#   ell = 0.49 * inv_logit(ellraw)</w:t>
      </w:r>
      <w:r>
        <w:br/>
      </w:r>
      <w:r>
        <w:rPr>
          <w:rStyle w:val="CommentTok"/>
        </w:rPr>
        <w:t xml:space="preserve">#   u   = 0.51 + 0.49 * inv_logit(uraw)</w:t>
      </w:r>
      <w:r>
        <w:br/>
      </w:r>
      <w:r>
        <w:rPr>
          <w:rStyle w:val="CommentTok"/>
        </w:rPr>
        <w:t xml:space="preserve">#   k   = exp(logk)</w:t>
      </w:r>
      <w:r>
        <w:br/>
      </w:r>
      <w:r>
        <w:rPr>
          <w:rStyle w:val="CommentTok"/>
        </w:rPr>
        <w:t xml:space="preserve"># This guarantees ell &lt; 0.5, u &gt; 0.5, u &gt; ell, and k &gt; 0.</w:t>
      </w:r>
      <w:r>
        <w:br/>
      </w:r>
      <w:r>
        <w:rPr>
          <w:rStyle w:val="NormalTok"/>
        </w:rPr>
        <w:t xml:space="preserve">bform_ext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(uraw))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ellraw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uraw   </w:t>
      </w:r>
      <w:r>
        <w:rPr>
          <w:rStyle w:val="SpecialCharTok"/>
        </w:rPr>
        <w:t xml:space="preserve">~</w:t>
      </w:r>
      <w:r>
        <w:rPr>
          <w:rStyle w:val="NormalTok"/>
        </w:rPr>
        <w:t xml:space="preserve"> T_c,</w:t>
      </w:r>
      <w:r>
        <w:br/>
      </w:r>
      <w:r>
        <w:rPr>
          <w:rStyle w:val="NormalTok"/>
        </w:rPr>
        <w:t xml:space="preserve">  logk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priors_ext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nlpar =</w:t>
      </w:r>
      <w:r>
        <w:rPr>
          <w:rStyle w:val="NormalTok"/>
        </w:rPr>
        <w:t xml:space="preserve"> </w:t>
      </w:r>
      <w:r>
        <w:rPr>
          <w:rStyle w:val="StringTok"/>
        </w:rPr>
        <w:t xml:space="preserve">"ellraw"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u_raw_0),</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0.10)"</w:t>
      </w:r>
      <w:r>
        <w:rPr>
          <w:rStyle w:val="NormalTok"/>
        </w:rPr>
        <w:t xml:space="preserve">, true_params_ext</w:t>
      </w:r>
      <w:r>
        <w:rPr>
          <w:rStyle w:val="SpecialCharTok"/>
        </w:rPr>
        <w:t xml:space="preserve">$</w:t>
      </w:r>
      <w:r>
        <w:rPr>
          <w:rStyle w:val="NormalTok"/>
        </w:rPr>
        <w:t xml:space="preserve">u_raw_T),</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0.35)"</w:t>
      </w:r>
      <w:r>
        <w:rPr>
          <w:rStyle w:val="NormalTok"/>
        </w:rPr>
        <w:t xml:space="preserve">, true_params_ext</w:t>
      </w:r>
      <w:r>
        <w:rPr>
          <w:rStyle w:val="SpecialCharTok"/>
        </w:rPr>
        <w:t xml:space="preserve">$</w:t>
      </w:r>
      <w:r>
        <w:rPr>
          <w:rStyle w:val="NormalTok"/>
        </w:rPr>
        <w:t xml:space="preserve">log_k_0),</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0.05)"</w:t>
      </w:r>
      <w:r>
        <w:rPr>
          <w:rStyle w:val="NormalTok"/>
        </w:rPr>
        <w:t xml:space="preserve">, true_params_ext</w:t>
      </w:r>
      <w:r>
        <w:rPr>
          <w:rStyle w:val="SpecialCharTok"/>
        </w:rPr>
        <w:t xml:space="preserve">$</w:t>
      </w:r>
      <w:r>
        <w:rPr>
          <w:rStyle w:val="NormalTok"/>
        </w:rPr>
        <w:t xml:space="preserve">log_k_T),</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FloatTok"/>
        </w:rPr>
        <w:t xml:space="preserve">1.5</w:t>
      </w:r>
      <w:r>
        <w:rPr>
          <w:rStyle w:val="NormalTok"/>
        </w:rPr>
        <w:t xml:space="preserve">, </w:t>
      </w:r>
      <w:r>
        <w:rPr>
          <w:rStyle w:val="FloatTok"/>
        </w:rPr>
        <w:t xml:space="preserve">0.40</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FloatTok"/>
        </w:rPr>
        <w:t xml:space="preserve">0.15</w:t>
      </w:r>
      <w:r>
        <w:rPr>
          <w:rStyle w:val="NormalTok"/>
        </w:rPr>
        <w:t xml:space="preserve">, </w:t>
      </w:r>
      <w:r>
        <w:rPr>
          <w:rStyle w:val="FloatTok"/>
        </w:rPr>
        <w:t xml:space="preserve">0.04</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"T_c"</w:t>
      </w:r>
      <w:r>
        <w:rPr>
          <w:rStyle w:val="NormalTok"/>
        </w:rPr>
        <w:t xml:space="preserve">)</w:t>
      </w:r>
      <w:r>
        <w:br/>
      </w:r>
      <w:r>
        <w:rPr>
          <w:rStyle w:val="NormalTok"/>
        </w:rPr>
        <w:t xml:space="preserve">)</w:t>
      </w:r>
      <w:r>
        <w:br/>
      </w:r>
      <w:r>
        <w:br/>
      </w:r>
      <w:r>
        <w:rPr>
          <w:rStyle w:val="NormalTok"/>
        </w:rPr>
        <w:t xml:space="preserve">fit_bb_ext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bform_ext, </w:t>
      </w:r>
      <w:r>
        <w:rPr>
          <w:rStyle w:val="AttributeTok"/>
        </w:rPr>
        <w:t xml:space="preserve">data =</w:t>
      </w:r>
      <w:r>
        <w:rPr>
          <w:rStyle w:val="NormalTok"/>
        </w:rPr>
        <w:t xml:space="preserve"> sim_bb_ext, </w:t>
      </w:r>
      <w:r>
        <w:rPr>
          <w:rStyle w:val="AttributeTok"/>
        </w:rPr>
        <w:t xml:space="preserve">prior =</w:t>
      </w:r>
      <w:r>
        <w:rPr>
          <w:rStyle w:val="NormalTok"/>
        </w:rPr>
        <w:t xml:space="preserve"> priors_ext,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"sim_4pl_ext_betabinomial_reparam"</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printed model summary is now mainly a convergence check because the coefficients live on raw transformed scales. We still want Rhat near 1 and reasonable effective sample sizes, but recovery is easier to inspect after transforming the posterior draws back to natural 4PL parameters.</w:t>
      </w:r>
    </w:p>
    <w:p>
      <w:pPr>
        <w:pStyle w:val="SourceCode"/>
      </w:pPr>
      <w:r>
        <w:rPr>
          <w:rStyle w:val="NormalTok"/>
        </w:rPr>
        <w:t xml:space="preserve">fit_bb_ext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y | trials(n) ~ ell + (u - ell)/(1 + exp(k * (log10_t - mid))) </w:t>
      </w:r>
      <w:r>
        <w:br/>
      </w:r>
      <w:r>
        <w:rPr>
          <w:rStyle w:val="VerbatimChar"/>
        </w:rPr>
        <w:t xml:space="preserve">         ell ~ 1</w:t>
      </w:r>
      <w:r>
        <w:br/>
      </w:r>
      <w:r>
        <w:rPr>
          <w:rStyle w:val="VerbatimChar"/>
        </w:rPr>
        <w:t xml:space="preserve">         u ~ T_c</w:t>
      </w:r>
      <w:r>
        <w:br/>
      </w:r>
      <w:r>
        <w:rPr>
          <w:rStyle w:val="VerbatimChar"/>
        </w:rPr>
        <w:t xml:space="preserve">         k ~ T_c</w:t>
      </w:r>
      <w:r>
        <w:br/>
      </w:r>
      <w:r>
        <w:rPr>
          <w:rStyle w:val="VerbatimChar"/>
        </w:rPr>
        <w:t xml:space="preserve">         mid ~ T_c</w:t>
      </w:r>
      <w:r>
        <w:br/>
      </w:r>
      <w:r>
        <w:rPr>
          <w:rStyle w:val="VerbatimChar"/>
        </w:rPr>
        <w:t xml:space="preserve">   Data: sim_bb_ext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ell_Intercept     0.26      0.38     0.03     0.94 1.53        7       30</w:t>
      </w:r>
      <w:r>
        <w:br/>
      </w:r>
      <w:r>
        <w:rPr>
          <w:rStyle w:val="VerbatimChar"/>
        </w:rPr>
        <w:t xml:space="preserve">u_Intercept       0.69      0.38     0.03     0.93 1.53        7       29</w:t>
      </w:r>
      <w:r>
        <w:br/>
      </w:r>
      <w:r>
        <w:rPr>
          <w:rStyle w:val="VerbatimChar"/>
        </w:rPr>
        <w:t xml:space="preserve">u_T_c            -0.01      0.01    -0.02     0.00 1.53        7       35</w:t>
      </w:r>
      <w:r>
        <w:br/>
      </w:r>
      <w:r>
        <w:rPr>
          <w:rStyle w:val="VerbatimChar"/>
        </w:rPr>
        <w:t xml:space="preserve">k_Intercept       4.03      6.25    -7.35     8.85 1.53        7       29</w:t>
      </w:r>
      <w:r>
        <w:br/>
      </w:r>
      <w:r>
        <w:rPr>
          <w:rStyle w:val="VerbatimChar"/>
        </w:rPr>
        <w:t xml:space="preserve">k_T_c             0.62      0.73    -0.79     1.36 1.53        7       31</w:t>
      </w:r>
      <w:r>
        <w:br/>
      </w:r>
      <w:r>
        <w:rPr>
          <w:rStyle w:val="VerbatimChar"/>
        </w:rPr>
        <w:t xml:space="preserve">mid_Intercept     1.50      0.01     1.47     1.52 1.01     1906     2321</w:t>
      </w:r>
      <w:r>
        <w:br/>
      </w:r>
      <w:r>
        <w:rPr>
          <w:rStyle w:val="VerbatimChar"/>
        </w:rPr>
        <w:t xml:space="preserve">mid_T_c          -0.16      0.01    -0.17    -0.14 1.40        8       30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5.51      0.44     4.66     6.40 1.13       22      104</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184" w:name="supptbl-ext-recovery"/>
          <w:p>
            <w:pPr>
              <w:jc w:val="center"/>
            </w:pPr>
            <w:pPr>
              <w:jc w:val="start"/>
              <w:spacing w:before="200"/>
              <w:pStyle w:val="ImageCaption"/>
            </w:pPr>
            <w:r>
              <w:t xml:space="preserve">Table S6: Natural-scale parameter recovery from the constrained temperature-varying 4PL. The posterior is transformed from the raw</w:t>
            </w:r>
            <w:r>
              <w:t xml:space="preserve"> </w:t>
            </w:r>
            <w:r>
              <w:rPr>
                <w:rStyle w:val="VerbatimChar"/>
              </w:rPr>
              <w:t xml:space="preserve">ellraw</w:t>
            </w:r>
            <w:r>
              <w:t xml:space="preserve">,</w:t>
            </w:r>
            <w:r>
              <w:t xml:space="preserve"> </w:t>
            </w:r>
            <w:r>
              <w:rPr>
                <w:rStyle w:val="VerbatimChar"/>
              </w:rPr>
              <w:t xml:space="preserve">uraw</w:t>
            </w:r>
            <w:r>
              <w:t xml:space="preserve">, and</w:t>
            </w:r>
            <w:r>
              <w:t xml:space="preserve"> </w:t>
            </w:r>
            <w:r>
              <w:rPr>
                <w:rStyle w:val="VerbatimChar"/>
              </w:rPr>
              <w:t xml:space="preserve">logk</w:t>
            </w:r>
            <w:r>
              <w:t xml:space="preserve"> </w:t>
            </w:r>
            <w:r>
              <w:t xml:space="preserve">coefficients back to the biologically interpretable asymptotes, steepness, and midpoint at each assay temperature;</w:t>
            </w:r>
            <w:r>
              <w:t xml:space="preserve"> </w:t>
            </w:r>
            <m:oMath>
              <m:r>
                <m:t>ϕ</m:t>
              </m:r>
            </m:oMath>
            <w:r>
              <w:t xml:space="preserve"> </w:t>
            </w:r>
            <w:r>
              <w:t xml:space="preserve">is the beta-binomial precision parameter used to generate the overdispersed counts.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8"/>
              <w:gridCol w:w="2125"/>
              <w:gridCol w:w="1084"/>
              <w:gridCol w:w="2074"/>
              <w:gridCol w:w="1084"/>
              <w:gridCol w:w="1084"/>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Temperature (°C)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Posterior 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97.5%</w:t>
                  </w:r>
                </w:p>
              </w:tc>
            </w:tr>
            <w:tr>
              <w:trPr>
                <w:trHeight w:val="5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r>
            <w:tr>
              <w:trPr>
                <w:trHeight w:val="5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2.159</w:t>
                  </w:r>
                </w:p>
              </w:tc>
            </w:tr>
            <w:tr>
              <w:trPr>
                <w:trHeight w:val="56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0.970</w:t>
                  </w:r>
                </w:p>
              </w:tc>
            </w:tr>
            <w:tr>
              <w:trPr>
                <w:trHeight w:val="5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7.623</w:t>
                  </w:r>
                </w:p>
              </w:tc>
            </w:tr>
            <w:tr>
              <w:trPr>
                <w:trHeight w:val="5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1.839</w:t>
                  </w:r>
                </w:p>
              </w:tc>
            </w:tr>
            <w:tr>
              <w:trPr>
                <w:trHeight w:val="56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0.952</w:t>
                  </w:r>
                </w:p>
              </w:tc>
            </w:tr>
            <w:tr>
              <w:trPr>
                <w:trHeight w:val="5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10.227</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1.525</w:t>
                  </w:r>
                </w:p>
              </w:tc>
            </w:tr>
            <w:tr>
              <w:trPr>
                <w:trHeight w:val="56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0.929</w:t>
                  </w:r>
                </w:p>
              </w:tc>
            </w:tr>
            <w:tr>
              <w:trPr>
                <w:trHeight w:val="5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14.312</w:t>
                  </w:r>
                </w:p>
              </w:tc>
            </w:tr>
            <w:tr>
              <w:trPr>
                <w:trHeight w:val="5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1.226</w:t>
                  </w:r>
                </w:p>
              </w:tc>
            </w:tr>
            <w:tr>
              <w:trPr>
                <w:trHeight w:val="57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0.904</w:t>
                  </w:r>
                </w:p>
              </w:tc>
            </w:tr>
            <w:tr>
              <w:trPr>
                <w:trHeight w:val="5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20.132</w:t>
                  </w:r>
                </w:p>
              </w:tc>
            </w:tr>
            <w:tr>
              <w:trPr>
                <w:trHeight w:val="57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0.932</w:t>
                  </w:r>
                </w:p>
              </w:tc>
            </w:tr>
            <w:tr>
              <w:trPr>
                <w:trHeight w:val="57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0.876</w:t>
                  </w:r>
                </w:p>
              </w:tc>
            </w:tr>
            <w:tr>
              <w:trPr>
                <w:trHeight w:val="615" w:hRule="auto"/>
              </w:trPr>
              body21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phi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6.674</w:t>
                  </w:r>
                </w:p>
              </w:tc>
            </w:tr>
          </w:tbl>
          <w:bookmarkEnd w:id="184"/>
        </w:tc>
      </w:tr>
    </w:tbl>
    <w:p>
      <w:pPr>
        <w:pStyle w:val="BodyText"/>
      </w:pPr>
      <w:r>
        <w:t xml:space="preserve">Now we can check the changes in</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having temperature impact on multiple parameters of the 4PL using our workflow in the previous section.</w:t>
      </w:r>
    </w:p>
    <w:p>
      <w:pPr>
        <w:pStyle w:val="SourceCode"/>
      </w:pPr>
      <w:r>
        <w:rPr>
          <w:rStyle w:val="CommentTok"/>
        </w:rPr>
        <w:t xml:space="preserve"># Predict-and-interpolate recipe applied to the extended fit. The code is</w:t>
      </w:r>
      <w:r>
        <w:br/>
      </w:r>
      <w:r>
        <w:rPr>
          <w:rStyle w:val="CommentTok"/>
        </w:rPr>
        <w:t xml:space="preserve"># identical to @sec-joint-extend-recipe — only the fit changes.</w:t>
      </w:r>
      <w:r>
        <w:br/>
      </w:r>
      <w:r>
        <w:rPr>
          <w:rStyle w:val="NormalTok"/>
        </w:rPr>
        <w:t xml:space="preserve">pred_grid_ext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NormalTok"/>
        </w:rPr>
        <w:t xml:space="preserve">epred_ext </w:t>
      </w:r>
      <w:r>
        <w:rPr>
          <w:rStyle w:val="OtherTok"/>
        </w:rPr>
        <w:t xml:space="preserve">&lt;-</w:t>
      </w:r>
      <w:r>
        <w:rPr>
          <w:rStyle w:val="NormalTok"/>
        </w:rPr>
        <w:t xml:space="preserve"> pred_grid_ext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(fit_bb_ext,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NormalTok"/>
        </w:rPr>
        <w:t xml:space="preserve">lt50_T_ext </w:t>
      </w:r>
      <w:r>
        <w:rPr>
          <w:rStyle w:val="OtherTok"/>
        </w:rPr>
        <w:t xml:space="preserve">&lt;-</w:t>
      </w:r>
      <w:r>
        <w:rPr>
          <w:rStyle w:val="NormalTok"/>
        </w:rPr>
        <w:t xml:space="preserve"> epred_ext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z_per_draw_ext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NormalTok"/>
        </w:rPr>
        <w:t xml:space="preserve">ctmax_per_draw_ext </w:t>
      </w:r>
      <w:r>
        <w:rPr>
          <w:rStyle w:val="OtherTok"/>
        </w:rPr>
        <w:t xml:space="preserve">&lt;-</w:t>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summaries: z at each assay temperature, and CTmax_1hr.</w:t>
      </w:r>
      <w:r>
        <w:br/>
      </w:r>
      <w:r>
        <w:rPr>
          <w:rStyle w:val="NormalTok"/>
        </w:rPr>
        <w:t xml:space="preserve">z_summary_ext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ctmax_summary_ext </w:t>
      </w:r>
      <w:r>
        <w:rPr>
          <w:rStyle w:val="OtherTok"/>
        </w:rPr>
        <w:t xml:space="preserve">&lt;-</w:t>
      </w:r>
      <w:r>
        <w:rPr>
          <w:rStyle w:val="NormalTok"/>
        </w:rPr>
        <w:t xml:space="preserve"> ctmax_per_draw_ext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z_summary_ext</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1    30  6.00  5.55  6.40</w:t>
      </w:r>
      <w:r>
        <w:br/>
      </w:r>
      <w:r>
        <w:rPr>
          <w:rStyle w:val="VerbatimChar"/>
        </w:rPr>
        <w:t xml:space="preserve">2    32  6.21  5.90  6.61</w:t>
      </w:r>
      <w:r>
        <w:br/>
      </w:r>
      <w:r>
        <w:rPr>
          <w:rStyle w:val="VerbatimChar"/>
        </w:rPr>
        <w:t xml:space="preserve">3    34  6.29  5.91  6.73</w:t>
      </w:r>
      <w:r>
        <w:br/>
      </w:r>
      <w:r>
        <w:rPr>
          <w:rStyle w:val="VerbatimChar"/>
        </w:rPr>
        <w:t xml:space="preserve">4    36  6.33  5.91  6.78</w:t>
      </w:r>
      <w:r>
        <w:br/>
      </w:r>
      <w:r>
        <w:rPr>
          <w:rStyle w:val="VerbatimChar"/>
        </w:rPr>
        <w:t xml:space="preserve">5    38  6.34  5.90  6.81</w:t>
      </w:r>
    </w:p>
    <w:p>
      <w:pPr>
        <w:pStyle w:val="SourceCode"/>
      </w:pPr>
      <w:r>
        <w:rPr>
          <w:rStyle w:val="NormalTok"/>
        </w:rPr>
        <w:t xml:space="preserve">ctmax_summary_ext</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1          32.2         32.0         32.4</w:t>
      </w:r>
    </w:p>
    <w:p>
      <w:pPr>
        <w:pStyle w:val="FirstParagraph"/>
      </w:pPr>
      <w:r>
        <w:t xml:space="preserve">In the simple-model fit (</w:t>
      </w:r>
      <w:hyperlink w:anchor="sec-joint-derive">
        <w:r>
          <w:rPr>
            <w:rStyle w:val="Hyperlink"/>
          </w:rPr>
          <w:t xml:space="preserve">Section 15.0.4</w:t>
        </w:r>
      </w:hyperlink>
      <w:r>
        <w:t xml:space="preserve">),</w:t>
      </w:r>
      <w:r>
        <w:t xml:space="preserve"> </w:t>
      </w:r>
      <m:oMath>
        <m:r>
          <m:t>z</m:t>
        </m:r>
      </m:oMath>
      <w:r>
        <w:t xml:space="preserve"> </w:t>
      </w:r>
      <w:r>
        <w:t xml:space="preserve">was essentially the same value at every assay temperature. In this extended fit, the posterior medians of</w:t>
      </w:r>
      <w:r>
        <w:t xml:space="preserve"> </w:t>
      </w:r>
      <m:oMath>
        <m:r>
          <m:t>z</m:t>
        </m:r>
      </m:oMath>
      <w:r>
        <w:t xml:space="preserve"> </w:t>
      </w:r>
      <w:r>
        <w:t xml:space="preserve">vary across temperature (albeit slightly): a direct consequence of the temperature-dependent</w:t>
      </w:r>
      <w:r>
        <w:t xml:space="preserve"> </w:t>
      </w:r>
      <m:oMath>
        <m:r>
          <m:t>k</m:t>
        </m:r>
      </m:oMath>
      <w:r>
        <w:t xml:space="preserve"> </w:t>
      </w:r>
      <w:r>
        <w:t xml:space="preserve">and</w:t>
      </w:r>
      <w:r>
        <w:t xml:space="preserve"> </w:t>
      </w:r>
      <m:oMath>
        <m:r>
          <m:t>u</m:t>
        </m:r>
      </m:oMath>
      <w:r>
        <w:t xml:space="preserve">, which bend the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p>
      <w:pPr>
        <w:pStyle w:val="BodyText"/>
      </w:pPr>
      <w:r>
        <w:t xml:space="preserve">In contrast,</w:t>
      </w:r>
      <w:r>
        <w:t xml:space="preserve"> </w:t>
      </w:r>
      <m:oMath>
        <m:r>
          <m:t>C</m:t>
        </m:r>
        <m:sSub>
          <m:e>
            <m:r>
              <m:t>T</m:t>
            </m:r>
          </m:e>
          <m:sub>
            <m:r>
              <m:t>m</m:t>
            </m:r>
            <m:r>
              <m:t>a</m:t>
            </m:r>
            <m:sSub>
              <m:e>
                <m:r>
                  <m:t>x</m:t>
                </m:r>
              </m:e>
              <m:sub>
                <m:r>
                  <m:t>1</m:t>
                </m:r>
                <m:r>
                  <m:t>h</m:t>
                </m:r>
                <m:r>
                  <m:t>r</m:t>
                </m:r>
              </m:sub>
            </m:sSub>
          </m:sub>
        </m:sSub>
      </m:oMath>
      <w:r>
        <w:t xml:space="preserve"> </w:t>
      </w:r>
      <w:r>
        <w:t xml:space="preserve">remains a single number per posterior draw, and in this simulation it actually lands very close to the simple-model value (~32 °C): the asymmetry correction is near zero at the temperature where the LT50 curve crosses 1 hour, so</w:t>
      </w:r>
      <w:r>
        <w:t xml:space="preserve"> </w:t>
      </w:r>
      <m:oMath>
        <m:r>
          <m:t>C</m:t>
        </m:r>
        <m:sSub>
          <m:e>
            <m:r>
              <m:t>T</m:t>
            </m:r>
          </m:e>
          <m:sub>
            <m:r>
              <m:t>m</m:t>
            </m:r>
            <m:r>
              <m:t>a</m:t>
            </m:r>
            <m:sSub>
              <m:e>
                <m:r>
                  <m:t>x</m:t>
                </m:r>
              </m:e>
              <m:sub>
                <m:r>
                  <m:t>1</m:t>
                </m:r>
                <m:r>
                  <m:t>h</m:t>
                </m:r>
                <m:r>
                  <m:t>r</m:t>
                </m:r>
              </m:sub>
            </m:sSub>
          </m:sub>
        </m:sSub>
      </m:oMath>
      <w:r>
        <w:t xml:space="preserve"> </w:t>
      </w:r>
      <w:r>
        <w:t xml:space="preserve">is locally almost insensitive to the T-varying shape parameters. With more pronounced T-dependence in</w:t>
      </w:r>
      <w:r>
        <w:t xml:space="preserve"> </w:t>
      </w:r>
      <m:oMath>
        <m:r>
          <m:t>k</m:t>
        </m:r>
      </m:oMath>
      <w:r>
        <w:t xml:space="preserve"> </w:t>
      </w:r>
      <w:r>
        <w:t xml:space="preserve">and</w:t>
      </w:r>
      <w:r>
        <w:t xml:space="preserve"> </w:t>
      </w:r>
      <m:oMath>
        <m:r>
          <m:t>u</m:t>
        </m:r>
      </m:oMath>
      <w:r>
        <w:t xml:space="preserve">, or with shape parameters further from the symmetric (</w:t>
      </w:r>
      <m:oMath>
        <m:r>
          <m:rPr>
            <m:sty m:val="p"/>
          </m:rPr>
          <m:t>ℓ</m:t>
        </m:r>
        <m:r>
          <m:rPr>
            <m:sty m:val="p"/>
          </m:rPr>
          <m:t>+</m:t>
        </m:r>
        <m:r>
          <m:t>u</m:t>
        </m:r>
        <m:r>
          <m:rPr>
            <m:sty m:val="p"/>
          </m:rPr>
          <m:t>≈</m:t>
        </m:r>
        <m:r>
          <m:t>1</m:t>
        </m:r>
      </m:oMath>
      <w:r>
        <w:t xml:space="preserve">) regime,</w:t>
      </w:r>
      <w:r>
        <w:t xml:space="preserve"> </w:t>
      </w:r>
      <m:oMath>
        <m:r>
          <m:t>C</m:t>
        </m:r>
        <m:sSub>
          <m:e>
            <m:r>
              <m:t>T</m:t>
            </m:r>
          </m:e>
          <m:sub>
            <m:r>
              <m:t>m</m:t>
            </m:r>
            <m:r>
              <m:t>a</m:t>
            </m:r>
            <m:sSub>
              <m:e>
                <m:r>
                  <m:t>x</m:t>
                </m:r>
              </m:e>
              <m:sub>
                <m:r>
                  <m:t>1</m:t>
                </m:r>
                <m:r>
                  <m:t>h</m:t>
                </m:r>
                <m:r>
                  <m:t>r</m:t>
                </m:r>
              </m:sub>
            </m:sSub>
          </m:sub>
        </m:sSub>
      </m:oMath>
      <w:r>
        <w:t xml:space="preserve"> </w:t>
      </w:r>
      <w:r>
        <w:t xml:space="preserve">would shift more visibly.</w:t>
      </w:r>
    </w:p>
    <w:p>
      <w:pPr>
        <w:pStyle w:val="BodyText"/>
      </w:pPr>
      <w:r>
        <w:t xml:space="preserve">If we now want to get an adjusted</w:t>
      </w:r>
      <w:r>
        <w:t xml:space="preserve"> </w:t>
      </w:r>
      <w:r>
        <w:rPr>
          <w:i/>
          <w:iCs/>
        </w:rPr>
        <w:t xml:space="preserve">z</w:t>
      </w:r>
      <w:r>
        <w:t xml:space="preserve"> </w:t>
      </w:r>
      <w:r>
        <w:t xml:space="preserve">that averages across these temperatures we can do that as follows:</w:t>
      </w:r>
    </w:p>
    <w:p>
      <w:pPr>
        <w:pStyle w:val="SourceCode"/>
      </w:pPr>
      <w:r>
        <w:rPr>
          <w:rStyle w:val="CommentTok"/>
        </w:rPr>
        <w:t xml:space="preserve"># For each posterior draw, average the five local z(T_eval) values into</w:t>
      </w:r>
      <w:r>
        <w:br/>
      </w:r>
      <w:r>
        <w:rPr>
          <w:rStyle w:val="CommentTok"/>
        </w:rPr>
        <w:t xml:space="preserve"># a single adjusted z; then summarise across draws.</w:t>
      </w:r>
      <w:r>
        <w:br/>
      </w:r>
      <w:r>
        <w:rPr>
          <w:rStyle w:val="NormalTok"/>
        </w:rPr>
        <w:t xml:space="preserve">adjusted_z_ext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z_mean =</w:t>
      </w:r>
      <w:r>
        <w:rPr>
          <w:rStyle w:val="NormalTok"/>
        </w:rPr>
        <w:t xml:space="preserve"> </w:t>
      </w:r>
      <w:r>
        <w:rPr>
          <w:rStyle w:val="FunctionTok"/>
        </w:rPr>
        <w:t xml:space="preserve">mean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adjusted_z_ext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(z_mean,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(z_mean,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(z_mean,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z_med  z_lo  z_hi</w:t>
      </w:r>
      <w:r>
        <w:br/>
      </w:r>
      <w:r>
        <w:rPr>
          <w:rStyle w:val="VerbatimChar"/>
        </w:rPr>
        <w:t xml:space="preserve">  &lt;dbl&gt; &lt;dbl&gt; &lt;dbl&gt;</w:t>
      </w:r>
      <w:r>
        <w:br/>
      </w:r>
      <w:r>
        <w:rPr>
          <w:rStyle w:val="VerbatimChar"/>
        </w:rPr>
        <w:t xml:space="preserve">1  6.22  5.89  6.62</w:t>
      </w:r>
    </w:p>
    <w:p>
      <w:pPr>
        <w:pStyle w:val="FirstParagraph"/>
      </w:pPr>
      <w:r>
        <w:t xml:space="preserve">Compared to the simple-model</w:t>
      </w:r>
      <w:r>
        <w:t xml:space="preserve"> </w:t>
      </w:r>
      <m:oMath>
        <m:r>
          <m:t>z</m:t>
        </m:r>
        <m:r>
          <m:rPr>
            <m:sty m:val="p"/>
          </m:rPr>
          <m:t>=</m:t>
        </m:r>
        <m:r>
          <m:t>6.67</m:t>
        </m:r>
      </m:oMath>
      <w:r>
        <w:t xml:space="preserve"> </w:t>
      </w:r>
      <w:r>
        <w:t xml:space="preserve">°C (where shape parameters did not vary with temperature), this adjusted</w:t>
      </w:r>
      <w:r>
        <w:t xml:space="preserve"> </w:t>
      </w:r>
      <m:oMath>
        <m:r>
          <m:t>z</m:t>
        </m:r>
      </m:oMath>
      <w:r>
        <w:t xml:space="preserve"> </w:t>
      </w:r>
      <w:r>
        <w:t xml:space="preserve">is 6.22 °C with 95% credible interval [5.89, 6.62] °C — slightly lower in point estimate, with the simple-model value sitting near the upper end of the credible interval. With stronger T-dependence in</w:t>
      </w:r>
      <w:r>
        <w:t xml:space="preserve"> </w:t>
      </w:r>
      <m:oMath>
        <m:r>
          <m:t>k</m:t>
        </m:r>
      </m:oMath>
      <w:r>
        <w:t xml:space="preserve"> </w:t>
      </w:r>
      <w:r>
        <w:t xml:space="preserve">and</w:t>
      </w:r>
      <w:r>
        <w:t xml:space="preserve"> </w:t>
      </w:r>
      <m:oMath>
        <m:r>
          <m:t>u</m:t>
        </m:r>
      </m:oMath>
      <w:r>
        <w:t xml:space="preserve">,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would have more variation across temperatures and the two summaries would diverge more.</w:t>
      </w:r>
    </w:p>
    <w:bookmarkEnd w:id="185"/>
    <w:bookmarkEnd w:id="186"/>
    <w:bookmarkEnd w:id="187"/>
    <w:bookmarkStart w:id="222" w:name="references-1"/>
    <w:p>
      <w:pPr>
        <w:pStyle w:val="Heading1"/>
      </w:pPr>
      <w:r>
        <w:t xml:space="preserve">16. </w:t>
      </w:r>
      <w:r>
        <w:rPr>
          <w:b/>
          <w:bCs/>
        </w:rPr>
        <w:t xml:space="preserve">References</w:t>
      </w:r>
    </w:p>
    <w:bookmarkStart w:id="221" w:name="refs"/>
    <w:bookmarkStart w:id="188"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64">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188"/>
    <w:bookmarkStart w:id="189" w:name="ref-bolker_ecologicalmodels_2008"/>
    <w:p>
      <w:pPr>
        <w:pStyle w:val="Bibliography"/>
      </w:pPr>
      <w:r>
        <w:t xml:space="preserve">Bolker, B.M. (2008).</w:t>
      </w:r>
      <w:r>
        <w:t xml:space="preserve"> </w:t>
      </w:r>
      <w:hyperlink r:id="rId66">
        <w:r>
          <w:rPr>
            <w:rStyle w:val="Hyperlink"/>
            <w:i/>
            <w:iCs/>
          </w:rPr>
          <w:t xml:space="preserve">Ecological models and data in</w:t>
        </w:r>
        <w:r>
          <w:rPr>
            <w:rStyle w:val="Hyperlink"/>
            <w:i/>
            <w:iCs/>
          </w:rPr>
          <w:t xml:space="preserve"> </w:t>
        </w:r>
        <w:r>
          <w:rPr>
            <w:rStyle w:val="Hyperlink"/>
            <w:i/>
            <w:iCs/>
          </w:rPr>
          <w:t xml:space="preserve">R</w:t>
        </w:r>
      </w:hyperlink>
      <w:r>
        <w:t xml:space="preserve">. Princeton University Press, Princeton, NJ.</w:t>
      </w:r>
    </w:p>
    <w:bookmarkEnd w:id="189"/>
    <w:bookmarkStart w:id="190" w:name="ref-buckley_damage_2025"/>
    <w:p>
      <w:pPr>
        <w:pStyle w:val="Bibliography"/>
      </w:pPr>
      <w:r>
        <w:t xml:space="preserve">Buckley, L.B., Huey, R.B. &amp; Ma, C.-S. (2025).</w:t>
      </w:r>
      <w:r>
        <w:t xml:space="preserve"> </w:t>
      </w:r>
      <w:hyperlink r:id="rId68">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190"/>
    <w:bookmarkStart w:id="191" w:name="ref-burke_ipd_2017"/>
    <w:p>
      <w:pPr>
        <w:pStyle w:val="Bibliography"/>
      </w:pPr>
      <w:r>
        <w:t xml:space="preserve">Burke, D.L., Ensor, J. &amp; Riley, R.D. (2017).</w:t>
      </w:r>
      <w:r>
        <w:t xml:space="preserve"> </w:t>
      </w:r>
      <w:hyperlink r:id="rId70">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191"/>
    <w:bookmarkStart w:id="192" w:name="ref-burkner_brms_2017"/>
    <w:p>
      <w:pPr>
        <w:pStyle w:val="Bibliography"/>
      </w:pPr>
      <w:r>
        <w:t xml:space="preserve">Bürkner, P.-C. (2017).</w:t>
      </w:r>
      <w:r>
        <w:t xml:space="preserve"> </w:t>
      </w:r>
      <w:hyperlink r:id="rId72">
        <w:r>
          <w:rPr>
            <w:rStyle w:val="Hyperlink"/>
          </w:rPr>
          <w:t xml:space="preserve">brms</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w:t>
        </w:r>
        <w:r>
          <w:rPr>
            <w:rStyle w:val="Hyperlink"/>
          </w:rPr>
          <w:t xml:space="preserve"> </w:t>
        </w:r>
        <w:r>
          <w:rPr>
            <w:rStyle w:val="Hyperlink"/>
          </w:rPr>
          <w:t xml:space="preserve">B</w:t>
        </w:r>
        <w:r>
          <w:rPr>
            <w:rStyle w:val="Hyperlink"/>
          </w:rPr>
          <w:t xml:space="preserve">ayesian multilevel models using</w:t>
        </w:r>
        <w:r>
          <w:rPr>
            <w:rStyle w:val="Hyperlink"/>
          </w:rPr>
          <w:t xml:space="preserve"> </w:t>
        </w:r>
        <w:r>
          <w:rPr>
            <w:rStyle w:val="Hyperlink"/>
          </w:rPr>
          <w:t xml:space="preserve">S</w:t>
        </w:r>
        <w:r>
          <w:rPr>
            <w:rStyle w:val="Hyperlink"/>
          </w:rPr>
          <w:t xml:space="preserve">tan</w:t>
        </w:r>
      </w:hyperlink>
      <w:r>
        <w:t xml:space="preserve">.</w:t>
      </w:r>
      <w:r>
        <w:t xml:space="preserve"> </w:t>
      </w:r>
      <w:r>
        <w:rPr>
          <w:i/>
          <w:iCs/>
        </w:rPr>
        <w:t xml:space="preserve">Journal of Statistical Software</w:t>
      </w:r>
      <w:r>
        <w:t xml:space="preserve">, 80, 1–28.</w:t>
      </w:r>
    </w:p>
    <w:bookmarkEnd w:id="192"/>
    <w:bookmarkStart w:id="193" w:name="ref-carroll_measurement_2006"/>
    <w:p>
      <w:pPr>
        <w:pStyle w:val="Bibliography"/>
      </w:pPr>
      <w:r>
        <w:t xml:space="preserve">Carroll, R.J., Ruppert, D., Stefanski, L.A. &amp; Crainiceanu, C.M. (2006).</w:t>
      </w:r>
      <w:r>
        <w:t xml:space="preserve"> </w:t>
      </w:r>
      <w:hyperlink r:id="rId74">
        <w:r>
          <w:rPr>
            <w:rStyle w:val="Hyperlink"/>
            <w:i/>
            <w:iCs/>
          </w:rPr>
          <w:t xml:space="preserve">Measurement error in nonlinear models: A modern perspective</w:t>
        </w:r>
      </w:hyperlink>
      <w:r>
        <w:t xml:space="preserve">. 2nd edn. Chapman; Hall/CRC.</w:t>
      </w:r>
    </w:p>
    <w:bookmarkEnd w:id="193"/>
    <w:bookmarkStart w:id="194"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6">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194"/>
    <w:bookmarkStart w:id="195" w:name="ref-gelman_priors_2006"/>
    <w:p>
      <w:pPr>
        <w:pStyle w:val="Bibliography"/>
      </w:pPr>
      <w:r>
        <w:t xml:space="preserve">Gelman, A. (2006).</w:t>
      </w:r>
      <w:r>
        <w:t xml:space="preserve"> </w:t>
      </w:r>
      <w:hyperlink r:id="rId78">
        <w:r>
          <w:rPr>
            <w:rStyle w:val="Hyperlink"/>
          </w:rPr>
          <w:t xml:space="preserve">Prior distributions for variance parameters in hierarchical models (comment on article by</w:t>
        </w:r>
        <w:r>
          <w:rPr>
            <w:rStyle w:val="Hyperlink"/>
          </w:rPr>
          <w:t xml:space="preserve"> </w:t>
        </w:r>
        <w:r>
          <w:rPr>
            <w:rStyle w:val="Hyperlink"/>
          </w:rPr>
          <w:t xml:space="preserve">B</w:t>
        </w:r>
        <w:r>
          <w:rPr>
            <w:rStyle w:val="Hyperlink"/>
          </w:rPr>
          <w:t xml:space="preserve">rowne and</w:t>
        </w:r>
        <w:r>
          <w:rPr>
            <w:rStyle w:val="Hyperlink"/>
          </w:rPr>
          <w:t xml:space="preserve"> </w:t>
        </w:r>
        <w:r>
          <w:rPr>
            <w:rStyle w:val="Hyperlink"/>
          </w:rPr>
          <w:t xml:space="preserve">D</w:t>
        </w:r>
        <w:r>
          <w:rPr>
            <w:rStyle w:val="Hyperlink"/>
          </w:rPr>
          <w:t xml:space="preserve">raper)</w:t>
        </w:r>
      </w:hyperlink>
      <w:r>
        <w:t xml:space="preserve">.</w:t>
      </w:r>
      <w:r>
        <w:t xml:space="preserve"> </w:t>
      </w:r>
      <w:r>
        <w:rPr>
          <w:i/>
          <w:iCs/>
        </w:rPr>
        <w:t xml:space="preserve">Bayesian Analysis</w:t>
      </w:r>
      <w:r>
        <w:t xml:space="preserve">, 1, 515–534.</w:t>
      </w:r>
    </w:p>
    <w:bookmarkEnd w:id="195"/>
    <w:bookmarkStart w:id="196" w:name="ref-harrison_olre_2014"/>
    <w:p>
      <w:pPr>
        <w:pStyle w:val="Bibliography"/>
      </w:pPr>
      <w:r>
        <w:t xml:space="preserve">Harrison, X.A. (2014).</w:t>
      </w:r>
      <w:r>
        <w:t xml:space="preserve"> </w:t>
      </w:r>
      <w:hyperlink r:id="rId80">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196"/>
    <w:bookmarkStart w:id="197"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82">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197"/>
    <w:bookmarkStart w:id="198" w:name="ref-jorgensen_drosophila_2019"/>
    <w:p>
      <w:pPr>
        <w:pStyle w:val="Bibliography"/>
      </w:pPr>
      <w:r>
        <w:t xml:space="preserve">Jørgensen, L.B., Malte, H. &amp; Overgaard, J. (2019).</w:t>
      </w:r>
      <w:r>
        <w:t xml:space="preserve"> </w:t>
      </w:r>
      <w:hyperlink r:id="rId84">
        <w:r>
          <w:rPr>
            <w:rStyle w:val="Hyperlink"/>
          </w:rPr>
          <w:t xml:space="preserve">How to assess</w:t>
        </w:r>
        <w:r>
          <w:rPr>
            <w:rStyle w:val="Hyperlink"/>
          </w:rPr>
          <w:t xml:space="preserve"> </w:t>
        </w:r>
        <w:r>
          <w:rPr>
            <w:rStyle w:val="Hyperlink"/>
          </w:rPr>
          <w:t xml:space="preserve">D</w:t>
        </w:r>
        <w:r>
          <w:rPr>
            <w:rStyle w:val="Hyperlink"/>
          </w:rPr>
          <w:t xml:space="preserve">rosophila 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198"/>
    <w:bookmarkStart w:id="199" w:name="ref-jorgensen_unifying_2021"/>
    <w:p>
      <w:pPr>
        <w:pStyle w:val="Bibliography"/>
      </w:pPr>
      <w:r>
        <w:t xml:space="preserve">Jørgensen, L.B., Malte, H. &amp; Overgaard, J. (2021).</w:t>
      </w:r>
      <w:r>
        <w:t xml:space="preserve"> </w:t>
      </w:r>
      <w:hyperlink r:id="rId86">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199"/>
    <w:bookmarkStart w:id="200" w:name="ref-jorgensen_nature_2022"/>
    <w:p>
      <w:pPr>
        <w:pStyle w:val="Bibliography"/>
      </w:pPr>
      <w:r>
        <w:t xml:space="preserve">Jørgensen, L.B., Ørsted, M., Malte, H., Wang, T. &amp; Overgaard, J. (2022).</w:t>
      </w:r>
      <w:r>
        <w:t xml:space="preserve"> </w:t>
      </w:r>
      <w:hyperlink r:id="rId88">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200"/>
    <w:bookmarkStart w:id="201" w:name="ref-kingsolver_umbanhowar_2018"/>
    <w:p>
      <w:pPr>
        <w:pStyle w:val="Bibliography"/>
      </w:pPr>
      <w:r>
        <w:t xml:space="preserve">Kingsolver, J.G. &amp; Umbanhowar, J. (2018).</w:t>
      </w:r>
      <w:r>
        <w:t xml:space="preserve"> </w:t>
      </w:r>
      <w:hyperlink r:id="rId90">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201"/>
    <w:bookmarkStart w:id="202" w:name="ref-nakagawa_santos_2012"/>
    <w:p>
      <w:pPr>
        <w:pStyle w:val="Bibliography"/>
      </w:pPr>
      <w:r>
        <w:t xml:space="preserve">Nakagawa, S. &amp; Santos, E.S.A. (2012).</w:t>
      </w:r>
      <w:r>
        <w:t xml:space="preserve"> </w:t>
      </w:r>
      <w:hyperlink r:id="rId92">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202"/>
    <w:bookmarkStart w:id="203" w:name="ref-nielsen_nlmm_2004"/>
    <w:p>
      <w:pPr>
        <w:pStyle w:val="Bibliography"/>
      </w:pPr>
      <w:r>
        <w:t xml:space="preserve">Nielsen, O.K., Ritz, C. &amp; Streibig, J.C. (2004).</w:t>
      </w:r>
      <w:r>
        <w:t xml:space="preserve"> </w:t>
      </w:r>
      <w:hyperlink r:id="rId94">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203"/>
    <w:bookmarkStart w:id="204" w:name="ref-orsted_finding_2022"/>
    <w:p>
      <w:pPr>
        <w:pStyle w:val="Bibliography"/>
      </w:pPr>
      <w:r>
        <w:t xml:space="preserve">Ørsted, M., Jørgensen, L.B. &amp; Overgaard, J. (2022).</w:t>
      </w:r>
      <w:r>
        <w:t xml:space="preserve"> </w:t>
      </w:r>
      <w:hyperlink r:id="rId96">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w:t>
        </w:r>
        <w:r>
          <w:rPr>
            <w:rStyle w:val="Hyperlink"/>
          </w:rPr>
          <w:t xml:space="preserve">max in ectotherms</w:t>
        </w:r>
      </w:hyperlink>
      <w:r>
        <w:t xml:space="preserve">.</w:t>
      </w:r>
      <w:r>
        <w:t xml:space="preserve"> </w:t>
      </w:r>
      <w:r>
        <w:rPr>
          <w:i/>
          <w:iCs/>
        </w:rPr>
        <w:t xml:space="preserve">Journal of Experimental Biology</w:t>
      </w:r>
      <w:r>
        <w:t xml:space="preserve">, 225, jeb244514.</w:t>
      </w:r>
    </w:p>
    <w:bookmarkEnd w:id="204"/>
    <w:bookmarkStart w:id="205" w:name="ref-orsted_suzukii_2024"/>
    <w:p>
      <w:pPr>
        <w:pStyle w:val="Bibliography"/>
      </w:pPr>
      <w:r>
        <w:t xml:space="preserve">Ørsted, M., Willot, Q., Olsen, A.K., Kongsgaard, V. &amp; Overgaard, J. (2024).</w:t>
      </w:r>
      <w:r>
        <w:t xml:space="preserve"> </w:t>
      </w:r>
      <w:hyperlink r:id="rId98">
        <w:r>
          <w:rPr>
            <w:rStyle w:val="Hyperlink"/>
          </w:rPr>
          <w:t xml:space="preserve">Thermal limits of survival and reproduction depend on stress duration: A case study of</w:t>
        </w:r>
        <w:r>
          <w:rPr>
            <w:rStyle w:val="Hyperlink"/>
          </w:rPr>
          <w:t xml:space="preserve"> </w:t>
        </w:r>
        <w:r>
          <w:rPr>
            <w:rStyle w:val="Hyperlink"/>
          </w:rPr>
          <w:t xml:space="preserve">D</w:t>
        </w:r>
        <w:r>
          <w:rPr>
            <w:rStyle w:val="Hyperlink"/>
          </w:rPr>
          <w:t xml:space="preserve">rosophila suzukii</w:t>
        </w:r>
      </w:hyperlink>
      <w:r>
        <w:t xml:space="preserve">.</w:t>
      </w:r>
      <w:r>
        <w:t xml:space="preserve"> </w:t>
      </w:r>
      <w:r>
        <w:rPr>
          <w:i/>
          <w:iCs/>
        </w:rPr>
        <w:t xml:space="preserve">Ecology Letters</w:t>
      </w:r>
      <w:r>
        <w:t xml:space="preserve">, 27, e14421.</w:t>
      </w:r>
    </w:p>
    <w:bookmarkEnd w:id="205"/>
    <w:bookmarkStart w:id="206" w:name="ref-pinsky_marine_2019"/>
    <w:p>
      <w:pPr>
        <w:pStyle w:val="Bibliography"/>
      </w:pPr>
      <w:r>
        <w:t xml:space="preserve">Pinsky, M.L., Eikeset, A.M., McCauley, D.J., Payne, J.L. &amp; Sunday, J.M. (2019).</w:t>
      </w:r>
      <w:r>
        <w:t xml:space="preserve"> </w:t>
      </w:r>
      <w:hyperlink r:id="rId100">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206"/>
    <w:bookmarkStart w:id="207"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02">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207"/>
    <w:bookmarkStart w:id="208" w:name="ref-rezende_drosophila_mortality_2020"/>
    <w:p>
      <w:pPr>
        <w:pStyle w:val="Bibliography"/>
      </w:pPr>
      <w:r>
        <w:t xml:space="preserve">Rezende, E.L., Bozinovic, F., Szilágyi, A. &amp; Santos, M. (2020).</w:t>
      </w:r>
      <w:r>
        <w:t xml:space="preserve"> </w:t>
      </w:r>
      <w:hyperlink r:id="rId104">
        <w:r>
          <w:rPr>
            <w:rStyle w:val="Hyperlink"/>
          </w:rPr>
          <w:t xml:space="preserve">Predicting temperature mortality and selection in natural</w:t>
        </w:r>
        <w:r>
          <w:rPr>
            <w:rStyle w:val="Hyperlink"/>
          </w:rPr>
          <w:t xml:space="preserve"> </w:t>
        </w:r>
        <w:r>
          <w:rPr>
            <w:rStyle w:val="Hyperlink"/>
          </w:rPr>
          <w:t xml:space="preserve">D</w:t>
        </w:r>
        <w:r>
          <w:rPr>
            <w:rStyle w:val="Hyperlink"/>
          </w:rPr>
          <w:t xml:space="preserve">rosophila populations</w:t>
        </w:r>
      </w:hyperlink>
      <w:r>
        <w:t xml:space="preserve">.</w:t>
      </w:r>
      <w:r>
        <w:t xml:space="preserve"> </w:t>
      </w:r>
      <w:r>
        <w:rPr>
          <w:i/>
          <w:iCs/>
        </w:rPr>
        <w:t xml:space="preserve">Science</w:t>
      </w:r>
      <w:r>
        <w:t xml:space="preserve">, 369, 1242–1245.</w:t>
      </w:r>
    </w:p>
    <w:bookmarkEnd w:id="208"/>
    <w:bookmarkStart w:id="209" w:name="ref-rezende_landscapes_2014"/>
    <w:p>
      <w:pPr>
        <w:pStyle w:val="Bibliography"/>
      </w:pPr>
      <w:r>
        <w:t xml:space="preserve">Rezende, E.L., Castañeda, L.E. &amp; Santos, M. (2014).</w:t>
      </w:r>
      <w:r>
        <w:t xml:space="preserve"> </w:t>
      </w:r>
      <w:hyperlink r:id="rId106">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09"/>
    <w:bookmarkStart w:id="210" w:name="ref-ritz_ecotox_2010"/>
    <w:p>
      <w:pPr>
        <w:pStyle w:val="Bibliography"/>
      </w:pPr>
      <w:r>
        <w:t xml:space="preserve">Ritz, C. (2010).</w:t>
      </w:r>
      <w:r>
        <w:t xml:space="preserve"> </w:t>
      </w:r>
      <w:hyperlink r:id="rId108">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210"/>
    <w:bookmarkStart w:id="211" w:name="ref-ritz_drc_2015"/>
    <w:p>
      <w:pPr>
        <w:pStyle w:val="Bibliography"/>
      </w:pPr>
      <w:r>
        <w:t xml:space="preserve">Ritz, C., Baty, F., Streibig, J.C. &amp; Gerhard, D. (2015).</w:t>
      </w:r>
      <w:r>
        <w:t xml:space="preserve"> </w:t>
      </w:r>
      <w:hyperlink r:id="rId110">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211"/>
    <w:bookmarkStart w:id="212" w:name="ref-ritz_streibig_2008"/>
    <w:p>
      <w:pPr>
        <w:pStyle w:val="Bibliography"/>
      </w:pPr>
      <w:r>
        <w:t xml:space="preserve">Ritz, C. &amp; Streibig, J.C. (2008).</w:t>
      </w:r>
      <w:r>
        <w:t xml:space="preserve"> </w:t>
      </w:r>
      <w:hyperlink r:id="rId112">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212"/>
    <w:bookmarkStart w:id="213" w:name="ref-rudemo_random_1989"/>
    <w:p>
      <w:pPr>
        <w:pStyle w:val="Bibliography"/>
      </w:pPr>
      <w:r>
        <w:t xml:space="preserve">Rudemo, M., Ruppert, D. &amp; Streibig, J.C. (1989).</w:t>
      </w:r>
      <w:r>
        <w:t xml:space="preserve"> </w:t>
      </w:r>
      <w:hyperlink r:id="rId114">
        <w:r>
          <w:rPr>
            <w:rStyle w:val="Hyperlink"/>
          </w:rPr>
          <w:t xml:space="preserve">Random-effect models in nonlinear regression with applications to bioassay</w:t>
        </w:r>
      </w:hyperlink>
      <w:r>
        <w:t xml:space="preserve">.</w:t>
      </w:r>
      <w:r>
        <w:t xml:space="preserve"> </w:t>
      </w:r>
      <w:r>
        <w:rPr>
          <w:i/>
          <w:iCs/>
        </w:rPr>
        <w:t xml:space="preserve">Biometrics</w:t>
      </w:r>
      <w:r>
        <w:t xml:space="preserve">, 45, 349–362.</w:t>
      </w:r>
    </w:p>
    <w:bookmarkEnd w:id="213"/>
    <w:bookmarkStart w:id="214" w:name="ref-schielzeth_centering_2010"/>
    <w:p>
      <w:pPr>
        <w:pStyle w:val="Bibliography"/>
      </w:pPr>
      <w:r>
        <w:t xml:space="preserve">Schielzeth, H. (2010).</w:t>
      </w:r>
      <w:r>
        <w:t xml:space="preserve"> </w:t>
      </w:r>
      <w:hyperlink r:id="rId116">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214"/>
    <w:bookmarkStart w:id="215"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8">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215"/>
    <w:bookmarkStart w:id="216" w:name="ref-snook_fertility_2026"/>
    <w:p>
      <w:pPr>
        <w:pStyle w:val="Bibliography"/>
      </w:pPr>
      <w:r>
        <w:t xml:space="preserve">Snook, R.R., Bretman, A., Dougherty, L.R. &amp; Fricke, C. (2026).</w:t>
      </w:r>
      <w:r>
        <w:t xml:space="preserve"> </w:t>
      </w:r>
      <w:hyperlink r:id="rId120">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216"/>
    <w:bookmarkStart w:id="217" w:name="ref-sunday_global_2011"/>
    <w:p>
      <w:pPr>
        <w:pStyle w:val="Bibliography"/>
      </w:pPr>
      <w:r>
        <w:t xml:space="preserve">Sunday, J.M., Bates, A.E. &amp; Dulvy, N.K. (2011).</w:t>
      </w:r>
      <w:r>
        <w:t xml:space="preserve"> </w:t>
      </w:r>
      <w:hyperlink r:id="rId122">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217"/>
    <w:bookmarkStart w:id="218" w:name="ref-sunday_redistribution_2012"/>
    <w:p>
      <w:pPr>
        <w:pStyle w:val="Bibliography"/>
      </w:pPr>
      <w:r>
        <w:t xml:space="preserve">Sunday, J.M., Bates, A.E. &amp; Dulvy, N.K. (2012).</w:t>
      </w:r>
      <w:r>
        <w:t xml:space="preserve"> </w:t>
      </w:r>
      <w:hyperlink r:id="rId124">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218"/>
    <w:bookmarkStart w:id="219" w:name="ref-villeneuve_dynamic_2024"/>
    <w:p>
      <w:pPr>
        <w:pStyle w:val="Bibliography"/>
      </w:pPr>
      <w:r>
        <w:t xml:space="preserve">Villeneuve, A.R. &amp; White, E.R. (2024).</w:t>
      </w:r>
      <w:r>
        <w:t xml:space="preserve"> </w:t>
      </w:r>
      <w:hyperlink r:id="rId126">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219"/>
    <w:bookmarkStart w:id="220" w:name="ref-wiens_localextinctions_2016"/>
    <w:p>
      <w:pPr>
        <w:pStyle w:val="Bibliography"/>
      </w:pPr>
      <w:r>
        <w:t xml:space="preserve">Wiens, J.J. (2016).</w:t>
      </w:r>
      <w:r>
        <w:t xml:space="preserve"> </w:t>
      </w:r>
      <w:hyperlink r:id="rId128">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220"/>
    <w:bookmarkEnd w:id="221"/>
    <w:bookmarkEnd w:id="222"/>
    <w:bookmarkStart w:id="223" w:name="session-information"/>
    <w:p>
      <w:pPr>
        <w:pStyle w:val="Heading1"/>
      </w:pPr>
      <w:r>
        <w:t xml:space="preserve">17. </w:t>
      </w:r>
      <w:r>
        <w:rPr>
          <w:b/>
          <w:bCs/>
        </w:rPr>
        <w:t xml:space="preserve">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pander(v.0.6.6)</w:t>
      </w:r>
      <w:r>
        <w:t xml:space="preserve">,</w:t>
      </w:r>
      <w:r>
        <w:t xml:space="preserve"> </w:t>
      </w:r>
      <w:r>
        <w:rPr>
          <w:i/>
          <w:iCs/>
        </w:rPr>
        <w:t xml:space="preserve">flextable(v.0.9.9)</w:t>
      </w:r>
      <w:r>
        <w:t xml:space="preserve">,</w:t>
      </w:r>
      <w:r>
        <w:t xml:space="preserve"> </w:t>
      </w:r>
      <w:r>
        <w:rPr>
          <w:i/>
          <w:iCs/>
        </w:rPr>
        <w:t xml:space="preserve">tidybayes(v.3.0.7)</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fontquiver(v.0.2.1)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survival(v.3.8-6)</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data.table(v.1.18.2.1)</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askpass(v.1.2.1)</w:t>
      </w:r>
      <w:r>
        <w:t xml:space="preserve">,</w:t>
      </w:r>
      <w:r>
        <w:t xml:space="preserve"> </w:t>
      </w:r>
      <w:r>
        <w:rPr>
          <w:i/>
          <w:iCs/>
        </w:rPr>
        <w:t xml:space="preserve">bridgesampling(v.1.2-1)</w:t>
      </w:r>
      <w:r>
        <w:t xml:space="preserve">,</w:t>
      </w:r>
      <w:r>
        <w:t xml:space="preserve"> </w:t>
      </w:r>
      <w:r>
        <w:rPr>
          <w:i/>
          <w:iCs/>
        </w:rPr>
        <w:t xml:space="preserve">pkgbuild(v.1.4.8)</w:t>
      </w:r>
      <w:r>
        <w:t xml:space="preserve">,</w:t>
      </w:r>
      <w:r>
        <w:t xml:space="preserve"> </w:t>
      </w:r>
      <w:r>
        <w:rPr>
          <w:i/>
          <w:iCs/>
        </w:rPr>
        <w:t xml:space="preserve">curl(v.7.1.0)</w:t>
      </w:r>
      <w:r>
        <w:t xml:space="preserve">,</w:t>
      </w:r>
      <w:r>
        <w:t xml:space="preserve"> </w:t>
      </w:r>
      <w:r>
        <w:rPr>
          <w:i/>
          <w:iCs/>
        </w:rPr>
        <w:t xml:space="preserve">xml2(v.1.5.2)</w:t>
      </w:r>
      <w:r>
        <w:t xml:space="preserve">,</w:t>
      </w:r>
      <w:r>
        <w:t xml:space="preserve"> </w:t>
      </w:r>
      <w:r>
        <w:rPr>
          <w:i/>
          <w:iCs/>
        </w:rPr>
        <w:t xml:space="preserve">RColorBrewer(v.1.1-3)</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stats4(v.4.5.3)</w:t>
      </w:r>
      <w:r>
        <w:t xml:space="preserve">,</w:t>
      </w:r>
      <w:r>
        <w:t xml:space="preserve"> </w:t>
      </w:r>
      <w:r>
        <w:rPr>
          <w:i/>
          <w:iCs/>
        </w:rPr>
        <w:t xml:space="preserve">grid(v.4.5.3)</w:t>
      </w:r>
      <w:r>
        <w:t xml:space="preserve">,</w:t>
      </w:r>
      <w:r>
        <w:t xml:space="preserve"> </w:t>
      </w:r>
      <w:r>
        <w:rPr>
          <w:i/>
          <w:iCs/>
        </w:rPr>
        <w:t xml:space="preserve">gdtools(v.0.4.2)</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xtable(v.1.8-8)</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ragg(v.1.5.2)</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katex(v.1.5.0)</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fontBitstreamVera(v.0.1.1)</w:t>
      </w:r>
      <w:r>
        <w:t xml:space="preserve">,</w:t>
      </w:r>
      <w:r>
        <w:t xml:space="preserve"> </w:t>
      </w:r>
      <w:r>
        <w:rPr>
          <w:i/>
          <w:iCs/>
        </w:rPr>
        <w:t xml:space="preserve">arrayhelpers(v.1.1-0)</w:t>
      </w:r>
      <w:r>
        <w:t xml:space="preserve">,</w:t>
      </w:r>
      <w:r>
        <w:t xml:space="preserve"> </w:t>
      </w:r>
      <w:r>
        <w:rPr>
          <w:i/>
          <w:iCs/>
        </w:rPr>
        <w:t xml:space="preserve">systemfonts(v.1.3.2)</w:t>
      </w:r>
      <w:r>
        <w:t xml:space="preserve">,</w:t>
      </w:r>
      <w:r>
        <w:t xml:space="preserve"> </w:t>
      </w:r>
      <w:r>
        <w:rPr>
          <w:i/>
          <w:iCs/>
        </w:rPr>
        <w:t xml:space="preserve">xslt(v.1.5.1)</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equatags(v.0.2.1)</w:t>
      </w:r>
      <w:r>
        <w:t xml:space="preserve">,</w:t>
      </w:r>
      <w:r>
        <w:t xml:space="preserve"> </w:t>
      </w:r>
      <w:r>
        <w:rPr>
          <w:i/>
          <w:iCs/>
        </w:rPr>
        <w:t xml:space="preserve">codetools(v.0.2-20)</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openssl(v.2.4.0)</w:t>
      </w:r>
      <w:r>
        <w:t xml:space="preserve">,</w:t>
      </w:r>
      <w:r>
        <w:t xml:space="preserve"> </w:t>
      </w:r>
      <w:r>
        <w:rPr>
          <w:i/>
          <w:iCs/>
        </w:rPr>
        <w:t xml:space="preserve">R6(v.2.6.1)</w:t>
      </w:r>
      <w:r>
        <w:t xml:space="preserve">,</w:t>
      </w:r>
      <w:r>
        <w:t xml:space="preserve"> </w:t>
      </w:r>
      <w:r>
        <w:rPr>
          <w:i/>
          <w:iCs/>
        </w:rPr>
        <w:t xml:space="preserve">textshaping(v.1.0.5)</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fontLiberation(v.0.1.0)</w:t>
      </w:r>
      <w:r>
        <w:t xml:space="preserve">,</w:t>
      </w:r>
      <w:r>
        <w:t xml:space="preserve"> </w:t>
      </w:r>
      <w:r>
        <w:rPr>
          <w:i/>
          <w:iCs/>
        </w:rPr>
        <w:t xml:space="preserve">rstantools(v.2.6.0)</w:t>
      </w:r>
      <w:r>
        <w:t xml:space="preserve">,</w:t>
      </w:r>
      <w:r>
        <w:t xml:space="preserve"> </w:t>
      </w:r>
      <w:r>
        <w:rPr>
          <w:i/>
          <w:iCs/>
        </w:rPr>
        <w:t xml:space="preserve">zip(v.2.3.3)</w:t>
      </w:r>
      <w:r>
        <w:t xml:space="preserve">,</w:t>
      </w:r>
      <w:r>
        <w:t xml:space="preserve"> </w:t>
      </w:r>
      <w:r>
        <w:rPr>
          <w:i/>
          <w:iCs/>
        </w:rPr>
        <w:t xml:space="preserve">uuid(v.1.2-2)</w:t>
      </w:r>
      <w:r>
        <w:t xml:space="preserve">,</w:t>
      </w:r>
      <w:r>
        <w:t xml:space="preserve"> </w:t>
      </w:r>
      <w:r>
        <w:rPr>
          <w:i/>
          <w:iCs/>
        </w:rPr>
        <w:t xml:space="preserve">gridExtra(v.2.3)</w:t>
      </w:r>
      <w:r>
        <w:t xml:space="preserve">,</w:t>
      </w:r>
      <w:r>
        <w:t xml:space="preserve"> </w:t>
      </w:r>
      <w:r>
        <w:rPr>
          <w:i/>
          <w:iCs/>
        </w:rPr>
        <w:t xml:space="preserve">coda(v.0.19-4.1)</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officer(v.0.6.10)</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223"/>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8" Target="media/rId148.png" /><Relationship Type="http://schemas.openxmlformats.org/officeDocument/2006/relationships/image" Id="rId160" Target="media/rId160.png" /><Relationship Type="http://schemas.openxmlformats.org/officeDocument/2006/relationships/image" Id="rId144" Target="media/rId144.png" /><Relationship Type="http://schemas.openxmlformats.org/officeDocument/2006/relationships/image" Id="rId167" Target="media/rId167.png" /><Relationship Type="http://schemas.openxmlformats.org/officeDocument/2006/relationships/image" Id="rId135" Target="media/rId135.png" /><Relationship Type="http://schemas.openxmlformats.org/officeDocument/2006/relationships/image" Id="rId180" Target="media/rId180.png" /><Relationship Type="http://schemas.openxmlformats.org/officeDocument/2006/relationships/hyperlink" Id="rId108" Target="https://doi.org/10.1002/etc.7" TargetMode="External" /><Relationship Type="http://schemas.openxmlformats.org/officeDocument/2006/relationships/hyperlink" Id="rId70" Target="https://doi.org/10.1002/sim.7141" TargetMode="External" /><Relationship Type="http://schemas.openxmlformats.org/officeDocument/2006/relationships/hyperlink" Id="rId112" Target="https://doi.org/10.1007/978-0-387-09616-2" TargetMode="External" /><Relationship Type="http://schemas.openxmlformats.org/officeDocument/2006/relationships/hyperlink" Id="rId92" Target="https://doi.org/10.1007/s10682-012-9555-5" TargetMode="External" /><Relationship Type="http://schemas.openxmlformats.org/officeDocument/2006/relationships/hyperlink" Id="rId124" Target="https://doi.org/10.1038/nclimate1539" TargetMode="External" /><Relationship Type="http://schemas.openxmlformats.org/officeDocument/2006/relationships/hyperlink" Id="rId118" Target="https://doi.org/10.1038/s41558-019-0412-1" TargetMode="External" /><Relationship Type="http://schemas.openxmlformats.org/officeDocument/2006/relationships/hyperlink" Id="rId100" Target="https://doi.org/10.1038/s41586-019-1132-4" TargetMode="External" /><Relationship Type="http://schemas.openxmlformats.org/officeDocument/2006/relationships/hyperlink" Id="rId88" Target="https://doi.org/10.1038/s41586-022-05334-4" TargetMode="External" /><Relationship Type="http://schemas.openxmlformats.org/officeDocument/2006/relationships/hyperlink" Id="rId102" Target="https://doi.org/10.1038/s41586-025-08665-0" TargetMode="External" /><Relationship Type="http://schemas.openxmlformats.org/officeDocument/2006/relationships/hyperlink" Id="rId86" Target="https://doi.org/10.1038/s41598-021-92004-6" TargetMode="External" /><Relationship Type="http://schemas.openxmlformats.org/officeDocument/2006/relationships/hyperlink" Id="rId120" Target="https://doi.org/10.1038/s44358-026-00142-4" TargetMode="External" /><Relationship Type="http://schemas.openxmlformats.org/officeDocument/2006/relationships/hyperlink" Id="rId76" Target="https://doi.org/10.1073/pnas.0709472105" TargetMode="External" /><Relationship Type="http://schemas.openxmlformats.org/officeDocument/2006/relationships/hyperlink" Id="rId68" Target="https://doi.org/10.1093/icb/icaf019" TargetMode="External" /><Relationship Type="http://schemas.openxmlformats.org/officeDocument/2006/relationships/hyperlink" Id="rId122" Target="https://doi.org/10.1098/rspb.2010.1295" TargetMode="External" /><Relationship Type="http://schemas.openxmlformats.org/officeDocument/2006/relationships/hyperlink" Id="rId106" Target="https://doi.org/10.1111/1365-2435.12268" TargetMode="External" /><Relationship Type="http://schemas.openxmlformats.org/officeDocument/2006/relationships/hyperlink" Id="rId84" Target="https://doi.org/10.1111/1365-2435.13279" TargetMode="External" /><Relationship Type="http://schemas.openxmlformats.org/officeDocument/2006/relationships/hyperlink" Id="rId126" Target="https://doi.org/10.1111/1365-2656.14120" TargetMode="External" /><Relationship Type="http://schemas.openxmlformats.org/officeDocument/2006/relationships/hyperlink" Id="rId98" Target="https://doi.org/10.1111/ele.14421" TargetMode="External" /><Relationship Type="http://schemas.openxmlformats.org/officeDocument/2006/relationships/hyperlink" Id="rId64" Target="https://doi.org/10.1111/gcb.70315" TargetMode="External" /><Relationship Type="http://schemas.openxmlformats.org/officeDocument/2006/relationships/hyperlink" Id="rId116" Target="https://doi.org/10.1111/j.2041-210X.2010.00012.x" TargetMode="External" /><Relationship Type="http://schemas.openxmlformats.org/officeDocument/2006/relationships/hyperlink" Id="rId104" Target="https://doi.org/10.1126/science.aba9287" TargetMode="External" /><Relationship Type="http://schemas.openxmlformats.org/officeDocument/2006/relationships/hyperlink" Id="rId74" Target="https://doi.org/10.1201/9781420010138" TargetMode="External" /><Relationship Type="http://schemas.openxmlformats.org/officeDocument/2006/relationships/hyperlink" Id="rId78" Target="https://doi.org/10.1214/06-BA117A" TargetMode="External" /><Relationship Type="http://schemas.openxmlformats.org/officeDocument/2006/relationships/hyperlink" Id="rId90" Target="https://doi.org/10.1242/jeb.167858" TargetMode="External" /><Relationship Type="http://schemas.openxmlformats.org/officeDocument/2006/relationships/hyperlink" Id="rId96" Target="https://doi.org/10.1242/jeb.244514" TargetMode="External" /><Relationship Type="http://schemas.openxmlformats.org/officeDocument/2006/relationships/hyperlink" Id="rId128" Target="https://doi.org/10.1371/journal.pbio.2001104" TargetMode="External" /><Relationship Type="http://schemas.openxmlformats.org/officeDocument/2006/relationships/hyperlink" Id="rId110" Target="https://doi.org/10.1371/journal.pone.0146021" TargetMode="External" /><Relationship Type="http://schemas.openxmlformats.org/officeDocument/2006/relationships/hyperlink" Id="rId94" Target="https://doi.org/10.1614/WT-03-070R1" TargetMode="External" /><Relationship Type="http://schemas.openxmlformats.org/officeDocument/2006/relationships/hyperlink" Id="rId72" Target="https://doi.org/10.18637/jss.v080.i01" TargetMode="External" /><Relationship Type="http://schemas.openxmlformats.org/officeDocument/2006/relationships/hyperlink" Id="rId114" Target="https://doi.org/10.2307/2531483" TargetMode="External" /><Relationship Type="http://schemas.openxmlformats.org/officeDocument/2006/relationships/hyperlink" Id="rId82" Target="https://doi.org/10.7717/peerj.4794" TargetMode="External" /><Relationship Type="http://schemas.openxmlformats.org/officeDocument/2006/relationships/hyperlink" Id="rId80" Target="https://doi.org/10.7717/peerj.616" TargetMode="External" /><Relationship Type="http://schemas.openxmlformats.org/officeDocument/2006/relationships/hyperlink" Id="rId59" Target="https://github.com/..." TargetMode="External" /><Relationship Type="http://schemas.openxmlformats.org/officeDocument/2006/relationships/hyperlink" Id="rId61" Target="https://mc-stan.org/cmdstanr/" TargetMode="External" /><Relationship Type="http://schemas.openxmlformats.org/officeDocument/2006/relationships/hyperlink" Id="rId60" Target="https://paulbuerkner.com/brms/" TargetMode="External" /><Relationship Type="http://schemas.openxmlformats.org/officeDocument/2006/relationships/hyperlink" Id="rId66" Target="https://press.princeton.edu/books/hardcover/9780691125220/ecological-models-and-data-in-r" TargetMode="External" /></Relationships>
</file>

<file path=word/_rels/footnotes.xml.rels><?xml version="1.0" encoding="UTF-8"?><Relationships xmlns="http://schemas.openxmlformats.org/package/2006/relationships"><Relationship Type="http://schemas.openxmlformats.org/officeDocument/2006/relationships/hyperlink" Id="rId108" Target="https://doi.org/10.1002/etc.7" TargetMode="External" /><Relationship Type="http://schemas.openxmlformats.org/officeDocument/2006/relationships/hyperlink" Id="rId70" Target="https://doi.org/10.1002/sim.7141" TargetMode="External" /><Relationship Type="http://schemas.openxmlformats.org/officeDocument/2006/relationships/hyperlink" Id="rId112" Target="https://doi.org/10.1007/978-0-387-09616-2" TargetMode="External" /><Relationship Type="http://schemas.openxmlformats.org/officeDocument/2006/relationships/hyperlink" Id="rId92" Target="https://doi.org/10.1007/s10682-012-9555-5" TargetMode="External" /><Relationship Type="http://schemas.openxmlformats.org/officeDocument/2006/relationships/hyperlink" Id="rId124" Target="https://doi.org/10.1038/nclimate1539" TargetMode="External" /><Relationship Type="http://schemas.openxmlformats.org/officeDocument/2006/relationships/hyperlink" Id="rId118" Target="https://doi.org/10.1038/s41558-019-0412-1" TargetMode="External" /><Relationship Type="http://schemas.openxmlformats.org/officeDocument/2006/relationships/hyperlink" Id="rId100" Target="https://doi.org/10.1038/s41586-019-1132-4" TargetMode="External" /><Relationship Type="http://schemas.openxmlformats.org/officeDocument/2006/relationships/hyperlink" Id="rId88" Target="https://doi.org/10.1038/s41586-022-05334-4" TargetMode="External" /><Relationship Type="http://schemas.openxmlformats.org/officeDocument/2006/relationships/hyperlink" Id="rId102" Target="https://doi.org/10.1038/s41586-025-08665-0" TargetMode="External" /><Relationship Type="http://schemas.openxmlformats.org/officeDocument/2006/relationships/hyperlink" Id="rId86" Target="https://doi.org/10.1038/s41598-021-92004-6" TargetMode="External" /><Relationship Type="http://schemas.openxmlformats.org/officeDocument/2006/relationships/hyperlink" Id="rId120" Target="https://doi.org/10.1038/s44358-026-00142-4" TargetMode="External" /><Relationship Type="http://schemas.openxmlformats.org/officeDocument/2006/relationships/hyperlink" Id="rId76" Target="https://doi.org/10.1073/pnas.0709472105" TargetMode="External" /><Relationship Type="http://schemas.openxmlformats.org/officeDocument/2006/relationships/hyperlink" Id="rId68" Target="https://doi.org/10.1093/icb/icaf019" TargetMode="External" /><Relationship Type="http://schemas.openxmlformats.org/officeDocument/2006/relationships/hyperlink" Id="rId122" Target="https://doi.org/10.1098/rspb.2010.1295" TargetMode="External" /><Relationship Type="http://schemas.openxmlformats.org/officeDocument/2006/relationships/hyperlink" Id="rId106" Target="https://doi.org/10.1111/1365-2435.12268" TargetMode="External" /><Relationship Type="http://schemas.openxmlformats.org/officeDocument/2006/relationships/hyperlink" Id="rId84" Target="https://doi.org/10.1111/1365-2435.13279" TargetMode="External" /><Relationship Type="http://schemas.openxmlformats.org/officeDocument/2006/relationships/hyperlink" Id="rId126" Target="https://doi.org/10.1111/1365-2656.14120" TargetMode="External" /><Relationship Type="http://schemas.openxmlformats.org/officeDocument/2006/relationships/hyperlink" Id="rId98" Target="https://doi.org/10.1111/ele.14421" TargetMode="External" /><Relationship Type="http://schemas.openxmlformats.org/officeDocument/2006/relationships/hyperlink" Id="rId64" Target="https://doi.org/10.1111/gcb.70315" TargetMode="External" /><Relationship Type="http://schemas.openxmlformats.org/officeDocument/2006/relationships/hyperlink" Id="rId116" Target="https://doi.org/10.1111/j.2041-210X.2010.00012.x" TargetMode="External" /><Relationship Type="http://schemas.openxmlformats.org/officeDocument/2006/relationships/hyperlink" Id="rId104" Target="https://doi.org/10.1126/science.aba9287" TargetMode="External" /><Relationship Type="http://schemas.openxmlformats.org/officeDocument/2006/relationships/hyperlink" Id="rId74" Target="https://doi.org/10.1201/9781420010138" TargetMode="External" /><Relationship Type="http://schemas.openxmlformats.org/officeDocument/2006/relationships/hyperlink" Id="rId78" Target="https://doi.org/10.1214/06-BA117A" TargetMode="External" /><Relationship Type="http://schemas.openxmlformats.org/officeDocument/2006/relationships/hyperlink" Id="rId90" Target="https://doi.org/10.1242/jeb.167858" TargetMode="External" /><Relationship Type="http://schemas.openxmlformats.org/officeDocument/2006/relationships/hyperlink" Id="rId96" Target="https://doi.org/10.1242/jeb.244514" TargetMode="External" /><Relationship Type="http://schemas.openxmlformats.org/officeDocument/2006/relationships/hyperlink" Id="rId128" Target="https://doi.org/10.1371/journal.pbio.2001104" TargetMode="External" /><Relationship Type="http://schemas.openxmlformats.org/officeDocument/2006/relationships/hyperlink" Id="rId110" Target="https://doi.org/10.1371/journal.pone.0146021" TargetMode="External" /><Relationship Type="http://schemas.openxmlformats.org/officeDocument/2006/relationships/hyperlink" Id="rId94" Target="https://doi.org/10.1614/WT-03-070R1" TargetMode="External" /><Relationship Type="http://schemas.openxmlformats.org/officeDocument/2006/relationships/hyperlink" Id="rId72" Target="https://doi.org/10.18637/jss.v080.i01" TargetMode="External" /><Relationship Type="http://schemas.openxmlformats.org/officeDocument/2006/relationships/hyperlink" Id="rId114" Target="https://doi.org/10.2307/2531483" TargetMode="External" /><Relationship Type="http://schemas.openxmlformats.org/officeDocument/2006/relationships/hyperlink" Id="rId82" Target="https://doi.org/10.7717/peerj.4794" TargetMode="External" /><Relationship Type="http://schemas.openxmlformats.org/officeDocument/2006/relationships/hyperlink" Id="rId80" Target="https://doi.org/10.7717/peerj.616" TargetMode="External" /><Relationship Type="http://schemas.openxmlformats.org/officeDocument/2006/relationships/hyperlink" Id="rId59" Target="https://github.com/..." TargetMode="External" /><Relationship Type="http://schemas.openxmlformats.org/officeDocument/2006/relationships/hyperlink" Id="rId61" Target="https://mc-stan.org/cmdstanr/" TargetMode="External" /><Relationship Type="http://schemas.openxmlformats.org/officeDocument/2006/relationships/hyperlink" Id="rId60" Target="https://paulbuerkner.com/brms/" TargetMode="External" /><Relationship Type="http://schemas.openxmlformats.org/officeDocument/2006/relationships/hyperlink" Id="rId66" Target="https://press.princeton.edu/books/hardcover/9780691125220/ecological-models-and-data-i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sensitivity across life</dc:title>
  <dc:creator>Daniel W.A. Noble; Pieter A. Arnold; Patrice Pottier</dc:creator>
  <cp:keywords/>
  <dcterms:created xsi:type="dcterms:W3CDTF">2026-05-06T15:10:45Z</dcterms:created>
  <dcterms:modified xsi:type="dcterms:W3CDTF">2026-05-06T15:10:45Z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bib/ecology-letters.csl</vt:lpwstr>
  </property>
  <property fmtid="{D5CDD505-2E9C-101B-9397-08002B2CF9AE}" pid="11" name="date">
    <vt:lpwstr>2026-05-06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template-partials">
    <vt:lpwstr/>
  </property>
  <property fmtid="{D5CDD505-2E9C-101B-9397-08002B2CF9AE}" pid="18" name="toc-title">
    <vt:lpwstr>Table of contents</vt:lpwstr>
  </property>
</Properties>
</file>