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2,3</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3</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 daniel.noble@anu.edu.au</w:t>
      </w:r>
    </w:p>
    <w:p>
      <w:pPr>
        <w:pStyle w:val="BodyText"/>
      </w:pPr>
      <w:r>
        <w:rPr>
          <w:b/>
          <w:bCs/>
        </w:rPr>
        <w:t xml:space="preserve">Abstract</w:t>
      </w:r>
    </w:p>
    <w:p>
      <w:pPr>
        <w:pStyle w:val="BodyText"/>
      </w:pPr>
      <w:r>
        <w:t xml:space="preserve">The thermal load sensitivity (TLS) and thermal death time (TDT) frameworks are gold standard approaches for estimating thermal tolerance and predict organismal vulnerability under natural thermal regimes. However, these frameworks are usually implemented through a two-step pipeline. Median times to lethal or sublethal endpoints (</w:t>
      </w:r>
      <m:oMath>
        <m:sSub>
          <m:e>
            <m:r>
              <m:t>t</m:t>
            </m:r>
          </m:e>
          <m:sub>
            <m:r>
              <m:t>50</m:t>
            </m:r>
          </m:sub>
        </m:sSub>
      </m:oMath>
      <w:r>
        <w:t xml:space="preserve">) are first estimated independently across a range of assay temperatures, and these</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then regressed against temperature. This two-step approach violates key statistical assumptions that are likely to bias the mean and variance in derived quantities such as thermal sensitivity (</w:t>
      </w:r>
      <m:oMath>
        <m:r>
          <m:t>z</m:t>
        </m:r>
      </m:oMath>
      <w:r>
        <w:t xml:space="preserve">), critical thermal limits (</w:t>
      </w:r>
      <m:oMath>
        <m:r>
          <m:t>C</m:t>
        </m:r>
        <m:sSub>
          <m:e>
            <m:r>
              <m:t>T</m:t>
            </m:r>
          </m:e>
          <m:sub>
            <m:r>
              <m:t>m</m:t>
            </m:r>
            <m:r>
              <m:t>a</m:t>
            </m:r>
            <m:r>
              <m:t>x</m:t>
            </m:r>
          </m:sub>
        </m:sSub>
      </m:oMath>
      <w:r>
        <w:t xml:space="preserve">), critical temperatures (</w:t>
      </w:r>
      <m:oMath>
        <m:sSub>
          <m:e>
            <m:r>
              <m:t>T</m:t>
            </m:r>
          </m:e>
          <m:sub>
            <m:r>
              <m:t>c</m:t>
            </m:r>
            <m:r>
              <m:t>r</m:t>
            </m:r>
            <m:r>
              <m:t>i</m:t>
            </m:r>
            <m:r>
              <m:t>t</m:t>
            </m:r>
          </m:sub>
        </m:sSub>
      </m:oMath>
      <w:r>
        <w:t xml:space="preserve">), heat-injury predictions, and survival probabilities.</w:t>
      </w:r>
    </w:p>
    <w:p>
      <w:pPr>
        <w:pStyle w:val="BodyText"/>
      </w:pPr>
      <w:r>
        <w:t xml:space="preserve">We present a flexible Bayesian four-parameter logistic (4PL) model that estimates survival or sublethal responses as a joint function of temperature and exposure duration. We demonstrate how such an approach recovers all the classical outputs of the two-stage modelling framework (i.e.,</w:t>
      </w:r>
      <w:r>
        <w:t xml:space="preserve"> </w:t>
      </w:r>
      <m:oMath>
        <m:r>
          <m:t>z</m:t>
        </m:r>
      </m:oMath>
      <w:r>
        <w:t xml:space="preserve">,</w:t>
      </w:r>
      <w:r>
        <w:t xml:space="preserve"> </w:t>
      </w:r>
      <m:oMath>
        <m:r>
          <m:t>C</m:t>
        </m:r>
        <m:sSub>
          <m:e>
            <m:r>
              <m:t>T</m:t>
            </m:r>
          </m:e>
          <m:sub>
            <m:r>
              <m:t>m</m:t>
            </m:r>
            <m:r>
              <m:t>a</m:t>
            </m:r>
            <m:r>
              <m:t>x</m:t>
            </m:r>
          </m:sub>
        </m:sSub>
      </m:oMath>
      <w:r>
        <w:t xml:space="preserve">,</w:t>
      </w:r>
      <w:r>
        <w:t xml:space="preserve"> </w:t>
      </w:r>
      <m:oMath>
        <m:sSub>
          <m:e>
            <m:r>
              <m:t>T</m:t>
            </m:r>
          </m:e>
          <m:sub>
            <m:r>
              <m:t>c</m:t>
            </m:r>
            <m:r>
              <m:t>r</m:t>
            </m:r>
            <m:r>
              <m:t>i</m:t>
            </m:r>
            <m:r>
              <m:t>t</m:t>
            </m:r>
          </m:sub>
        </m:sSub>
      </m:oMath>
      <w:r>
        <w:t xml:space="preserve">, heat-injury accumulation, survival probabilities), while propagating uncertainty through all derived quantities. Using simulated data and empirical case studies in brown shrimp (</w:t>
      </w:r>
      <w:r>
        <w:rPr>
          <w:i/>
          <w:iCs/>
        </w:rPr>
        <w:t xml:space="preserve">Crangon crangon</w:t>
      </w:r>
      <w:r>
        <w:t xml:space="preserve">), zebrafish (</w:t>
      </w:r>
      <w:r>
        <w:rPr>
          <w:i/>
          <w:iCs/>
        </w:rPr>
        <w:t xml:space="preserve">Danio rerio</w:t>
      </w:r>
      <w:r>
        <w:t xml:space="preserve">), and snow gum (</w:t>
      </w:r>
      <w:r>
        <w:rPr>
          <w:i/>
          <w:iCs/>
        </w:rPr>
        <w:t xml:space="preserve">Eucalyptus pauciflora</w:t>
      </w:r>
      <w:r>
        <w:t xml:space="preserve">), we demonstrate the benefits of this new modelling framework.</w:t>
      </w:r>
    </w:p>
    <w:p>
      <w:pPr>
        <w:pStyle w:val="BodyText"/>
      </w:pPr>
      <w:r>
        <w:t xml:space="preserve">We show that the classical and Bayesian frameworks are equivalent, but that the Bayesian approach delivers properly propagated uncertainty, can account for complex hierarchical data (i.e., random effects), can accommodate broader data inputs and overdispersion, and unlocks outputs the two-step pipeline cannot provide, including survival landscape surfaces, between-group contrasts, and inference about the variation in the shape of thermal dose-response curves among groups. We provide a new</w:t>
      </w:r>
      <w:r>
        <w:t xml:space="preserve"> </w:t>
      </w:r>
      <w:r>
        <w:rPr>
          <w:i/>
          <w:iCs/>
        </w:rPr>
        <w:t xml:space="preserve">R</w:t>
      </w:r>
      <w:r>
        <w:t xml:space="preserve"> </w:t>
      </w:r>
      <w:r>
        <w:t xml:space="preserve">package (</w:t>
      </w:r>
      <m:oMath>
        <m:r>
          <m:t>b</m:t>
        </m:r>
        <m:r>
          <m:t>a</m:t>
        </m:r>
        <m:r>
          <m:t>y</m:t>
        </m:r>
        <m:r>
          <m:t>e</m:t>
        </m:r>
        <m:r>
          <m:t>s</m:t>
        </m:r>
        <m:r>
          <m:t>T</m:t>
        </m:r>
        <m:r>
          <m:t>L</m:t>
        </m:r>
        <m:r>
          <m:t>S</m:t>
        </m:r>
      </m:oMath>
      <w:r>
        <w:t xml:space="preserve">) and recommend the Bayesian four-parameter logistic model as the default approach for analysing TDT and TLS data, particularly when the goal is to make accurate predictions of survival under natural thermal regimes.</w:t>
      </w:r>
    </w:p>
    <w:p>
      <w:pPr>
        <w:pStyle w:val="BodyText"/>
      </w:pPr>
      <w:r>
        <w:rPr>
          <w:b/>
          <w:bCs/>
        </w:rPr>
        <w:t xml:space="preserve">Keywords:</w:t>
      </w:r>
      <w:r>
        <w:t xml:space="preserve"> </w:t>
      </w:r>
      <w:r>
        <w:t xml:space="preserve">thermal-death-time; thermal tolerance landscape; multilevel model; 4-parameter logistic; heat injury; heat tolerance; critical thermal maximum; ectotherm</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therefore central to forecasting biological responses to climate change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establish differences in climate vulnerability among taxa and predicting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metrics do not capture how the biological effects of extreme heat on fitness depend on both the duration and intensity of heat stress, limiting our ability to make realistic predictions of the impacts of climate change in nature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Death Time (TDT) / Thermal Load Sensitivity (TLS) models address this limitation by quantifying how the intensity and duration of heat exposure jointly determine survival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Recently, the TDT framework was expanded to include sublethal (e.g., fertility, heat coma) responses to heat stress, providing a flexible framework to broadly explain variation in biological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models capture how heat injury accumulates in a dose-dependent manner above a certain threshold (</w:t>
      </w:r>
      <m:oMath>
        <m:sSub>
          <m:e>
            <m:r>
              <m:t>T</m:t>
            </m:r>
          </m:e>
          <m:sub>
            <m:r>
              <m:t>c</m:t>
            </m:r>
            <m:r>
              <m:t>r</m:t>
            </m:r>
            <m:r>
              <m:t>i</m:t>
            </m:r>
            <m:r>
              <m:t>t</m:t>
            </m:r>
          </m:sub>
        </m:sSub>
      </m:oMath>
      <w:r>
        <w:t xml:space="preserve">), with injury accumulating more rapidly at higher temperatures and over longer exposures. As a result, organisms may eventually reach a thermal load that leads to compromised physiological function that negatively impacts growth, reproduction and survival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By linking biological responses to the intensity and duration of heat stress, the TLS and TDT frameworks allow for more realistic predictions of the impacts of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predictive power, TDT/TLS analyses traditionally involves a two-step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affected is modelled as a function of exposure duration. This is typically done by fitting independent dose-response curves (usually models with strong assumptions) at each assay temperature.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other endpoints.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Thermal sensitivity (i.e., the inverse of the slope of this regression,</w:t>
      </w:r>
      <w:r>
        <w:t xml:space="preserve"> </w:t>
      </w:r>
      <m:oMath>
        <m:r>
          <m:t>z</m:t>
        </m:r>
      </m:oMath>
      <w:r>
        <w:t xml:space="preserve">) and static critical thermal maximum at time</w:t>
      </w:r>
      <w:r>
        <w:t xml:space="preserve"> </w:t>
      </w:r>
      <m:oMath>
        <m:r>
          <m:t>t</m:t>
        </m:r>
      </m:oMath>
      <w:r>
        <w:t xml:space="preserve"> </w:t>
      </w:r>
      <w:r>
        <w:t xml:space="preserve">(i.e., the intercept of the regression,</w:t>
      </w:r>
      <w:r>
        <w:t xml:space="preserve"> </w:t>
      </w:r>
      <m:oMath>
        <m:r>
          <m:t>s</m:t>
        </m:r>
        <m:r>
          <m:t>C</m:t>
        </m:r>
        <m:sSub>
          <m:e>
            <m:r>
              <m:t>T</m:t>
            </m:r>
          </m:e>
          <m:sub>
            <m:r>
              <m:t>m</m:t>
            </m:r>
            <m:r>
              <m:t>a</m:t>
            </m:r>
            <m:sSub>
              <m:e>
                <m:r>
                  <m:t>x</m:t>
                </m:r>
              </m:e>
              <m:sub>
                <m:r>
                  <m:t>t</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Thermal sensitivity (</w:t>
      </w:r>
      <m:oMath>
        <m:r>
          <m:t>z</m:t>
        </m:r>
      </m:oMath>
      <w:r>
        <w:t xml:space="preserve">) is interpreted as the temperature increase required to reduce</w:t>
      </w:r>
      <w:r>
        <w:t xml:space="preserve"> </w:t>
      </w:r>
      <m:oMath>
        <m:sSub>
          <m:e>
            <m:r>
              <m:t>t</m:t>
            </m:r>
          </m:e>
          <m:sub>
            <m:r>
              <m:t>50</m:t>
            </m:r>
          </m:sub>
        </m:sSub>
      </m:oMath>
      <w:r>
        <w:t xml:space="preserve"> </w:t>
      </w:r>
      <w:r>
        <w:t xml:space="preserve">by a factor of 10, while</w:t>
      </w:r>
      <w:r>
        <w:t xml:space="preserve"> </w:t>
      </w:r>
      <m:oMath>
        <m:r>
          <m:t>s</m:t>
        </m:r>
        <m:r>
          <m:t>C</m:t>
        </m:r>
        <m:sSub>
          <m:e>
            <m:r>
              <m:t>T</m:t>
            </m:r>
          </m:e>
          <m:sub>
            <m:r>
              <m:t>m</m:t>
            </m:r>
            <m:r>
              <m:t>a</m:t>
            </m:r>
            <m:sSub>
              <m:e>
                <m:r>
                  <m:t>x</m:t>
                </m:r>
              </m:e>
              <m:sub>
                <m:r>
                  <m:t>t</m:t>
                </m:r>
              </m:sub>
            </m:sSub>
          </m:sub>
        </m:sSub>
      </m:oMath>
      <w:r>
        <w:t xml:space="preserve"> </w:t>
      </w:r>
      <w:r>
        <w:t xml:space="preserve">is usually arbitrarily computed for a 1 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 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 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realistic temperature-time series,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partly offset by repair or acclimation mechanisms, motivating the emergence of new models that incorporate damage-repair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The two-step pipeline is intuitive and easy to implement, yet it has several practical and statistical limitations</w:t>
      </w:r>
      <w:r>
        <w:t xml:space="preserve"> </w:t>
      </w:r>
      <w:r>
        <w:t xml:space="preserve">(for a recent discission of some issues see</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First, the two-step pipeline does not typically allow proper uncertainty propagation. The</w:t>
      </w:r>
      <w:r>
        <w:t xml:space="preserve"> </w:t>
      </w:r>
      <m:oMath>
        <m:sSub>
          <m:e>
            <m:r>
              <m:t>t</m:t>
            </m:r>
          </m:e>
          <m:sub>
            <m:r>
              <m:t>50</m:t>
            </m:r>
          </m:sub>
        </m:sSub>
      </m:oMath>
      <w:r>
        <w:t xml:space="preserve"> </w:t>
      </w:r>
      <w:r>
        <w:t xml:space="preserve">estimates derived in the first step have non-negligible sampling variance, but they are commonly treated as fixed point estimates in the second-step regression. Neglecting sampling variance can bias or miscalibrate inference on</w:t>
      </w:r>
      <w:r>
        <w:t xml:space="preserve"> </w:t>
      </w:r>
      <m:oMath>
        <m:r>
          <m:t>z</m:t>
        </m:r>
      </m:oMath>
      <w:r>
        <w:t xml:space="preserve"> </w:t>
      </w:r>
      <w:r>
        <w:t xml:space="preserve">and</w:t>
      </w:r>
      <w:r>
        <w:t xml:space="preserve"> </w:t>
      </w:r>
      <m:oMath>
        <m:r>
          <m:t>s</m:t>
        </m:r>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Second, estimating</w:t>
      </w:r>
      <w:r>
        <w:t xml:space="preserve"> </w:t>
      </w:r>
      <m:oMath>
        <m:sSub>
          <m:e>
            <m:r>
              <m:t>t</m:t>
            </m:r>
          </m:e>
          <m:sub>
            <m:r>
              <m:t>50</m:t>
            </m:r>
          </m:sub>
        </m:sSub>
      </m:oMath>
      <w:r>
        <w:t xml:space="preserve"> </w:t>
      </w:r>
      <w:r>
        <w:t xml:space="preserve">from dose-response models requires empirical data spanning a large mortality range (preferably ranging from 0 to 100% mortality) at every assayed temperature to anchor the upper and lower asymptotes of the dose-response curve. When data are sparse or do not span the full mortality range,</w:t>
      </w:r>
      <w:r>
        <w:t xml:space="preserve"> </w:t>
      </w:r>
      <m:oMath>
        <m:sSub>
          <m:e>
            <m:r>
              <m:t>t</m:t>
            </m:r>
          </m:e>
          <m:sub>
            <m:r>
              <m:t>50</m:t>
            </m:r>
          </m:sub>
        </m:sSub>
      </m:oMath>
      <w:r>
        <w:t xml:space="preserve"> </w:t>
      </w:r>
      <w:r>
        <w:t xml:space="preserve">estimates can be incorrectly estimated or undefined, which is then propagated to bias and miscalibrate downstream estimates of</w:t>
      </w:r>
      <w:r>
        <w:t xml:space="preserve"> </w:t>
      </w:r>
      <m:oMath>
        <m:r>
          <m:t>z</m:t>
        </m:r>
      </m:oMath>
      <w:r>
        <w:t xml:space="preserve"> </w:t>
      </w:r>
      <w:r>
        <w:t xml:space="preserve">and</w:t>
      </w:r>
      <w:r>
        <w:t xml:space="preserve"> </w:t>
      </w:r>
      <m:oMath>
        <m:r>
          <m:t>C</m:t>
        </m:r>
        <m:sSub>
          <m:e>
            <m:r>
              <m:t>T</m:t>
            </m:r>
          </m:e>
          <m:sub>
            <m:r>
              <m:t>m</m:t>
            </m:r>
            <m:r>
              <m:t>a</m:t>
            </m:r>
            <m:r>
              <m:t>x</m:t>
            </m:r>
          </m:sub>
        </m:sSub>
      </m:oMath>
      <w:r>
        <w:t xml:space="preserve">. Third, group comparisons (between species, sexes, or life stages) inherit this miscalibrated uncertainty. Reducing each dose-response curve to a fixed</w:t>
      </w:r>
      <w:r>
        <w:t xml:space="preserve"> </w:t>
      </w:r>
      <m:oMath>
        <m:sSub>
          <m:e>
            <m:r>
              <m:t>t</m:t>
            </m:r>
          </m:e>
          <m:sub>
            <m:r>
              <m:t>50</m:t>
            </m:r>
          </m:sub>
        </m:sSub>
      </m:oMath>
      <w:r>
        <w:t xml:space="preserve"> </w:t>
      </w:r>
      <w:r>
        <w:t xml:space="preserve">estimate makes it difficult to determine if differences in thermal tolerance and sensitivity between groups can be attributed to differences in the upper asymptote, lower asymptote, or curve steepness of the dose-response curve. Curve steepness has recently been shown to affect predictions</w:t>
      </w:r>
      <w:r>
        <w:t xml:space="preserve"> </w:t>
      </w:r>
      <w:r>
        <w:t xml:space="preserve">(</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Fourth, fitting separate dose-response models for each assay temperature and subsequently regressing</w:t>
      </w:r>
      <w:r>
        <w:t xml:space="preserve"> </w:t>
      </w:r>
      <m:oMath>
        <m:sSub>
          <m:e>
            <m:r>
              <m:t>t</m:t>
            </m:r>
          </m:e>
          <m:sub>
            <m:r>
              <m:t>50</m:t>
            </m:r>
          </m:sub>
        </m:sSub>
      </m:oMath>
      <w:r>
        <w:t xml:space="preserve"> </w:t>
      </w:r>
      <w:r>
        <w:t xml:space="preserve">estimates against temperature assumes that these estimates are independent, and typically ignores the hierarchical structure of experimental data (e.g., individuals nested within vials, plates, tanks, clutches, batches, populations, or experimental days). Ignoring this nesting structure prevents the decomposition of variance, and can lead to pseudoreplication and anticonservative uncertainty estimates, particularly when replicate-level variation affects the shape or position of the dose-response curve</w:t>
      </w:r>
      <w:r>
        <w:t xml:space="preserve"> </w:t>
      </w:r>
      <w:r>
        <w:t xml:space="preserve">(</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Finally, the two-step pipeline does not allow downstream predictions of heat injury and survival under fluctuating thermal regimes with uncertainty, which is key to inferring the confidence in our predictions of the impacts of extreme heat impacts.</w:t>
      </w:r>
    </w:p>
    <w:p>
      <w:pPr>
        <w:pStyle w:val="BodyText"/>
      </w:pPr>
      <w:r>
        <w:t xml:space="preserve">Here, we present a single-stage alternative to the classical two-step pipeline: a hierarchical Bayesian four-parameter logistic model fitted jointly to all temperature-by-duration response data. In this framework, survival or sublethal response probabilities are estimated directly as a function of exposure duration and assay temperature, while allowing the parameters of the dose-response curve to vary among groups and hierarchical levels. The four-parameter 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 Similarly, although we use the four-parameter log-logistic form for its flexibility, simpler nested models (3PL, with one asymptote fixed; 2PL, with both fixed at 0 and 1) or alternative monotonic dose-response functions (e.g., Weibull, log-normal) can be implemented within the same general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however, we show that assumptions of these simplier models can affect TDT/TLS parameter estimations.</w:t>
      </w:r>
    </w:p>
    <w:p>
      <w:pPr>
        <w:pStyle w:val="BodyText"/>
      </w:pPr>
      <w:r>
        <w:t xml:space="preserve">We show how classical TDT/TLS quantities, such as thermal sensitivity (</w:t>
      </w:r>
      <m:oMath>
        <m:r>
          <m:t>z</m:t>
        </m:r>
      </m:oMath>
      <w:r>
        <w:t xml:space="preserve">), thermal tolerance (</w:t>
      </w:r>
      <m:oMath>
        <m:r>
          <m:t>C</m:t>
        </m:r>
        <m:sSub>
          <m:e>
            <m:r>
              <m:t>T</m:t>
            </m:r>
          </m:e>
          <m:sub>
            <m:r>
              <m:t>m</m:t>
            </m:r>
            <m:r>
              <m:t>a</m:t>
            </m:r>
            <m:r>
              <m:t>x</m:t>
            </m:r>
          </m:sub>
        </m:sSub>
      </m:oMath>
      <w:r>
        <w:t xml:space="preserve">), critical temperature tresholds (</w:t>
      </w:r>
      <m:oMath>
        <m:sSub>
          <m:e>
            <m:r>
              <m:t>T</m:t>
            </m:r>
          </m:e>
          <m:sub>
            <m:r>
              <m:t>c</m:t>
            </m:r>
            <m:r>
              <m:t>r</m:t>
            </m:r>
            <m:r>
              <m:t>i</m:t>
            </m:r>
            <m:r>
              <m:t>t</m:t>
            </m:r>
          </m:sub>
        </m:sSub>
      </m:oMath>
      <w:r>
        <w:t xml:space="preserve">), heat injury accumulation, survival under fluctuating thermal regimes, and their uncertainty, can be derived from this single Bayesian model. We develop these tools into an R package</w:t>
      </w:r>
      <w:r>
        <w:t xml:space="preserve"> </w:t>
      </w:r>
      <m:oMath>
        <m:r>
          <m:t>b</m:t>
        </m:r>
        <m:r>
          <m:t>a</m:t>
        </m:r>
        <m:r>
          <m:t>y</m:t>
        </m:r>
        <m:r>
          <m:t>e</m:t>
        </m:r>
        <m:r>
          <m:t>s</m:t>
        </m:r>
        <m:r>
          <m:t>T</m:t>
        </m:r>
        <m:r>
          <m:t>L</m:t>
        </m:r>
        <m:r>
          <m:t>S</m:t>
        </m:r>
      </m:oMath>
      <w:r>
        <w:t xml:space="preserve">, and recommend this new modelling approach as the default approach for analysing organismal responses to varying thermal loads. Using simulations and empirical case studies in brown shrimp (</w:t>
      </w:r>
      <w:r>
        <w:rPr>
          <w:i/>
          <w:iCs/>
        </w:rPr>
        <w:t xml:space="preserve">Crangon crangon</w:t>
      </w:r>
      <w:r>
        <w:t xml:space="preserve">), zebrafish (</w:t>
      </w:r>
      <w:r>
        <w:rPr>
          <w:i/>
          <w:iCs/>
        </w:rPr>
        <w:t xml:space="preserve">Danio rerio</w:t>
      </w:r>
      <w:r>
        <w:t xml:space="preserve">), Drosophila and plant Acacia photosystem II function, we demonstrate how to implement, validate, and expand this new modelling approach.</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5943600" cy="7868496"/>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5943600" cy="78684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Bayesian four-parameter 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can fail when assays do not bracket</w:t>
            </w:r>
            <w:r>
              <w:t xml:space="preserve"> </w:t>
            </w:r>
            <m:oMath>
              <m:sSub>
                <m:e>
                  <m:r>
                    <m:t>t</m:t>
                  </m:r>
                </m:e>
                <m:sub>
                  <m:r>
                    <m:t>50</m:t>
                  </m:r>
                </m:sub>
              </m:sSub>
            </m:oMath>
            <w:r>
              <w:t xml:space="preserve">, treats first-stage estimates as fixed and independent, and does not naturally propagate uncertainty, covariates, or hierarchical structure into</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t>r</m:t>
                  </m:r>
                  <m:r>
                    <m:t>e</m:t>
                  </m:r>
                  <m:r>
                    <m:t>l</m:t>
                  </m:r>
                </m:sub>
              </m:sSub>
            </m:oMath>
            <w:r>
              <w:t xml:space="preserve">,</w:t>
            </w:r>
            <w:r>
              <w:t xml:space="preserve"> </w:t>
            </w:r>
            <m:oMath>
              <m:sSub>
                <m:e>
                  <m:r>
                    <m:t>z</m:t>
                  </m:r>
                </m:e>
                <m:sub>
                  <m:r>
                    <m:t>a</m:t>
                  </m:r>
                  <m:r>
                    <m:t>b</m:t>
                  </m:r>
                  <m:r>
                    <m:t>s</m:t>
                  </m:r>
                </m:sub>
              </m:sSub>
            </m:oMath>
            <w:r>
              <w:t xml:space="preserve">, and</w:t>
            </w:r>
            <w:r>
              <w:t xml:space="preserve"> </w:t>
            </w:r>
            <m:oMath>
              <m:r>
                <m:t>C</m:t>
              </m:r>
              <m:sSub>
                <m:e>
                  <m:r>
                    <m:t>T</m:t>
                  </m:r>
                </m:e>
                <m:sub>
                  <m:r>
                    <m:t>m</m:t>
                  </m:r>
                  <m:r>
                    <m:t>a</m:t>
                  </m:r>
                  <m:r>
                    <m:t>x</m:t>
                  </m:r>
                  <m:r>
                    <m:rPr>
                      <m:sty m:val="p"/>
                    </m:rPr>
                    <m:t>,</m:t>
                  </m:r>
                  <m:r>
                    <m:t>1</m:t>
                  </m:r>
                  <m:r>
                    <m:t>h</m:t>
                  </m:r>
                </m:sub>
              </m:sSub>
            </m:oMath>
            <w:r>
              <w:t xml:space="preserve"> </w:t>
            </w:r>
            <w:r>
              <w:t xml:space="preserve">at the 60-min reference. Dashed ghost curves show the fitted dose response at the corresponding relative and absolute</w:t>
            </w:r>
            <w:r>
              <w:t xml:space="preserve"> </w:t>
            </w:r>
            <m:oMath>
              <m:r>
                <m:t>C</m:t>
              </m:r>
              <m:sSub>
                <m:e>
                  <m:r>
                    <m:t>T</m:t>
                  </m:r>
                </m:e>
                <m:sub>
                  <m:r>
                    <m:t>m</m:t>
                  </m:r>
                  <m:r>
                    <m:t>a</m:t>
                  </m:r>
                  <m:r>
                    <m:t>x</m:t>
                  </m:r>
                  <m:r>
                    <m:rPr>
                      <m:sty m:val="p"/>
                    </m:rPr>
                    <m:t>,</m:t>
                  </m:r>
                  <m:r>
                    <m:t>1</m:t>
                  </m:r>
                  <m:r>
                    <m:t>h</m:t>
                  </m:r>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4ae69e6473582f743e31b9e3b0100c4bac3c9f9"/>
    <w:p>
      <w:pPr>
        <w:pStyle w:val="Heading1"/>
      </w:pPr>
      <w:r>
        <w:t xml:space="preserve">A non-linear Bayesian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r>
          <m:t>y</m:t>
        </m:r>
      </m:oMath>
      <w:r>
        <w:t xml:space="preserve"> </w:t>
      </w:r>
      <w:r>
        <w:t xml:space="preserve">denote the number of survivors out of</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likelihood (but a beta-binomial likelihood function can also be used and controls for overdispersion):</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When asymptotes are near 0 and 1,</w:t>
      </w:r>
      <w:r>
        <w:t xml:space="preserve"> </w:t>
      </w:r>
      <m:oMath>
        <m:r>
          <m:rPr>
            <m:nor/>
            <m:sty m:val="p"/>
          </m:rPr>
          <m:t>mid</m:t>
        </m:r>
      </m:oMath>
      <w:r>
        <w:t xml:space="preserve"> </w:t>
      </w:r>
      <w:r>
        <w:t xml:space="preserve">coincides with</w:t>
      </w:r>
      <w:r>
        <w:t xml:space="preserve"> </w:t>
      </w:r>
      <m:oMath>
        <m:sSub>
          <m:e>
            <m:r>
              <m:rPr>
                <m:sty m:val="p"/>
              </m:rPr>
              <m:t>log</m:t>
            </m:r>
          </m:e>
          <m:sub>
            <m:r>
              <m:t>10</m:t>
            </m:r>
          </m:sub>
        </m:sSub>
        <m:sSub>
          <m:e>
            <m:r>
              <m:t>t</m:t>
            </m:r>
          </m:e>
          <m:sub>
            <m:r>
              <m:t>50</m:t>
            </m:r>
          </m:sub>
        </m:sSub>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r>
          <m:rPr>
            <m:nor/>
            <m:sty m:val="p"/>
          </m:rPr>
          <m:t>mid</m:t>
        </m:r>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populations, species, trials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7"/>
    <w:bookmarkEnd w:id="28"/>
    <w:bookmarkStart w:id="33"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midpoint coincides with the classical</w:t>
      </w:r>
      <w:r>
        <w:t xml:space="preserve"> </w:t>
      </w:r>
      <m:oMath>
        <m:sSub>
          <m:e>
            <m:r>
              <m:t>t</m:t>
            </m:r>
          </m:e>
          <m:sub>
            <m:r>
              <m:t>50</m:t>
            </m:r>
          </m:sub>
        </m:sSub>
      </m:oMath>
      <w:r>
        <w:t xml:space="preserve"> </w:t>
      </w:r>
      <w:r>
        <w:t xml:space="preserve">(time to reach 50% survival). Therefore, the regression in</w:t>
      </w:r>
      <w:r>
        <w:t xml:space="preserve"> </w:t>
      </w:r>
      <w:hyperlink w:anchor="eq-mid-temp">
        <w:r>
          <w:rPr>
            <w:rStyle w:val="Hyperlink"/>
          </w:rPr>
          <w:t xml:space="preserve">Equation 3</w:t>
        </w:r>
      </w:hyperlink>
      <w:r>
        <w:t xml:space="preserve"> </w:t>
      </w:r>
      <w:r>
        <w:t xml:space="preserve">directly provides thermal sensitivity as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changes in asymptotes. However, threshold summaries, such as</w:t>
      </w:r>
      <w:r>
        <w:t xml:space="preserve"> </w:t>
      </w:r>
      <m:oMath>
        <m:r>
          <m:t>C</m:t>
        </m:r>
        <m:sSub>
          <m:e>
            <m:r>
              <m:t>T</m:t>
            </m:r>
          </m:e>
          <m:sub>
            <m:r>
              <m:t>m</m:t>
            </m:r>
            <m:r>
              <m:t>a</m:t>
            </m:r>
            <m:r>
              <m:t>x</m:t>
            </m:r>
          </m:sub>
        </m:sSub>
      </m:oMath>
      <w:r>
        <w:t xml:space="preserve"> </w:t>
      </w:r>
      <w:r>
        <w:t xml:space="preserve">and</w:t>
      </w:r>
      <w:r>
        <w:t xml:space="preserve"> </w:t>
      </w:r>
      <m:oMath>
        <m:sSub>
          <m:e>
            <m:r>
              <m:rPr>
                <m:sty m:val="p"/>
              </m:rPr>
              <m:t>log</m:t>
            </m:r>
          </m:e>
          <m:sub>
            <m:r>
              <m:t>10</m:t>
            </m:r>
          </m:sub>
        </m:sSub>
        <m:sSub>
          <m:e>
            <m:r>
              <m:t>t</m:t>
            </m:r>
          </m:e>
          <m:sub>
            <m:r>
              <m:t>50</m:t>
            </m:r>
          </m:sub>
        </m:sSub>
      </m:oMath>
      <w:r>
        <w:t xml:space="preserve">, are not. When partial mortality or sparse data do not estimate the asymptotes to be around 0 and 1, an asymmetry correction must be added to estimate these threshold summaries when using survival thresholds. For</w:t>
      </w:r>
      <w:r>
        <w:t xml:space="preserve"> </w:t>
      </w:r>
      <m:oMath>
        <m:sSub>
          <m:e>
            <m:r>
              <m:rPr>
                <m:sty m:val="p"/>
              </m:rPr>
              <m:t>log</m:t>
            </m:r>
          </m:e>
          <m:sub>
            <m:r>
              <m:t>10</m:t>
            </m:r>
          </m:sub>
        </m:sSub>
        <m:sSub>
          <m:e>
            <m:r>
              <m:t>t</m:t>
            </m:r>
          </m:e>
          <m:sub>
            <m:r>
              <m:t>50</m:t>
            </m:r>
          </m:sub>
        </m:sSub>
      </m:oMath>
      <w:r>
        <w:t xml:space="preserve"> </w:t>
      </w:r>
      <w:r>
        <w:t xml:space="preserve">this involves adding the following correction factor (</w:t>
      </w:r>
      <w:hyperlink w:anchor="eq-t50">
        <w:r>
          <w:rPr>
            <w:rStyle w:val="Hyperlink"/>
          </w:rPr>
          <w:t xml:space="preserve">Equation 4</w:t>
        </w:r>
      </w:hyperlink>
      <w:r>
        <w:t xml:space="preserve">) (See Supplement Section 9 for the derivation):</w:t>
      </w:r>
    </w:p>
    <w:p>
      <w:pPr>
        <w:pStyle w:val="BodyText"/>
      </w:pPr>
      <w:bookmarkStart w:id="30"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4</m:t>
              </m:r>
            </m:e>
          </m:d>
        </m:oMath>
      </m:oMathPara>
      <w:bookmarkEnd w:id="30"/>
    </w:p>
    <w:p>
      <w:pPr>
        <w:pStyle w:val="FirstParagraph"/>
      </w:pPr>
      <w:r>
        <w:t xml:space="preserve">For</w:t>
      </w:r>
      <w:r>
        <w:t xml:space="preserve"> </w:t>
      </w:r>
      <m:oMath>
        <m:r>
          <m:t>C</m:t>
        </m:r>
        <m:sSub>
          <m:e>
            <m:r>
              <m:t>T</m:t>
            </m:r>
          </m:e>
          <m:sub>
            <m:r>
              <m:t>m</m:t>
            </m:r>
            <m:r>
              <m:t>a</m:t>
            </m:r>
            <m:r>
              <m:t>x</m:t>
            </m:r>
          </m:sub>
        </m:sSub>
      </m:oMath>
      <w:r>
        <w:t xml:space="preserve">, the correction factor must be subtracted, after division by the slope (to convert the vertical shift in</w:t>
      </w:r>
      <w:r>
        <w:t xml:space="preserve"> </w:t>
      </w:r>
      <m:oMath>
        <m:sSub>
          <m:e>
            <m:r>
              <m:rPr>
                <m:sty m:val="p"/>
              </m:rPr>
              <m:t>log</m:t>
            </m:r>
          </m:e>
          <m:sub>
            <m:r>
              <m:t>10</m:t>
            </m:r>
          </m:sub>
        </m:sSub>
        <m:sSub>
          <m:e>
            <m:r>
              <m:t>t</m:t>
            </m:r>
          </m:e>
          <m:sub>
            <m:r>
              <m:t>50</m:t>
            </m:r>
          </m:sub>
        </m:sSub>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5</w:t>
        </w:r>
      </w:hyperlink>
      <w:r>
        <w:t xml:space="preserve">):</w:t>
      </w:r>
    </w:p>
    <w:p>
      <w:pPr>
        <w:pStyle w:val="BodyText"/>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5</m:t>
              </m:r>
            </m:e>
          </m:d>
        </m:oMath>
      </m:oMathPara>
      <w:bookmarkEnd w:id="31"/>
    </w:p>
    <w:p>
      <w:pPr>
        <w:pStyle w:val="FirstParagraph"/>
      </w:pPr>
      <w:r>
        <w:t xml:space="preserve">While we have focused on</w:t>
      </w:r>
      <w:r>
        <w:t xml:space="preserve"> </w:t>
      </w:r>
      <m:oMath>
        <m:sSub>
          <m:e>
            <m:r>
              <m:t>t</m:t>
            </m:r>
          </m:e>
          <m:sub>
            <m:r>
              <m:t>50</m:t>
            </m:r>
          </m:sub>
        </m:sSub>
      </m:oMath>
      <w:r>
        <w:t xml:space="preserve"> </w:t>
      </w:r>
      <w:r>
        <w:t xml:space="preserve">it is important to recognise that any specific survival probability could be used oustide the 50% probability threshold. For example,</w:t>
      </w:r>
      <w:r>
        <w:t xml:space="preserve"> </w:t>
      </w:r>
      <m:oMath>
        <m:sSub>
          <m:e>
            <m:r>
              <m:t>t</m:t>
            </m:r>
          </m:e>
          <m:sub>
            <m:r>
              <m:t>10</m:t>
            </m:r>
          </m:sub>
        </m:sSub>
      </m:oMath>
      <w:r>
        <w:t xml:space="preserve"> </w:t>
      </w:r>
      <w:r>
        <w:t xml:space="preserve">marks the onset of early population mortality – useful for risk management - whereas</w:t>
      </w:r>
      <w:r>
        <w:t xml:space="preserve"> </w:t>
      </w:r>
      <m:oMath>
        <m:sSub>
          <m:e>
            <m:r>
              <m:t>t</m:t>
            </m:r>
          </m:e>
          <m:sub>
            <m:r>
              <m:t>90</m:t>
            </m:r>
          </m:sub>
        </m:sSub>
      </m:oMath>
      <w:r>
        <w:t xml:space="preserve"> </w:t>
      </w:r>
      <w:r>
        <w:t xml:space="preserve">is closer to population-collapse. Luckily, any survival threshold can be modelled using the same posterior by adjusting the threshold in an asymmetry correction that is added to</w:t>
      </w:r>
      <w:r>
        <w:t xml:space="preserve"> </w:t>
      </w:r>
      <m:oMath>
        <m:r>
          <m:rPr>
            <m:nor/>
            <m:sty m:val="p"/>
          </m:rPr>
          <m:t>mid</m:t>
        </m:r>
      </m:oMath>
      <w:r>
        <w:t xml:space="preserve"> </w:t>
      </w:r>
      <w:r>
        <w:t xml:space="preserve">(</w:t>
      </w:r>
      <w:hyperlink w:anchor="eq-LTx">
        <w:r>
          <w:rPr>
            <w:rStyle w:val="Hyperlink"/>
          </w:rPr>
          <w:t xml:space="preserve">Equation 6</w:t>
        </w:r>
      </w:hyperlink>
      <w:r>
        <w:t xml:space="preserve">):</w:t>
      </w:r>
    </w:p>
    <w:p>
      <w:pPr>
        <w:pStyle w:val="BodyText"/>
      </w:pPr>
      <w:bookmarkStart w:id="32" w:name="eq-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log</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6</m:t>
              </m:r>
            </m:e>
          </m:d>
        </m:oMath>
      </m:oMathPara>
      <w:bookmarkEnd w:id="32"/>
    </w:p>
    <w:p>
      <w:pPr>
        <w:pStyle w:val="FirstParagraph"/>
      </w:pPr>
      <m:oMath>
        <m:r>
          <m:t>C</m:t>
        </m:r>
        <m:sSub>
          <m:e>
            <m:r>
              <m:t>T</m:t>
            </m:r>
          </m:e>
          <m:sub>
            <m:r>
              <m:t>m</m:t>
            </m:r>
            <m:r>
              <m:t>a</m:t>
            </m:r>
            <m:r>
              <m:t>x</m:t>
            </m:r>
          </m:sub>
        </m:sSub>
      </m:oMath>
      <w:r>
        <w:t xml:space="preserve"> </w:t>
      </w:r>
      <w:r>
        <w:t xml:space="preserve">is then adjusted in accordance through the correction factor in</w:t>
      </w:r>
      <w:r>
        <w:t xml:space="preserve"> </w:t>
      </w:r>
      <w:hyperlink w:anchor="eq-ctmax-corrected">
        <w:r>
          <w:rPr>
            <w:rStyle w:val="Hyperlink"/>
          </w:rPr>
          <w:t xml:space="preserve">Equation 5</w:t>
        </w:r>
      </w:hyperlink>
      <w:r>
        <w:t xml:space="preserve">. Importantly, there may be situations where computing absolute</w:t>
      </w:r>
      <w:r>
        <w:t xml:space="preserve"> </w:t>
      </w:r>
      <m:oMath>
        <m:sSub>
          <m:e>
            <m:r>
              <m:rPr>
                <m:sty m:val="p"/>
              </m:rPr>
              <m:t>log</m:t>
            </m:r>
          </m:e>
          <m:sub>
            <m:r>
              <m:t>10</m:t>
            </m:r>
          </m:sub>
        </m:sSub>
        <m:sSub>
          <m:e>
            <m:r>
              <m:t>t</m:t>
            </m:r>
          </m:e>
          <m:sub>
            <m:r>
              <m:t>x</m:t>
            </m:r>
          </m:sub>
        </m:sSub>
      </m:oMath>
      <w:r>
        <w:t xml:space="preserve"> </w:t>
      </w:r>
      <w:r>
        <w:t xml:space="preserve">based on a sample reaching a given probability threshold is less ideal because of differences in baseline survival at the start of experiments. Instead, one might be interested in calculating what we refer to as</w:t>
      </w:r>
      <w:r>
        <w:t xml:space="preserve"> </w:t>
      </w:r>
      <w:r>
        <w:t xml:space="preserve">‘relative</w:t>
      </w:r>
      <w:r>
        <w:t xml:space="preserve"> </w:t>
      </w:r>
      <m:oMath>
        <m:sSub>
          <m:e>
            <m:r>
              <m:t>t</m:t>
            </m:r>
          </m:e>
          <m:sub>
            <m:r>
              <m:t>50</m:t>
            </m:r>
          </m:sub>
        </m:sSub>
      </m:oMath>
      <w:r>
        <w:t xml:space="preserve">’</w:t>
      </w:r>
      <w:r>
        <w:t xml:space="preserve">, which we define as the time at which survival reaches the midpoint between the upper and lower asymptotes (i.e.,</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By construction,</w:t>
      </w:r>
      <w:r>
        <w:t xml:space="preserve"> </w:t>
      </w:r>
      <m:oMath>
        <m:r>
          <m:rPr>
            <m:nor/>
            <m:sty m:val="p"/>
          </m:rPr>
          <m:t>mid</m:t>
        </m:r>
      </m:oMath>
      <w:r>
        <w:t xml:space="preserve"> </w:t>
      </w:r>
      <w:r>
        <w:rPr>
          <w:i/>
          <w:iCs/>
        </w:rPr>
        <w:t xml:space="preserve">is</w:t>
      </w:r>
      <w:r>
        <w:t xml:space="preserve"> </w:t>
      </w:r>
      <w:r>
        <w:t xml:space="preserve">relative</w:t>
      </w:r>
      <w:r>
        <w:t xml:space="preserve"> </w:t>
      </w:r>
      <m:oMath>
        <m:sSub>
          <m:e>
            <m:r>
              <m:t>t</m:t>
            </m:r>
          </m:e>
          <m:sub>
            <m:r>
              <m:t>50</m:t>
            </m:r>
          </m:sub>
        </m:sSub>
      </m:oMath>
      <w:r>
        <w:t xml:space="preserve"> </w:t>
      </w:r>
      <w:r>
        <w:t xml:space="preserve">at every temperature, so no asymmetry correction is needed.</w:t>
      </w:r>
      <w:r>
        <w:t xml:space="preserve"> </w:t>
      </w:r>
      <m:oMath>
        <m:r>
          <m:t>C</m:t>
        </m:r>
        <m:sSub>
          <m:e>
            <m:r>
              <m:t>T</m:t>
            </m:r>
          </m:e>
          <m:sub>
            <m:r>
              <m:t>m</m:t>
            </m:r>
            <m:r>
              <m:t>a</m:t>
            </m:r>
            <m:r>
              <m:t>x</m:t>
            </m:r>
          </m:sub>
        </m:sSub>
      </m:oMath>
      <w:r>
        <w:t xml:space="preserve"> </w:t>
      </w:r>
      <w:r>
        <w:t xml:space="preserve">is read directly from</w:t>
      </w:r>
      <w:r>
        <w:t xml:space="preserve"> </w:t>
      </w:r>
      <w:hyperlink w:anchor="eq-mid-temp">
        <w:r>
          <w:rPr>
            <w:rStyle w:val="Hyperlink"/>
          </w:rPr>
          <w:t xml:space="preserve">Equation 3</w:t>
        </w:r>
      </w:hyperlink>
      <w:r>
        <w:t xml:space="preserve"> </w:t>
      </w:r>
      <w:r>
        <w:t xml:space="preserve">as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Note that relative and absolute</w:t>
      </w:r>
      <w:r>
        <w:t xml:space="preserve"> </w:t>
      </w:r>
      <m:oMath>
        <m:r>
          <m:t>C</m:t>
        </m:r>
        <m:sSub>
          <m:e>
            <m:r>
              <m:t>T</m:t>
            </m:r>
          </m:e>
          <m:sub>
            <m:r>
              <m:t>m</m:t>
            </m:r>
            <m:r>
              <m:t>a</m:t>
            </m:r>
            <m:r>
              <m:t>x</m:t>
            </m:r>
          </m:sub>
        </m:sSub>
      </m:oMath>
      <w:r>
        <w:t xml:space="preserve"> </w:t>
      </w:r>
      <w:r>
        <w:t xml:space="preserve">are numerically equal only when</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w:t>
      </w:r>
    </w:p>
    <w:p>
      <w:pPr>
        <w:pStyle w:val="BodyText"/>
      </w:pPr>
      <w:r>
        <w:t xml:space="preserve">A powerful aspect of the Bayesian modelling approach described above is that uncertainty in all of the estimated quantities can be derived. Additinally, each of parameters in the model (an therefore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can be estimated separately for different strata (e.g., sex, population, species) in a single joint model by including the relevant fixed covariates and/or random effects in the linear predictor for</w:t>
      </w:r>
      <w:r>
        <w:t xml:space="preserve"> </w:t>
      </w:r>
      <m:oMath>
        <m:r>
          <m:rPr>
            <m:nor/>
            <m:sty m:val="p"/>
          </m:rPr>
          <m:t>mid</m:t>
        </m:r>
      </m:oMath>
      <w:r>
        <w:t xml:space="preserve"> </w:t>
      </w:r>
      <w:r>
        <w:t xml:space="preserve">— and, if appropriate, in the linear predictors for</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(see</w:t>
      </w:r>
      <w:r>
        <w:t xml:space="preserve"> </w:t>
      </w:r>
      <w:hyperlink w:anchor="eq-linpred">
        <w:r>
          <w:rPr>
            <w:rStyle w:val="Hyperlink"/>
          </w:rPr>
          <w:t xml:space="preserve">Equation 11</w:t>
        </w:r>
      </w:hyperlink>
      <w:r>
        <w:t xml:space="preserve"> </w:t>
      </w:r>
      <w:r>
        <w:t xml:space="preserve">below).</w:t>
      </w:r>
    </w:p>
    <w:bookmarkEnd w:id="33"/>
    <w:bookmarkStart w:id="37"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4"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4"/>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rezende_drosophila_mortality_2020">
        <w:r>
          <w:rPr>
            <w:rStyle w:val="Hyperlink"/>
          </w:rPr>
          <w:t xml:space="preserve">2020</w:t>
        </w:r>
      </w:hyperlink>
      <w:r>
        <w:t xml:space="preserve">)</w:t>
      </w:r>
      <w:r>
        <w:t xml:space="preserv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5"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5"/>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6"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6"/>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7"/>
    <w:bookmarkStart w:id="47" w:name="X149e003673e2c262c282c9f1d51a666afad3848"/>
    <w:p>
      <w:pPr>
        <w:pStyle w:val="Heading1"/>
      </w:pPr>
      <w:r>
        <w:t xml:space="preserve">Simulations Evaluating statistical properties of the joint and two-stage modelling approaches</w:t>
      </w:r>
    </w:p>
    <w:p>
      <w:pPr>
        <w:pStyle w:val="FirstParagraph"/>
      </w:pPr>
      <w:r>
        <w:t xml:space="preserve">We assessed the performance of the 4PL and two-stage approaches by estimating empirical bias and 95% interval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across both estimation stages, which we did using the Delta method.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tests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 Finally, we ran sensitivity analyses that varied the strength of upper-asymptote drift, the overall level of the upper asymptote, and the intensity of the experimental design.</w:t>
      </w:r>
    </w:p>
    <w:p>
      <w:pPr>
        <w:pStyle w:val="BodyText"/>
      </w:pPr>
      <w:r>
        <w:t xml:space="preserve">Experimental designs were chosen to span the scale of published TDT/TLS assays, which often estimate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one to five replicate cups per temperature-by-time treatment, with 10 to 20 organisms per cup sampled from a uniform distribution. For each scenario-by-design combination, we simulated 1,000 datasets and fit both the two-stage and 4PL approaches. Overall, we ran 25,000 simulations and were limited to 1000 simulations per run.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46"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 t-distribution quantiles. This distinction was important: using normal (z) quantiles instead produced anti-conservative intervals with coverage well below the nominal 95% level (</w:t>
      </w:r>
      <w:hyperlink w:anchor="fig-sims">
        <w:r>
          <w:rPr>
            <w:rStyle w:val="Hyperlink"/>
          </w:rPr>
          <w:t xml:space="preserve">Figure 2</w:t>
        </w:r>
      </w:hyperlink>
      <w:r>
        <w:t xml:space="preserve"> </w:t>
      </w:r>
      <w:r>
        <w:t xml:space="preserve">&amp; Supplement 3.1 &amp; 3.2).</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impacted upper thresholds (up) and rate of decline (k) (</w:t>
      </w:r>
      <w:hyperlink w:anchor="fig-sims">
        <w:r>
          <w:rPr>
            <w:rStyle w:val="Hyperlink"/>
          </w:rPr>
          <w:t xml:space="preserve">Figure 2</w:t>
        </w:r>
      </w:hyperlink>
      <w:r>
        <w:t xml:space="preserve">). These biases were consistent with larger sample sizes (</w:t>
      </w:r>
      <w:hyperlink w:anchor="fig-sims">
        <w:r>
          <w:rPr>
            <w:rStyle w:val="Hyperlink"/>
          </w:rPr>
          <w:t xml:space="preserve">Figure 2</w:t>
        </w:r>
      </w:hyperlink>
      <w:r>
        <w:t xml:space="preserve">), but were exacerbated with fewer temperature time combinatons and low levels of replication (See Supplement 3.6).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were particularly severe as the upper survival threshold decreased (</w:t>
      </w:r>
      <w:hyperlink w:anchor="fig-sims2">
        <w:r>
          <w:rPr>
            <w:rStyle w:val="Hyperlink"/>
          </w:rPr>
          <w:t xml:space="preserve">Figure 3</w:t>
        </w:r>
      </w:hyperlink>
      <w:r>
        <w:t xml:space="preserve">).</w:t>
      </w:r>
    </w:p>
    <w:p>
      <w:pPr>
        <w:pStyle w:val="BodyText"/>
      </w:pPr>
      <w:r>
        <w:t xml:space="preserve">Overall, these results confirm that any model misspecfication requires the 4PL to properly recover true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with correct uncertainty. The 4PL model can be fit with the</w:t>
      </w:r>
      <w:r>
        <w:t xml:space="preserve"> </w:t>
      </w:r>
      <w:r>
        <w:rPr>
          <w:rStyle w:val="VerbatimChar"/>
        </w:rPr>
        <w:t xml:space="preserve">bayesTLS</w:t>
      </w:r>
      <w:r>
        <w:t xml:space="preserve"> </w:t>
      </w:r>
      <w:r>
        <w:t xml:space="preserve">package we provide (see Supplement 1.1), defaulting to temperature dependence on all parameters of the 4PL. If no temperaure effect exists on a given parameter it will be estimated at zero and it will be equivalent to simplier models. These models also allow for more sophisicated modelling that the two-stage approaches cannot achieve easily. In our supplement, we also show how readers can build greater flexibility into their models if this is required.</w:t>
      </w:r>
    </w:p>
    <w:tbl>
      <w:tblPr>
        <w:tblStyle w:val="Table"/>
        <w:tblW w:type="pct" w:w="5000"/>
        <w:tblLayout w:type="fixed"/>
        <w:tblLook w:firstRow="0" w:lastRow="0" w:firstColumn="0" w:lastColumn="0" w:noHBand="0" w:noVBand="0" w:val="0000"/>
      </w:tblPr>
      <w:tblGrid>
        <w:gridCol w:w="7920"/>
      </w:tblGrid>
      <w:tr>
        <w:tc>
          <w:tcPr/>
          <w:bookmarkStart w:id="41" w:name="fig-sims"/>
          <w:p>
            <w:pPr>
              <w:pStyle w:val="Compact"/>
              <w:jc w:val="center"/>
            </w:pPr>
            <w:r>
              <w:drawing>
                <wp:inline>
                  <wp:extent cx="5943600" cy="4292600"/>
                  <wp:effectExtent b="0" l="0" r="0" t="0"/>
                  <wp:docPr descr="" title="" id="39" name="Picture"/>
                  <a:graphic>
                    <a:graphicData uri="http://schemas.openxmlformats.org/drawingml/2006/picture">
                      <pic:pic>
                        <pic:nvPicPr>
                          <pic:cNvPr descr="ms_files/figure-docx/fig-sims-1.png" id="40" name="Picture"/>
                          <pic:cNvPicPr>
                            <a:picLocks noChangeArrowheads="1" noChangeAspect="1"/>
                          </pic:cNvPicPr>
                        </pic:nvPicPr>
                        <pic:blipFill>
                          <a:blip r:embed="rId38"/>
                          <a:stretch>
                            <a:fillRect/>
                          </a:stretch>
                        </pic:blipFill>
                        <pic:spPr bwMode="auto">
                          <a:xfrm>
                            <a:off x="0" y="0"/>
                            <a:ext cx="5943600" cy="4292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rPr>
                <w:b/>
                <w:bCs/>
              </w:rPr>
              <w:t xml:space="preserve">‘u varies with T’</w:t>
            </w:r>
            <w:r>
              <w:t xml:space="preserve">: upper asymptote</w:t>
            </w:r>
            <w:r>
              <w:t xml:space="preserve"> </w:t>
            </w:r>
            <m:oMath>
              <m:r>
                <m:t>u</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rPr>
                <w:b/>
                <w:bCs/>
              </w:rPr>
              <w:t xml:space="preserve">‘k varies with T’</w:t>
            </w:r>
            <w:r>
              <w:t xml:space="preserve">: slope</w:t>
            </w:r>
            <w:r>
              <w:t xml:space="preserve"> </w:t>
            </w:r>
            <m:oMath>
              <m:r>
                <m:t>k</m:t>
              </m:r>
            </m:oMath>
            <w:r>
              <w:t xml:space="preserve"> </w:t>
            </w:r>
            <w:r>
              <w:t xml:space="preserve">ranges from 6 at 30 °C to 10 at 38 °C, with</w:t>
            </w:r>
            <w:r>
              <w:t xml:space="preserve"> </w:t>
            </w:r>
            <m:oMath>
              <m:r>
                <m:t>u</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cups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r>
                    <m:t>x</m:t>
                  </m:r>
                  <m:r>
                    <m:rPr>
                      <m:sty m:val="p"/>
                    </m:rPr>
                    <m:t>,</m:t>
                  </m:r>
                  <m:r>
                    <m:t>1</m:t>
                  </m:r>
                  <m:r>
                    <m:t>h</m:t>
                  </m:r>
                </m:sub>
              </m:sSub>
            </m:oMath>
            <w:r>
              <w:t xml:space="preserve"> </w:t>
            </w:r>
            <w:r>
              <w:t xml:space="preserve">(right column) with 95% Monte Carlo SE bars. Panel (b): empirical 95% interval coverage with the same column layout. Dashed lines mark zero bias and nominal coverage. Absolute-scale methods (</w:t>
            </w:r>
            <w:r>
              <w:rPr>
                <w:rStyle w:val="VerbatimChar"/>
              </w:rPr>
              <w:t xml:space="preserve">joint_4pl_abs</w:t>
            </w:r>
            <w:r>
              <w:t xml:space="preserve"> </w:t>
            </w:r>
            <w:r>
              <w:t xml:space="preserve">and all two-stage variants) are evaluated against the analytical absolute-50% truth;</w:t>
            </w:r>
            <w:r>
              <w:t xml:space="preserve"> </w:t>
            </w:r>
            <w:r>
              <w:rPr>
                <w:rStyle w:val="VerbatimChar"/>
              </w:rPr>
              <w:t xml:space="preserve">joint_4pl</w:t>
            </w:r>
            <w:r>
              <w:t xml:space="preserve"> </w:t>
            </w:r>
            <w:r>
              <w:t xml:space="preserve">is evaluated against the relative midpoint truth. Two-stage normal- and t-quantile variants share point estimates and differ only in Stage-2 delta-method interval construction.</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ims2"/>
          <w:p>
            <w:pPr>
              <w:pStyle w:val="Compact"/>
              <w:jc w:val="center"/>
            </w:pPr>
            <w:r>
              <w:drawing>
                <wp:inline>
                  <wp:extent cx="5943600" cy="4622800"/>
                  <wp:effectExtent b="0" l="0" r="0" t="0"/>
                  <wp:docPr descr="" title="" id="43" name="Picture"/>
                  <a:graphic>
                    <a:graphicData uri="http://schemas.openxmlformats.org/drawingml/2006/picture">
                      <pic:pic>
                        <pic:nvPicPr>
                          <pic:cNvPr descr="ms_files/figure-docx/fig-sims2-1.png" id="44" name="Picture"/>
                          <pic:cNvPicPr>
                            <a:picLocks noChangeArrowheads="1" noChangeAspect="1"/>
                          </pic:cNvPicPr>
                        </pic:nvPicPr>
                        <pic:blipFill>
                          <a:blip r:embed="rId4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as the partial-mortality regime is swept along two orthogonal axes. Row labelled</w:t>
            </w:r>
            <w:r>
              <w:t xml:space="preserve"> </w:t>
            </w:r>
            <w:r>
              <w:rPr>
                <w:b/>
                <w:bCs/>
              </w:rPr>
              <w:t xml:space="preserve">‘u drifts with T (varying</w:t>
            </w:r>
            <w:r>
              <w:rPr>
                <w:b/>
                <w:bCs/>
              </w:rPr>
              <w:t xml:space="preserve"> </w:t>
            </w:r>
            <m:oMath>
              <m:sSub>
                <m:e>
                  <m:r>
                    <m:t>β</m:t>
                  </m:r>
                </m:e>
                <m:sub>
                  <m:r>
                    <m:t>u</m:t>
                  </m:r>
                </m:sub>
              </m:sSub>
            </m:oMath>
            <w:r>
              <w:rPr>
                <w:b/>
                <w:bCs/>
              </w:rPr>
              <w:t xml:space="preserve">)’</w:t>
            </w:r>
            <w:r>
              <w:t xml:space="preserve">: upper asymptote at</w:t>
            </w:r>
            <w:r>
              <w:t xml:space="preserve"> </w:t>
            </w:r>
            <m:oMath>
              <m:r>
                <m:t>T</m:t>
              </m:r>
              <m:r>
                <m:rPr>
                  <m:sty m:val="p"/>
                </m:rPr>
                <m:t>=</m:t>
              </m:r>
              <m:acc>
                <m:accPr>
                  <m:chr m:val="‾"/>
                </m:accPr>
                <m:e>
                  <m:r>
                    <m:t>T</m:t>
                  </m:r>
                </m:e>
              </m:acc>
            </m:oMath>
            <w:r>
              <w:t xml:space="preserve"> </w:t>
            </w:r>
            <w:r>
              <w:t xml:space="preserve">fixed at</w:t>
            </w:r>
            <w:r>
              <w:t xml:space="preserve"> </w:t>
            </w:r>
            <m:oMath>
              <m:sSub>
                <m:e>
                  <m:r>
                    <m:t>u</m:t>
                  </m:r>
                </m:e>
                <m:sub>
                  <m:r>
                    <m:t>0</m:t>
                  </m:r>
                </m:sub>
              </m:sSub>
              <m:r>
                <m:rPr>
                  <m:sty m:val="p"/>
                </m:rPr>
                <m:t>=</m:t>
              </m:r>
              <m:r>
                <m:t>0.92</m:t>
              </m:r>
            </m:oMath>
            <w:r>
              <w:t xml:space="preserve">, slope</w:t>
            </w:r>
            <w:r>
              <w:t xml:space="preserve"> </w:t>
            </w:r>
            <m:oMath>
              <m:sSub>
                <m:e>
                  <m:r>
                    <m:t>β</m:t>
                  </m:r>
                </m:e>
                <m:sub>
                  <m:r>
                    <m:t>u</m:t>
                  </m:r>
                </m:sub>
              </m:sSub>
            </m:oMath>
            <w:r>
              <w:t xml:space="preserve"> </w:t>
            </w:r>
            <w:r>
              <w:t xml:space="preserve">varied across</w:t>
            </w:r>
            <w:r>
              <w:t xml:space="preserve"> </w:t>
            </w:r>
            <m:oMath>
              <m:r>
                <m:rPr>
                  <m:sty m:val="p"/>
                </m:rPr>
                <m:t>{</m:t>
              </m:r>
              <m:r>
                <m:rPr>
                  <m:sty m:val="p"/>
                </m:rPr>
                <m:t>−</m:t>
              </m:r>
              <m:r>
                <m:t>0.005</m:t>
              </m:r>
              <m:r>
                <m:rPr>
                  <m:sty m:val="p"/>
                </m:rPr>
                <m:t>,</m:t>
              </m:r>
              <m:r>
                <m:rPr>
                  <m:sty m:val="p"/>
                </m:rPr>
                <m:t>−</m:t>
              </m:r>
              <m:r>
                <m:t>0.010</m:t>
              </m:r>
              <m:r>
                <m:rPr>
                  <m:sty m:val="p"/>
                </m:rPr>
                <m:t>,</m:t>
              </m:r>
              <m:r>
                <m:rPr>
                  <m:sty m:val="p"/>
                </m:rPr>
                <m:t>−</m:t>
              </m:r>
              <m:r>
                <m:t>0.015</m:t>
              </m:r>
              <m:r>
                <m:rPr>
                  <m:sty m:val="p"/>
                </m:rPr>
                <m:t>,</m:t>
              </m:r>
              <m:r>
                <m:rPr>
                  <m:sty m:val="p"/>
                </m:rPr>
                <m:t>−</m:t>
              </m:r>
              <m:r>
                <m:t>0.019</m:t>
              </m:r>
              <m:r>
                <m:rPr>
                  <m:sty m:val="p"/>
                </m:rPr>
                <m:t>}</m:t>
              </m:r>
            </m:oMath>
            <w:r>
              <w:t xml:space="preserve"> </w:t>
            </w:r>
            <w:r>
              <w:t xml:space="preserve">pp/°C — i.e.,</w:t>
            </w:r>
            <w:r>
              <w:t xml:space="preserve"> </w:t>
            </w:r>
            <m:oMath>
              <m:r>
                <m:t>u</m:t>
              </m:r>
            </m:oMath>
            <w:r>
              <w:t xml:space="preserve"> </w:t>
            </w:r>
            <w:r>
              <w:t xml:space="preserve">stays high at cool assays and declines progressively at hotter ones. Row labelled</w:t>
            </w:r>
            <w:r>
              <w:t xml:space="preserve"> </w:t>
            </w:r>
            <w:r>
              <w:rPr>
                <w:b/>
                <w:bCs/>
              </w:rPr>
              <w:t xml:space="preserve">‘u is constant but reduced (varying</w:t>
            </w:r>
            <w:r>
              <w:rPr>
                <w:b/>
                <w:bCs/>
              </w:rPr>
              <w:t xml:space="preserve"> </w:t>
            </w:r>
            <m:oMath>
              <m:sSub>
                <m:e>
                  <m:r>
                    <m:t>u</m:t>
                  </m:r>
                </m:e>
                <m:sub>
                  <m:r>
                    <m:t>0</m:t>
                  </m:r>
                </m:sub>
              </m:sSub>
            </m:oMath>
            <w:r>
              <w:rPr>
                <w:b/>
                <w:bCs/>
              </w:rPr>
              <w:t xml:space="preserve">)’</w:t>
            </w:r>
            <w:r>
              <w:t xml:space="preserve">:</w:t>
            </w:r>
            <w:r>
              <w:t xml:space="preserve"> </w:t>
            </w:r>
            <m:oMath>
              <m:sSub>
                <m:e>
                  <m:r>
                    <m:t>β</m:t>
                  </m:r>
                </m:e>
                <m:sub>
                  <m:r>
                    <m:t>u</m:t>
                  </m:r>
                </m:sub>
              </m:sSub>
              <m:r>
                <m:rPr>
                  <m:sty m:val="p"/>
                </m:rPr>
                <m:t>=</m:t>
              </m:r>
              <m:r>
                <m:t>0</m:t>
              </m:r>
            </m:oMath>
            <w:r>
              <w:t xml:space="preserve"> </w:t>
            </w:r>
            <w:r>
              <w:t xml:space="preserve">(no temperature drift); the baseline level itself is swept across</w:t>
            </w:r>
            <w:r>
              <w:t xml:space="preserve"> </w:t>
            </w:r>
            <m:oMath>
              <m:r>
                <m:rPr>
                  <m:sty m:val="p"/>
                </m:rPr>
                <m:t>{</m:t>
              </m:r>
              <m:r>
                <m:t>0.65</m:t>
              </m:r>
              <m:r>
                <m:rPr>
                  <m:sty m:val="p"/>
                </m:rPr>
                <m:t>,</m:t>
              </m:r>
              <m:r>
                <m:t>0.75</m:t>
              </m:r>
              <m:r>
                <m:rPr>
                  <m:sty m:val="p"/>
                </m:rPr>
                <m:t>,</m:t>
              </m:r>
              <m:r>
                <m:t>0.85</m:t>
              </m:r>
              <m:r>
                <m:rPr>
                  <m:sty m:val="p"/>
                </m:rPr>
                <m:t>,</m:t>
              </m:r>
              <m:r>
                <m:t>0.95</m:t>
              </m:r>
              <m:r>
                <m:rPr>
                  <m:sty m:val="p"/>
                </m:rPr>
                <m:t>,</m:t>
              </m:r>
              <m:r>
                <m:t>0.99</m:t>
              </m:r>
              <m:r>
                <m:rPr>
                  <m:sty m:val="p"/>
                </m:rPr>
                <m:t>}</m:t>
              </m:r>
            </m:oMath>
            <w:r>
              <w:t xml:space="preserve"> </w:t>
            </w:r>
            <w:r>
              <w:t xml:space="preserve">— i.e., a constant fraction of the cohort is never susceptible, regardless of temperature. Both rows: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cell. Points are mean signed bias with 95% Monte Carlo SE bars; dashed lines mark zero bias. Left column:</w:t>
            </w:r>
            <w:r>
              <w:t xml:space="preserve"> </w:t>
            </w:r>
            <m:oMath>
              <m:r>
                <m:t>z</m:t>
              </m:r>
            </m:oMath>
            <w:r>
              <w:t xml:space="preserve">; right column:</w:t>
            </w:r>
            <w:r>
              <w:t xml:space="preserve"> </w:t>
            </w:r>
            <m:oMath>
              <m:r>
                <m:t>C</m:t>
              </m:r>
              <m:sSub>
                <m:e>
                  <m:r>
                    <m:t>T</m:t>
                  </m:r>
                </m:e>
                <m:sub>
                  <m:r>
                    <m:t>m</m:t>
                  </m:r>
                  <m:r>
                    <m:t>a</m:t>
                  </m:r>
                  <m:r>
                    <m:t>x</m:t>
                  </m:r>
                  <m:r>
                    <m:rPr>
                      <m:sty m:val="p"/>
                    </m:rPr>
                    <m:t>,</m:t>
                  </m:r>
                  <m:r>
                    <m:t>1</m:t>
                  </m:r>
                  <m:r>
                    <m:t>h</m:t>
                  </m:r>
                </m:sub>
              </m:sSub>
            </m:oMath>
            <w:r>
              <w:t xml:space="preserve">. Only the four distinct point-estimate methods are shown: the two-stage Normal-CI and t-CI variants share point estimates within each Stage-1 family, so bias is identical between them; coverage differences appear in the supplementary writeup. Methods are evaluated against the truth on their own threshold scale (see Methods). The two failure signatures differ: drifting</w:t>
            </w:r>
            <w:r>
              <w:t xml:space="preserve"> </w:t>
            </w:r>
            <m:oMath>
              <m:r>
                <m:t>u</m:t>
              </m:r>
            </m:oMath>
            <w:r>
              <w:t xml:space="preserve"> </w:t>
            </w:r>
            <w:r>
              <w:t xml:space="preserve">tilts the Stage-2 slope (large</w:t>
            </w:r>
            <w:r>
              <w:t xml:space="preserve"> </w:t>
            </w:r>
            <m:oMath>
              <m:r>
                <m:t>z</m:t>
              </m:r>
            </m:oMath>
            <w:r>
              <w:t xml:space="preserve"> </w:t>
            </w:r>
            <w:r>
              <w:t xml:space="preserve">bias, modest</w:t>
            </w:r>
            <w:r>
              <w:t xml:space="preserve"> </w:t>
            </w:r>
            <m:oMath>
              <m:r>
                <m:t>C</m:t>
              </m:r>
              <m:sSub>
                <m:e>
                  <m:r>
                    <m:t>T</m:t>
                  </m:r>
                </m:e>
                <m:sub>
                  <m:r>
                    <m:t>m</m:t>
                  </m:r>
                  <m:r>
                    <m:t>a</m:t>
                  </m:r>
                  <m:r>
                    <m:t>x</m:t>
                  </m:r>
                  <m:r>
                    <m:rPr>
                      <m:sty m:val="p"/>
                    </m:rPr>
                    <m:t>,</m:t>
                  </m:r>
                  <m:r>
                    <m:t>1</m:t>
                  </m:r>
                  <m:r>
                    <m:t>h</m:t>
                  </m:r>
                </m:sub>
              </m:sSub>
            </m:oMath>
            <w:r>
              <w:t xml:space="preserve"> </w:t>
            </w:r>
            <w:r>
              <w:t xml:space="preserve">bias); constant low</w:t>
            </w:r>
            <w:r>
              <w:t xml:space="preserve"> </w:t>
            </w:r>
            <m:oMath>
              <m:r>
                <m:t>u</m:t>
              </m:r>
            </m:oMath>
            <w:r>
              <w:t xml:space="preserve"> </w:t>
            </w:r>
            <w:r>
              <w:t xml:space="preserve">shifts the Stage-2 intercept (large</w:t>
            </w:r>
            <w:r>
              <w:t xml:space="preserve"> </w:t>
            </w:r>
            <m:oMath>
              <m:r>
                <m:t>C</m:t>
              </m:r>
              <m:sSub>
                <m:e>
                  <m:r>
                    <m:t>T</m:t>
                  </m:r>
                </m:e>
                <m:sub>
                  <m:r>
                    <m:t>m</m:t>
                  </m:r>
                  <m:r>
                    <m:t>a</m:t>
                  </m:r>
                  <m:r>
                    <m:t>x</m:t>
                  </m:r>
                  <m:r>
                    <m:rPr>
                      <m:sty m:val="p"/>
                    </m:rPr>
                    <m:t>,</m:t>
                  </m:r>
                  <m:r>
                    <m:t>1</m:t>
                  </m:r>
                  <m:r>
                    <m:t>h</m:t>
                  </m:r>
                </m:sub>
              </m:sSub>
            </m:oMath>
            <w:r>
              <w:t xml:space="preserve"> </w:t>
            </w:r>
            <w:r>
              <w:t xml:space="preserve">bias, with</w:t>
            </w:r>
            <w:r>
              <w:t xml:space="preserve"> </w:t>
            </w:r>
            <m:oMath>
              <m:r>
                <m:t>z</m:t>
              </m:r>
            </m:oMath>
            <w:r>
              <w:t xml:space="preserve"> </w:t>
            </w:r>
            <w:r>
              <w:t xml:space="preserve">bias of opposite sign growing as</w:t>
            </w:r>
            <w:r>
              <w:t xml:space="preserve"> </w:t>
            </w:r>
            <m:oMath>
              <m:sSub>
                <m:e>
                  <m:r>
                    <m:t>u</m:t>
                  </m:r>
                </m:e>
                <m:sub>
                  <m:r>
                    <m:t>0</m:t>
                  </m:r>
                </m:sub>
              </m:sSub>
            </m:oMath>
            <w:r>
              <w:t xml:space="preserve"> </w:t>
            </w:r>
            <w:r>
              <w:t xml:space="preserve">falls).</w:t>
            </w:r>
          </w:p>
          <w:bookmarkEnd w:id="45"/>
        </w:tc>
      </w:tr>
    </w:tbl>
    <w:bookmarkEnd w:id="46"/>
    <w:bookmarkEnd w:id="47"/>
    <w:bookmarkStart w:id="51" w:name="Xabbe56c6b0f09d0a23600010df7f295a0cf446d"/>
    <w:p>
      <w:pPr>
        <w:pStyle w:val="Heading1"/>
      </w:pPr>
      <w:r>
        <w:t xml:space="preserve">Application of Bayesian dose-response models to case studies</w:t>
      </w:r>
    </w:p>
    <w:p>
      <w:pPr>
        <w:pStyle w:val="FirstParagraph"/>
      </w:pPr>
      <w:r>
        <w:t xml:space="preserve">We applied the 4-parameter (4PL) Bayesian logistic model to four case studies covering a broad range of ectothermic groups. For all case studies, we show how much a modelling framework can retrieve classical parameters of the TLS framework such as</w:t>
      </w:r>
      <w:r>
        <w:t xml:space="preserve"> </w:t>
      </w:r>
      <m:oMath>
        <m:r>
          <m:t>z</m:t>
        </m:r>
      </m:oMath>
      <w:r>
        <w:t xml:space="preserve"> </w:t>
      </w:r>
      <w:r>
        <w:t xml:space="preserve">and</w:t>
      </w:r>
      <w:r>
        <w:t xml:space="preserve"> </w:t>
      </w:r>
      <m:oMath>
        <m:r>
          <m:t>C</m:t>
        </m:r>
        <m:sSub>
          <m:e>
            <m:r>
              <m:t>T</m:t>
            </m:r>
          </m:e>
          <m:sub>
            <m:r>
              <m:t>m</m:t>
            </m:r>
            <m:r>
              <m:t>a</m:t>
            </m:r>
            <m:r>
              <m:t>x</m:t>
            </m:r>
            <m:r>
              <m:t>1</m:t>
            </m:r>
            <m:r>
              <m:t>h</m:t>
            </m:r>
          </m:sub>
        </m:sSub>
      </m:oMath>
      <w:r>
        <w:t xml:space="preserve"> </w:t>
      </w:r>
      <w:r>
        <w:t xml:space="preserve">using both lethal and sublethal data. We also show how to derive an estimate of</w:t>
      </w:r>
      <w:r>
        <w:t xml:space="preserve"> </w:t>
      </w:r>
      <m:oMath>
        <m:sSub>
          <m:e>
            <m:r>
              <m:t>T</m:t>
            </m:r>
          </m:e>
          <m:sub>
            <m:r>
              <m:t>c</m:t>
            </m:r>
            <m:r>
              <m:t>r</m:t>
            </m:r>
            <m:r>
              <m:t>i</m:t>
            </m:r>
            <m:r>
              <m:t>t</m:t>
            </m:r>
          </m:sub>
        </m:sSub>
      </m:oMath>
      <w:r>
        <w:t xml:space="preserve"> </w:t>
      </w:r>
      <w:r>
        <w:t xml:space="preserve">from lethal data.</w:t>
      </w:r>
    </w:p>
    <w:p>
      <w:pPr>
        <w:pStyle w:val="BodyText"/>
      </w:pPr>
      <w:r>
        <w:t xml:space="preserve">In brown shrimp (</w:t>
      </w:r>
      <w:r>
        <w:rPr>
          <w:i/>
          <w:iCs/>
        </w:rPr>
        <w:t xml:space="preserve">Crangon crangon</w:t>
      </w:r>
      <w:r>
        <w:t xml:space="preserve">), we first show how the 4PL model can be used to generate survival curves, thermal-death-time relationships, and thermal tolerance landscapes with complete uncertainty propagation. We also show how the 4PL can be used to predict survival under dynamic thermal regimes. We then also show how to apply this model to sublethal data (time to knockdown), based on the proportion of live and knocked down individuals across time and temperature.</w:t>
      </w:r>
    </w:p>
    <w:p>
      <w:pPr>
        <w:pStyle w:val="BodyText"/>
      </w:pPr>
      <w:r>
        <w:t xml:space="preserve">In zebrafish (</w:t>
      </w:r>
      <w:r>
        <w:rPr>
          <w:i/>
          <w:iCs/>
        </w:rPr>
        <w:t xml:space="preserve">Danio rerio</w:t>
      </w:r>
      <w:r>
        <w:t xml:space="preserve">), we show how the 4PL can be used to estimate all parameters and tolerance landscapes across three distinct life stages: early embryos, late embryos, and larvae. We show how to define models to derive group-specific parameters and compare posterior distributions to make inference about differences in thermal sensitivity and tolerance across life stages.</w:t>
      </w:r>
    </w:p>
    <w:p>
      <w:pPr>
        <w:pStyle w:val="BodyText"/>
      </w:pPr>
      <w:r>
        <w:t xml:space="preserve">In snow gum (</w:t>
      </w:r>
      <w:r>
        <w:rPr>
          <w:i/>
          <w:iCs/>
        </w:rPr>
        <w:t xml:space="preserve">Eucalyptus pauciflora</w:t>
      </w:r>
      <w:r>
        <w:t xml:space="preserve">), we show how the 4PL model can be used to estimate thermal load sensitivity parameters from sublethal data on leaf photosynthetic efficiency. Specifically, we focus on the functional impariment of the photosystem II based on repeated measurements of chlorophyll fluorescence before and after heat stress.</w:t>
      </w:r>
    </w:p>
    <w:p>
      <w:pPr>
        <w:pStyle w:val="BodyText"/>
      </w:pPr>
      <w:r>
        <w:t xml:space="preserve">To break the well-known likelihood ridges among</w:t>
      </w:r>
      <w:r>
        <w:t xml:space="preserve"> </w:t>
      </w:r>
      <m:oMath>
        <m:d>
          <m:dPr>
            <m:begChr m:val="("/>
            <m:sepChr m:val=""/>
            <m:endChr m:val=")"/>
            <m:grow/>
          </m:dPr>
          <m:e>
            <m:r>
              <m:rPr>
                <m:nor/>
                <m:sty m:val="p"/>
              </m:rPr>
              <m:t>low</m:t>
            </m:r>
            <m:r>
              <m:rPr>
                <m:sty m:val="p"/>
              </m:rPr>
              <m:t>,</m:t>
            </m:r>
            <m:r>
              <m:rPr>
                <m:nor/>
                <m:sty m:val="p"/>
              </m:rPr>
              <m:t>up</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48" w:name="eq-reparam"/>
      <m:oMathPara>
        <m:oMathParaPr>
          <m:jc m:val="center"/>
        </m:oMathParaPr>
        <m:oMath>
          <m:r>
            <m:rPr>
              <m:nor/>
              <m:sty m:val="p"/>
            </m:rPr>
            <m:t>low</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low</m:t>
                  </m:r>
                </m:e>
              </m:acc>
            </m:e>
          </m:d>
          <m:r>
            <m:rPr>
              <m:sty m:val="p"/>
            </m:rPr>
            <m:t>,</m:t>
          </m:r>
          <m:r>
            <m:t>  </m:t>
          </m:r>
          <m:r>
            <m:rPr>
              <m:nor/>
              <m:sty m:val="p"/>
            </m:rPr>
            <m:t>up</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up</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10</m:t>
              </m:r>
            </m:e>
          </m:d>
        </m:oMath>
      </m:oMathPara>
      <w:bookmarkEnd w:id="48"/>
    </w:p>
    <w:p>
      <w:pPr>
        <w:pStyle w:val="FirstParagraph"/>
      </w:pPr>
      <w:r>
        <w:t xml:space="preserve">with</w:t>
      </w:r>
      <w:r>
        <w:t xml:space="preserve"> </w:t>
      </w:r>
      <m:oMath>
        <m:acc>
          <m:accPr>
            <m:chr m:val="̃"/>
          </m:accPr>
          <m:e>
            <m:r>
              <m:rPr>
                <m:nor/>
                <m:sty m:val="p"/>
              </m:rPr>
              <m:t>low</m:t>
            </m:r>
          </m:e>
        </m:acc>
        <m:r>
          <m:rPr>
            <m:sty m:val="p"/>
          </m:rPr>
          <m:t>,</m:t>
        </m:r>
        <m:acc>
          <m:accPr>
            <m:chr m:val="̃"/>
          </m:accPr>
          <m:e>
            <m:r>
              <m:rPr>
                <m:nor/>
                <m:sty m:val="p"/>
              </m:rPr>
              <m:t>up</m:t>
            </m:r>
          </m:e>
        </m:acc>
        <m:r>
          <m:rPr>
            <m:sty m:val="p"/>
          </m:rPr>
          <m:t>,</m:t>
        </m:r>
        <m:r>
          <m:t>κ</m:t>
        </m:r>
        <m:r>
          <m:rPr>
            <m:sty m:val="p"/>
          </m:rPr>
          <m:t>∈</m:t>
        </m:r>
        <m:r>
          <m:rPr>
            <m:sty m:val="p"/>
            <m:scr m:val="double-struck"/>
          </m:rPr>
          <m:t>R</m:t>
        </m:r>
      </m:oMath>
      <w:r>
        <w:t xml:space="preserve">. This constrains</w:t>
      </w:r>
      <w:r>
        <w:t xml:space="preserve"> </w:t>
      </w:r>
      <m:oMath>
        <m:r>
          <m:rPr>
            <m:nor/>
            <m:sty m:val="p"/>
          </m:rPr>
          <m:t>low</m:t>
        </m:r>
        <m:r>
          <m:rPr>
            <m:sty m:val="p"/>
          </m:rPr>
          <m:t>∈</m:t>
        </m:r>
        <m:d>
          <m:dPr>
            <m:begChr m:val="["/>
            <m:sepChr m:val=""/>
            <m:endChr m:val="]"/>
            <m:grow/>
          </m:dPr>
          <m:e>
            <m:r>
              <m:t>0</m:t>
            </m:r>
            <m:r>
              <m:rPr>
                <m:sty m:val="p"/>
              </m:rPr>
              <m:t>,</m:t>
            </m:r>
            <m:r>
              <m:t>0.49</m:t>
            </m:r>
          </m:e>
        </m:d>
      </m:oMath>
      <w:r>
        <w:t xml:space="preserve"> </w:t>
      </w:r>
      <w:r>
        <w:t xml:space="preserve">and</w:t>
      </w:r>
      <w:r>
        <w:t xml:space="preserve"> </w:t>
      </w:r>
      <m:oMath>
        <m:r>
          <m:rPr>
            <m:nor/>
            <m:sty m:val="p"/>
          </m:rPr>
          <m:t>up</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rPr>
            <m:nor/>
            <m:sty m:val="p"/>
          </m:rPr>
          <m:t>up</m:t>
        </m:r>
        <m:r>
          <m:rPr>
            <m:sty m:val="p"/>
          </m:rPr>
          <m:t>&gt;</m:t>
        </m:r>
        <m:r>
          <m:rPr>
            <m:nor/>
            <m:sty m:val="p"/>
          </m:rPr>
          <m:t>low</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Up to this point we have written</w:t>
      </w:r>
      <w:r>
        <w:t xml:space="preserve"> </w:t>
      </w:r>
      <w:hyperlink w:anchor="eq-likelihood">
        <w:r>
          <w:rPr>
            <w:rStyle w:val="Hyperlink"/>
          </w:rPr>
          <w:t xml:space="preserve">Equation 1</w:t>
        </w:r>
      </w:hyperlink>
      <w:r>
        <w:t xml:space="preserve">–</w:t>
      </w:r>
      <w:hyperlink w:anchor="eq-mid-temp">
        <w:r>
          <w:rPr>
            <w:rStyle w:val="Hyperlink"/>
          </w:rPr>
          <w:t xml:space="preserve">Equation 3</w:t>
        </w:r>
      </w:hyperlink>
      <w:r>
        <w:t xml:space="preserve"> </w:t>
      </w:r>
      <w:r>
        <w:t xml:space="preserve">without indices for clarity. To accommodate replicated, hierarchically structured data, we now index observations by</w:t>
      </w:r>
      <w:r>
        <w:t xml:space="preserve"> </w:t>
      </w:r>
      <m:oMath>
        <m:r>
          <m:t>i</m:t>
        </m:r>
      </m:oMath>
      <w:r>
        <w:t xml:space="preserve"> </w:t>
      </w:r>
      <w:r>
        <w:t xml:space="preserve">within group</w:t>
      </w:r>
      <w:r>
        <w:t xml:space="preserve"> </w:t>
      </w:r>
      <m:oMath>
        <m:r>
          <m:t>j</m:t>
        </m:r>
      </m:oMath>
      <w:r>
        <w:t xml:space="preserve"> </w:t>
      </w:r>
      <w:r>
        <w:t xml:space="preserve">(e.g., trial, individual, population). The inflection point</w:t>
      </w:r>
      <w:r>
        <w:t xml:space="preserve"> </w:t>
      </w:r>
      <m:oMath>
        <m:sSub>
          <m:e>
            <m:r>
              <m:rPr>
                <m:nor/>
                <m:sty m:val="p"/>
              </m:rPr>
              <m:t>mid</m:t>
            </m:r>
          </m:e>
          <m:sub>
            <m:r>
              <m:t>i</m:t>
            </m:r>
            <m:r>
              <m:t>j</m:t>
            </m:r>
          </m:sub>
        </m:sSub>
      </m:oMath>
      <w:r>
        <w:t xml:space="preserve"> </w:t>
      </w:r>
      <w:r>
        <w:t xml:space="preserve">is then modelled as a linear function of (mean-centred) assay temperature, with additional fixed covariates and nested random effects:</w:t>
      </w:r>
    </w:p>
    <w:p>
      <w:pPr>
        <w:pStyle w:val="BodyText"/>
      </w:pPr>
      <w:bookmarkStart w:id="49" w:name="eq-linpred"/>
      <m:oMathPara>
        <m:oMathParaPr>
          <m:jc m:val="center"/>
        </m:oMathParaPr>
        <m:oMath>
          <m:sSub>
            <m:e>
              <m:r>
                <m:rPr>
                  <m:nor/>
                  <m:sty m:val="p"/>
                </m:rPr>
                <m:t>mid</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11</m:t>
              </m:r>
            </m:e>
          </m:d>
        </m:oMath>
      </m:oMathPara>
      <w:bookmarkEnd w:id="49"/>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11</w:t>
        </w:r>
      </w:hyperlink>
      <w:r>
        <w:t xml:space="preserve"> </w:t>
      </w:r>
      <w:r>
        <w:t xml:space="preserve">define the hierarchical Bayesian 4PL fit directly to the raw binomial counts. Every classical TDT quantity — slope,</w:t>
      </w:r>
      <w:r>
        <w:t xml:space="preserve"> </w:t>
      </w:r>
      <m:oMath>
        <m:r>
          <m:t>z</m:t>
        </m:r>
      </m:oMath>
      <w:r>
        <w:t xml:space="preserve">,</w:t>
      </w:r>
      <w:r>
        <w:t xml:space="preserve"> </w:t>
      </w:r>
      <m:oMath>
        <m:r>
          <m:t>C</m:t>
        </m:r>
        <m:sSub>
          <m:e>
            <m:r>
              <m:t>T</m:t>
            </m:r>
          </m:e>
          <m:sub>
            <m:r>
              <m:t>m</m:t>
            </m:r>
            <m:r>
              <m:t>a</m:t>
            </m:r>
            <m:r>
              <m:t>x</m:t>
            </m:r>
          </m:sub>
        </m:sSub>
      </m:oMath>
      <w:r>
        <w:t xml:space="preserve"> </w:t>
      </w:r>
      <w:r>
        <w:t xml:space="preserve">at any reference time, and the heat-injury integral — is recovered as a one-line posterior summary of this single joint fit, as derived in §[Equivalence with the classical pipeline].</w:t>
      </w:r>
    </w:p>
    <w:bookmarkStart w:id="50" w:name="X83c280133a78de915d3b14a666f30d6a82dc387"/>
    <w:p>
      <w:pPr>
        <w:pStyle w:val="Heading2"/>
      </w:pPr>
      <w:r>
        <w:t xml:space="preserve">What the 4PL delivers that the two-step cannot</w:t>
      </w:r>
    </w:p>
    <w:bookmarkEnd w:id="50"/>
    <w:bookmarkEnd w:id="51"/>
    <w:bookmarkStart w:id="58" w:name="X2a14174f4c72db593bce4e6516c6528cdb497de"/>
    <w:p>
      <w:pPr>
        <w:pStyle w:val="Heading1"/>
      </w:pPr>
      <w:r>
        <w:t xml:space="preserve">Worked example: brown shrimp thermal tolerance</w:t>
      </w:r>
    </w:p>
    <w:bookmarkStart w:id="52" w:name="data-and-experimental-design"/>
    <w:p>
      <w:pPr>
        <w:pStyle w:val="Heading2"/>
      </w:pPr>
      <w:r>
        <w:t xml:space="preserve">Data and experimental design</w:t>
      </w:r>
    </w:p>
    <w:bookmarkEnd w:id="52"/>
    <w:bookmarkStart w:id="53" w:name="lethal-tdt-hierarchical-4pl-on-counts"/>
    <w:p>
      <w:pPr>
        <w:pStyle w:val="Heading2"/>
      </w:pPr>
      <w:r>
        <w:t xml:space="preserve">Lethal TDT — hierarchical 4PL on counts</w:t>
      </w:r>
    </w:p>
    <w:bookmarkEnd w:id="53"/>
    <w:bookmarkStart w:id="54" w:name="sublethal-time-to-death"/>
    <w:p>
      <w:pPr>
        <w:pStyle w:val="Heading2"/>
      </w:pPr>
      <w:r>
        <w:t xml:space="preserve">Sublethal time-to-death</w:t>
      </w:r>
    </w:p>
    <w:bookmarkEnd w:id="54"/>
    <w:bookmarkStart w:id="55" w:name="dynamic-ct_max-across-ramping-rates"/>
    <w:p>
      <w:pPr>
        <w:pStyle w:val="Heading2"/>
      </w:pPr>
      <w:r>
        <w:t xml:space="preserve">Dynamic</w:t>
      </w:r>
      <w:r>
        <w:t xml:space="preserve"> </w:t>
      </w:r>
      <m:oMath>
        <m:r>
          <m:t>C</m:t>
        </m:r>
        <m:sSub>
          <m:e>
            <m:r>
              <m:t>T</m:t>
            </m:r>
          </m:e>
          <m:sub>
            <m:r>
              <m:t>m</m:t>
            </m:r>
            <m:r>
              <m:t>a</m:t>
            </m:r>
            <m:r>
              <m:t>x</m:t>
            </m:r>
          </m:sub>
        </m:sSub>
      </m:oMath>
      <w:r>
        <w:t xml:space="preserve"> </w:t>
      </w:r>
      <w:r>
        <w:t xml:space="preserve">across ramping rates</w:t>
      </w:r>
    </w:p>
    <w:bookmarkEnd w:id="55"/>
    <w:bookmarkStart w:id="56" w:name="Xa764bbb0ef06e1b16f1b866442815364d0000f8"/>
    <w:p>
      <w:pPr>
        <w:pStyle w:val="Heading2"/>
      </w:pPr>
      <w:r>
        <w:t xml:space="preserve">Reconciling the three endpoints via the Jørgensen ramping equation</w:t>
      </w:r>
    </w:p>
    <w:bookmarkEnd w:id="56"/>
    <w:bookmarkStart w:id="57" w:name="Xc9d8a39a8777a97080af0145482f0bf85ce7458"/>
    <w:p>
      <w:pPr>
        <w:pStyle w:val="Heading2"/>
      </w:pPr>
      <w:r>
        <w:t xml:space="preserve">Field-temperature heat-injury projections under warming scenarios</w:t>
      </w:r>
    </w:p>
    <w:bookmarkEnd w:id="57"/>
    <w:bookmarkEnd w:id="58"/>
    <w:bookmarkStart w:id="62" w:name="discussion"/>
    <w:p>
      <w:pPr>
        <w:pStyle w:val="Heading1"/>
      </w:pPr>
      <w:r>
        <w:t xml:space="preserve">Discussion</w:t>
      </w:r>
    </w:p>
    <w:bookmarkStart w:id="59" w:name="X5dac85fa1a4411486a220dbeaf8627ab0091f32"/>
    <w:p>
      <w:pPr>
        <w:pStyle w:val="Heading2"/>
      </w:pPr>
      <w:r>
        <w:t xml:space="preserve">What changes for the field if the hierarchical 4PL becomes the default</w:t>
      </w:r>
    </w:p>
    <w:bookmarkEnd w:id="59"/>
    <w:bookmarkStart w:id="60" w:name="limits-of-the-present-analysis"/>
    <w:p>
      <w:pPr>
        <w:pStyle w:val="Heading2"/>
      </w:pPr>
      <w:r>
        <w:t xml:space="preserve">Limits of the present analysis</w:t>
      </w:r>
    </w:p>
    <w:bookmarkEnd w:id="60"/>
    <w:bookmarkStart w:id="61" w:name="Xf0d52b04feeaedf0b5abcee2b4d231c85971023"/>
    <w:p>
      <w:pPr>
        <w:pStyle w:val="Heading2"/>
      </w:pPr>
      <w:r>
        <w:t xml:space="preserve">Recommendations for primary studies and meta-analyses</w:t>
      </w:r>
    </w:p>
    <w:bookmarkEnd w:id="61"/>
    <w:bookmarkEnd w:id="62"/>
    <w:bookmarkStart w:id="63" w:name="conclusions"/>
    <w:p>
      <w:pPr>
        <w:pStyle w:val="Heading1"/>
      </w:pPr>
      <w:r>
        <w:t xml:space="preserve">Conclusions</w:t>
      </w:r>
    </w:p>
    <w:bookmarkEnd w:id="63"/>
    <w:bookmarkStart w:id="64" w:name="acknowledgements"/>
    <w:p>
      <w:pPr>
        <w:pStyle w:val="Heading1"/>
      </w:pPr>
      <w:r>
        <w:t xml:space="preserve">Acknowledgements</w:t>
      </w:r>
    </w:p>
    <w:bookmarkEnd w:id="64"/>
    <w:bookmarkStart w:id="65" w:name="author-contributions"/>
    <w:p>
      <w:pPr>
        <w:pStyle w:val="Heading1"/>
      </w:pPr>
      <w:r>
        <w:t xml:space="preserve">Author contributions</w:t>
      </w:r>
    </w:p>
    <w:bookmarkEnd w:id="65"/>
    <w:bookmarkStart w:id="66" w:name="data-and-code-availability"/>
    <w:p>
      <w:pPr>
        <w:pStyle w:val="Heading1"/>
      </w:pPr>
      <w:r>
        <w:t xml:space="preserve">Data and code availability</w:t>
      </w:r>
    </w:p>
    <w:p>
      <w:pPr>
        <w:pStyle w:val="FirstParagraph"/>
      </w:pPr>
      <w:r>
        <w:t xml:space="preserve">All data, analysis scripts, and the rendered manuscript and supplement are available at https://github.com/daniel1noble/bayesTLS.</w:t>
      </w:r>
    </w:p>
    <w:bookmarkEnd w:id="66"/>
    <w:bookmarkStart w:id="67" w:name="conflict-of-interest"/>
    <w:p>
      <w:pPr>
        <w:pStyle w:val="Heading1"/>
      </w:pPr>
      <w:r>
        <w:t xml:space="preserve">Conflict of interest</w:t>
      </w:r>
    </w:p>
    <w:p>
      <w:pPr>
        <w:pStyle w:val="FirstParagraph"/>
      </w:pPr>
      <w:r>
        <w:t xml:space="preserve">The authors declare no competing interests.</w:t>
      </w:r>
    </w:p>
    <w:bookmarkEnd w:id="67"/>
    <w:bookmarkStart w:id="142" w:name="references"/>
    <w:p>
      <w:pPr>
        <w:pStyle w:val="Heading1"/>
      </w:pPr>
      <w:r>
        <w:t xml:space="preserve">References</w:t>
      </w:r>
    </w:p>
    <w:bookmarkStart w:id="141" w:name="refs"/>
    <w:bookmarkStart w:id="6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9"/>
    <w:bookmarkStart w:id="7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70"/>
    <w:bookmarkStart w:id="72" w:name="ref-buckley_damage_2025"/>
    <w:p>
      <w:pPr>
        <w:pStyle w:val="Bibliography"/>
      </w:pPr>
      <w:r>
        <w:t xml:space="preserve">Buckley, L.B., Huey, R.B. &amp; Ma, C.-S. (2025).</w:t>
      </w:r>
      <w:r>
        <w:t xml:space="preserve"> </w:t>
      </w:r>
      <w:hyperlink r:id="rId71">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72"/>
    <w:bookmarkStart w:id="74" w:name="ref-bullard2026"/>
    <w:p>
      <w:pPr>
        <w:pStyle w:val="Bibliography"/>
      </w:pPr>
      <w:r>
        <w:t xml:space="preserve">Bullard, G.W., Buckley, L.B. &amp; Kingsolver, J.G. (2026).</w:t>
      </w:r>
      <w:r>
        <w:t xml:space="preserve"> </w:t>
      </w:r>
      <w:hyperlink r:id="rId73">
        <w:r>
          <w:rPr>
            <w:rStyle w:val="Hyperlink"/>
          </w:rPr>
          <w:t xml:space="preserve">Incorporating variation in death times improves predictions of ectotherm responses to stressful temperatures</w:t>
        </w:r>
      </w:hyperlink>
      <w:r>
        <w:t xml:space="preserve">.</w:t>
      </w:r>
      <w:r>
        <w:t xml:space="preserve"> </w:t>
      </w:r>
      <w:r>
        <w:rPr>
          <w:i/>
          <w:iCs/>
        </w:rPr>
        <w:t xml:space="preserve">PLOS Biology</w:t>
      </w:r>
      <w:r>
        <w:t xml:space="preserve">, 24, e3003623.</w:t>
      </w:r>
    </w:p>
    <w:bookmarkEnd w:id="74"/>
    <w:bookmarkStart w:id="76"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5">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6"/>
    <w:bookmarkStart w:id="78" w:name="ref-direnzo2023"/>
    <w:p>
      <w:pPr>
        <w:pStyle w:val="Bibliography"/>
      </w:pPr>
      <w:r>
        <w:t xml:space="preserve">DiRenzo, G.V., Hanks, E. &amp; Miller, D.A.W. (2023).</w:t>
      </w:r>
      <w:r>
        <w:t xml:space="preserve"> </w:t>
      </w:r>
      <w:hyperlink r:id="rId77">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78"/>
    <w:bookmarkStart w:id="80" w:name="ref-faber_tdt_plants_2024"/>
    <w:p>
      <w:pPr>
        <w:pStyle w:val="Bibliography"/>
      </w:pPr>
      <w:r>
        <w:t xml:space="preserve">Faber, A.H., Ørsted, M. &amp; Ehlers, B.K. (2024).</w:t>
      </w:r>
      <w:r>
        <w:t xml:space="preserve"> </w:t>
      </w:r>
      <w:hyperlink r:id="rId79">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80"/>
    <w:bookmarkStart w:id="82" w:name="ref-gelman_priors_2006"/>
    <w:p>
      <w:pPr>
        <w:pStyle w:val="Bibliography"/>
      </w:pPr>
      <w:r>
        <w:t xml:space="preserve">Gelman, A. (2006).</w:t>
      </w:r>
      <w:r>
        <w:t xml:space="preserve"> </w:t>
      </w:r>
      <w:hyperlink r:id="rId81">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82"/>
    <w:bookmarkStart w:id="84" w:name="ref-harrison_olre_2014"/>
    <w:p>
      <w:pPr>
        <w:pStyle w:val="Bibliography"/>
      </w:pPr>
      <w:r>
        <w:t xml:space="preserve">Harrison, X.A. (2014).</w:t>
      </w:r>
      <w:r>
        <w:t xml:space="preserve"> </w:t>
      </w:r>
      <w:hyperlink r:id="rId83">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84"/>
    <w:bookmarkStart w:id="86" w:name="ref-jorgensen_drosophila_2019"/>
    <w:p>
      <w:pPr>
        <w:pStyle w:val="Bibliography"/>
      </w:pPr>
      <w:r>
        <w:t xml:space="preserve">Jørgensen, L.B., Malte, H. &amp; Overgaard, J. (2019).</w:t>
      </w:r>
      <w:r>
        <w:t xml:space="preserve"> </w:t>
      </w:r>
      <w:hyperlink r:id="rId85">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86"/>
    <w:bookmarkStart w:id="88" w:name="ref-jorgensen_unifying_2021"/>
    <w:p>
      <w:pPr>
        <w:pStyle w:val="Bibliography"/>
      </w:pPr>
      <w:r>
        <w:t xml:space="preserve">Jørgensen, L.B., Malte, H. &amp; Overgaard, J. (2021).</w:t>
      </w:r>
      <w:r>
        <w:t xml:space="preserve"> </w:t>
      </w:r>
      <w:hyperlink r:id="rId87">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8"/>
    <w:bookmarkStart w:id="90" w:name="ref-jorgensen_nature_2022"/>
    <w:p>
      <w:pPr>
        <w:pStyle w:val="Bibliography"/>
      </w:pPr>
      <w:r>
        <w:t xml:space="preserve">Jørgensen, L.B., Ørsted, M., Malte, H., Wang, T. &amp; Overgaard, J. (2022).</w:t>
      </w:r>
      <w:r>
        <w:t xml:space="preserve"> </w:t>
      </w:r>
      <w:hyperlink r:id="rId89">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90"/>
    <w:bookmarkStart w:id="92" w:name="ref-koehler2009"/>
    <w:p>
      <w:pPr>
        <w:pStyle w:val="Bibliography"/>
      </w:pPr>
      <w:r>
        <w:t xml:space="preserve">Koehler, E., Brown, E. &amp; Haneuse, S.J.-P.A. (2009).</w:t>
      </w:r>
      <w:r>
        <w:t xml:space="preserve"> </w:t>
      </w:r>
      <w:hyperlink r:id="rId91">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92"/>
    <w:bookmarkStart w:id="94"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93">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94"/>
    <w:bookmarkStart w:id="96" w:name="ref-nielsen_nlmm_2004"/>
    <w:p>
      <w:pPr>
        <w:pStyle w:val="Bibliography"/>
      </w:pPr>
      <w:r>
        <w:t xml:space="preserve">Nielsen, O.K., Ritz, C. &amp; Streibig, J.C. (2004).</w:t>
      </w:r>
      <w:r>
        <w:t xml:space="preserve"> </w:t>
      </w:r>
      <w:hyperlink r:id="rId95">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96"/>
    <w:bookmarkStart w:id="9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8"/>
    <w:bookmarkStart w:id="100" w:name="ref-orsted2026"/>
    <w:p>
      <w:pPr>
        <w:pStyle w:val="Bibliography"/>
      </w:pPr>
      <w:r>
        <w:t xml:space="preserve">Ørsted, M., Jørgensen, L.B., Hůla, P. &amp; Overgaard, J. (2026).</w:t>
      </w:r>
      <w:r>
        <w:t xml:space="preserve"> </w:t>
      </w:r>
      <w:hyperlink r:id="rId99">
        <w:r>
          <w:rPr>
            <w:rStyle w:val="Hyperlink"/>
          </w:rPr>
          <w:t xml:space="preserve">Integrating</w:t>
        </w:r>
        <w:r>
          <w:rPr>
            <w:rStyle w:val="Hyperlink"/>
          </w:rPr>
          <w:t xml:space="preserve"> </w:t>
        </w:r>
        <w:r>
          <w:rPr>
            <w:rStyle w:val="Hyperlink"/>
          </w:rPr>
          <w:t xml:space="preserve">Physiological Rates</w:t>
        </w:r>
        <w:r>
          <w:rPr>
            <w:rStyle w:val="Hyperlink"/>
          </w:rPr>
          <w:t xml:space="preserve"> </w:t>
        </w:r>
        <w:r>
          <w:rPr>
            <w:rStyle w:val="Hyperlink"/>
          </w:rPr>
          <w:t xml:space="preserve">of</w:t>
        </w:r>
        <w:r>
          <w:rPr>
            <w:rStyle w:val="Hyperlink"/>
          </w:rPr>
          <w:t xml:space="preserve"> </w:t>
        </w:r>
        <w:r>
          <w:rPr>
            <w:rStyle w:val="Hyperlink"/>
          </w:rPr>
          <w:t xml:space="preserve">Thermal Stress</w:t>
        </w:r>
        <w:r>
          <w:rPr>
            <w:rStyle w:val="Hyperlink"/>
          </w:rPr>
          <w:t xml:space="preserve"> </w:t>
        </w:r>
        <w:r>
          <w:rPr>
            <w:rStyle w:val="Hyperlink"/>
          </w:rPr>
          <w:t xml:space="preserve">and</w:t>
        </w:r>
        <w:r>
          <w:rPr>
            <w:rStyle w:val="Hyperlink"/>
          </w:rPr>
          <w:t xml:space="preserve"> </w:t>
        </w:r>
        <w:r>
          <w:rPr>
            <w:rStyle w:val="Hyperlink"/>
          </w:rPr>
          <w:t xml:space="preserve">Repair Predicts Heat Failure During Temperature Fluctuations</w:t>
        </w:r>
      </w:hyperlink>
      <w:r>
        <w:t xml:space="preserve">.</w:t>
      </w:r>
      <w:r>
        <w:t xml:space="preserve"> </w:t>
      </w:r>
      <w:r>
        <w:rPr>
          <w:i/>
          <w:iCs/>
        </w:rPr>
        <w:t xml:space="preserve">Ecology Letters</w:t>
      </w:r>
      <w:r>
        <w:t xml:space="preserve">, 29, e70398.</w:t>
      </w:r>
    </w:p>
    <w:bookmarkEnd w:id="100"/>
    <w:bookmarkStart w:id="102" w:name="ref-orsted_finding_2022"/>
    <w:p>
      <w:pPr>
        <w:pStyle w:val="Bibliography"/>
      </w:pPr>
      <w:r>
        <w:t xml:space="preserve">Ørsted, M., Jørgensen, L.B. &amp; Overgaard, J. (2022).</w:t>
      </w:r>
      <w:r>
        <w:t xml:space="preserve"> </w:t>
      </w:r>
      <w:hyperlink r:id="rId101">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2"/>
    <w:bookmarkStart w:id="104" w:name="ref-orsted_suzukii_2024"/>
    <w:p>
      <w:pPr>
        <w:pStyle w:val="Bibliography"/>
      </w:pPr>
      <w:r>
        <w:t xml:space="preserve">Ørsted, M., Willot, Q., Olsen, A.K., Kongsgaard, V. &amp; Overgaard, J. (2024).</w:t>
      </w:r>
      <w:r>
        <w:t xml:space="preserve"> </w:t>
      </w:r>
      <w:hyperlink r:id="rId103">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04"/>
    <w:bookmarkStart w:id="106" w:name="ref-pinsky_marine_2019"/>
    <w:p>
      <w:pPr>
        <w:pStyle w:val="Bibliography"/>
      </w:pPr>
      <w:r>
        <w:t xml:space="preserve">Pinsky, M.L., Eikeset, A.M., McCauley, D.J., Payne, J.L. &amp; Sunday, J.M. (2019).</w:t>
      </w:r>
      <w:r>
        <w:t xml:space="preserve"> </w:t>
      </w:r>
      <w:hyperlink r:id="rId105">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06"/>
    <w:bookmarkStart w:id="108"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7">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08"/>
    <w:bookmarkStart w:id="110" w:name="ref-rezende_drosophila_mortality_2020"/>
    <w:p>
      <w:pPr>
        <w:pStyle w:val="Bibliography"/>
      </w:pPr>
      <w:r>
        <w:t xml:space="preserve">Rezende, E.L., Bozinovic, F., Szilágyi, A. &amp; Santos, M. (2020).</w:t>
      </w:r>
      <w:r>
        <w:t xml:space="preserve"> </w:t>
      </w:r>
      <w:hyperlink r:id="rId109">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10"/>
    <w:bookmarkStart w:id="112" w:name="ref-rezende_landscapes_2014"/>
    <w:p>
      <w:pPr>
        <w:pStyle w:val="Bibliography"/>
      </w:pPr>
      <w:r>
        <w:t xml:space="preserve">Rezende, E.L., Castañeda, L.E. &amp; Santos, M. (2014).</w:t>
      </w:r>
      <w:r>
        <w:t xml:space="preserve"> </w:t>
      </w:r>
      <w:hyperlink r:id="rId111">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12"/>
    <w:bookmarkStart w:id="114" w:name="ref-ritz_ecotox_2010"/>
    <w:p>
      <w:pPr>
        <w:pStyle w:val="Bibliography"/>
      </w:pPr>
      <w:r>
        <w:t xml:space="preserve">Ritz, C. (2010).</w:t>
      </w:r>
      <w:r>
        <w:t xml:space="preserve"> </w:t>
      </w:r>
      <w:hyperlink r:id="rId113">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14"/>
    <w:bookmarkStart w:id="116" w:name="ref-ritz_drc_2015"/>
    <w:p>
      <w:pPr>
        <w:pStyle w:val="Bibliography"/>
      </w:pPr>
      <w:r>
        <w:t xml:space="preserve">Ritz, C., Baty, F., Streibig, J.C. &amp; Gerhard, D. (2015).</w:t>
      </w:r>
      <w:r>
        <w:t xml:space="preserve"> </w:t>
      </w:r>
      <w:hyperlink r:id="rId115">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16"/>
    <w:bookmarkStart w:id="118" w:name="ref-ritz_streibig_2008"/>
    <w:p>
      <w:pPr>
        <w:pStyle w:val="Bibliography"/>
      </w:pPr>
      <w:r>
        <w:t xml:space="preserve">Ritz, C. &amp; Streibig, J.C. (2008).</w:t>
      </w:r>
      <w:r>
        <w:t xml:space="preserve"> </w:t>
      </w:r>
      <w:hyperlink r:id="rId117">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18"/>
    <w:bookmarkStart w:id="120" w:name="ref-rudemo_random_1989"/>
    <w:p>
      <w:pPr>
        <w:pStyle w:val="Bibliography"/>
      </w:pPr>
      <w:r>
        <w:t xml:space="preserve">Rudemo, M., Ruppert, D. &amp; Streibig, J.C. (1989).</w:t>
      </w:r>
      <w:r>
        <w:t xml:space="preserve"> </w:t>
      </w:r>
      <w:hyperlink r:id="rId119">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20"/>
    <w:bookmarkStart w:id="122" w:name="ref-schielzeth_centering_2010"/>
    <w:p>
      <w:pPr>
        <w:pStyle w:val="Bibliography"/>
      </w:pPr>
      <w:r>
        <w:t xml:space="preserve">Schielzeth, H. (2010).</w:t>
      </w:r>
      <w:r>
        <w:t xml:space="preserve"> </w:t>
      </w:r>
      <w:hyperlink r:id="rId121">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22"/>
    <w:bookmarkStart w:id="124"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23">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24"/>
    <w:bookmarkStart w:id="126" w:name="ref-snook_fertility_2026"/>
    <w:p>
      <w:pPr>
        <w:pStyle w:val="Bibliography"/>
      </w:pPr>
      <w:r>
        <w:t xml:space="preserve">Snook, R.R., Bretman, A., Dougherty, L.R. &amp; Fricke, C. (2026).</w:t>
      </w:r>
      <w:r>
        <w:t xml:space="preserve"> </w:t>
      </w:r>
      <w:hyperlink r:id="rId125">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26"/>
    <w:bookmarkStart w:id="128" w:name="ref-sunday_global_2011"/>
    <w:p>
      <w:pPr>
        <w:pStyle w:val="Bibliography"/>
      </w:pPr>
      <w:r>
        <w:t xml:space="preserve">Sunday, J.M., Bates, A.E. &amp; Dulvy, N.K. (2011).</w:t>
      </w:r>
      <w:r>
        <w:t xml:space="preserve"> </w:t>
      </w:r>
      <w:hyperlink r:id="rId127">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28"/>
    <w:bookmarkStart w:id="130" w:name="ref-sunday_redistribution_2012"/>
    <w:p>
      <w:pPr>
        <w:pStyle w:val="Bibliography"/>
      </w:pPr>
      <w:r>
        <w:t xml:space="preserve">Sunday, J.M., Bates, A.E. &amp; Dulvy, N.K. (2012).</w:t>
      </w:r>
      <w:r>
        <w:t xml:space="preserve"> </w:t>
      </w:r>
      <w:hyperlink r:id="rId129">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30"/>
    <w:bookmarkStart w:id="132" w:name="ref-truebano2018"/>
    <w:p>
      <w:pPr>
        <w:pStyle w:val="Bibliography"/>
      </w:pPr>
      <w:r>
        <w:t xml:space="preserve">Truebano, M., Fenner, P., Tills, O., Rundle, S. &amp; Rezende, E. (2018).</w:t>
      </w:r>
      <w:r>
        <w:t xml:space="preserve"> </w:t>
      </w:r>
      <w:hyperlink r:id="rId131">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32"/>
    <w:bookmarkStart w:id="134" w:name="ref-villeneuve_dynamic_2024"/>
    <w:p>
      <w:pPr>
        <w:pStyle w:val="Bibliography"/>
      </w:pPr>
      <w:r>
        <w:t xml:space="preserve">Villeneuve, A.R. &amp; White, E.R. (2024).</w:t>
      </w:r>
      <w:r>
        <w:t xml:space="preserve"> </w:t>
      </w:r>
      <w:hyperlink r:id="rId133">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34"/>
    <w:bookmarkStart w:id="136" w:name="ref-wiens_localextinctions_2016"/>
    <w:p>
      <w:pPr>
        <w:pStyle w:val="Bibliography"/>
      </w:pPr>
      <w:r>
        <w:t xml:space="preserve">Wiens, J.J. (2016).</w:t>
      </w:r>
      <w:r>
        <w:t xml:space="preserve"> </w:t>
      </w:r>
      <w:hyperlink r:id="rId135">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36"/>
    <w:bookmarkStart w:id="138"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37">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38"/>
    <w:bookmarkStart w:id="140" w:name="ref-zamora2026"/>
    <w:p>
      <w:pPr>
        <w:pStyle w:val="Bibliography"/>
      </w:pPr>
      <w:r>
        <w:t xml:space="preserve">Zamora, C.A., Avilés-Hernández, D., Molina, A.N., Carter, M.J. &amp; Rezende, E.L. (2026).</w:t>
      </w:r>
      <w:r>
        <w:t xml:space="preserve"> </w:t>
      </w:r>
      <w:hyperlink r:id="rId139">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40"/>
    <w:bookmarkEnd w:id="141"/>
    <w:bookmarkEnd w:id="14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139" Target="https://doi.org/10.1002/ecog.08277" TargetMode="External" /><Relationship Type="http://schemas.openxmlformats.org/officeDocument/2006/relationships/hyperlink" Id="rId113" Target="https://doi.org/10.1002/etc.7" TargetMode="External" /><Relationship Type="http://schemas.openxmlformats.org/officeDocument/2006/relationships/hyperlink" Id="rId117" Target="https://doi.org/10.1007/978-0-387-09616-2" TargetMode="External" /><Relationship Type="http://schemas.openxmlformats.org/officeDocument/2006/relationships/hyperlink" Id="rId93" Target="https://doi.org/10.1016/j.jtherbio.2023.103583" TargetMode="External" /><Relationship Type="http://schemas.openxmlformats.org/officeDocument/2006/relationships/hyperlink" Id="rId97" Target="https://doi.org/10.1016/j.tree.2026.01.009" TargetMode="External" /><Relationship Type="http://schemas.openxmlformats.org/officeDocument/2006/relationships/hyperlink" Id="rId129" Target="https://doi.org/10.1038/nclimate1539" TargetMode="External" /><Relationship Type="http://schemas.openxmlformats.org/officeDocument/2006/relationships/hyperlink" Id="rId123" Target="https://doi.org/10.1038/s41558-019-0412-1" TargetMode="External" /><Relationship Type="http://schemas.openxmlformats.org/officeDocument/2006/relationships/hyperlink" Id="rId105" Target="https://doi.org/10.1038/s41586-019-1132-4" TargetMode="External" /><Relationship Type="http://schemas.openxmlformats.org/officeDocument/2006/relationships/hyperlink" Id="rId89" Target="https://doi.org/10.1038/s41586-022-05334-4" TargetMode="External" /><Relationship Type="http://schemas.openxmlformats.org/officeDocument/2006/relationships/hyperlink" Id="rId107" Target="https://doi.org/10.1038/s41586-025-08665-0" TargetMode="External" /><Relationship Type="http://schemas.openxmlformats.org/officeDocument/2006/relationships/hyperlink" Id="rId87" Target="https://doi.org/10.1038/s41598-021-92004-6" TargetMode="External" /><Relationship Type="http://schemas.openxmlformats.org/officeDocument/2006/relationships/hyperlink" Id="rId125" Target="https://doi.org/10.1038/s44358-026-00142-4" TargetMode="External" /><Relationship Type="http://schemas.openxmlformats.org/officeDocument/2006/relationships/hyperlink" Id="rId75"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79" Target="https://doi.org/10.1093/jxb/erae096" TargetMode="External" /><Relationship Type="http://schemas.openxmlformats.org/officeDocument/2006/relationships/hyperlink" Id="rId127" Target="https://doi.org/10.1098/rspb.2010.1295" TargetMode="External" /><Relationship Type="http://schemas.openxmlformats.org/officeDocument/2006/relationships/hyperlink" Id="rId111" Target="https://doi.org/10.1111/1365-2435.12268" TargetMode="External" /><Relationship Type="http://schemas.openxmlformats.org/officeDocument/2006/relationships/hyperlink" Id="rId85" Target="https://doi.org/10.1111/1365-2435.13279" TargetMode="External" /><Relationship Type="http://schemas.openxmlformats.org/officeDocument/2006/relationships/hyperlink" Id="rId133" Target="https://doi.org/10.1111/1365-2656.14120" TargetMode="External" /><Relationship Type="http://schemas.openxmlformats.org/officeDocument/2006/relationships/hyperlink" Id="rId77" Target="https://doi.org/10.1111/2041-210X.14030" TargetMode="External" /><Relationship Type="http://schemas.openxmlformats.org/officeDocument/2006/relationships/hyperlink" Id="rId137" Target="https://doi.org/10.1111/2041-210x.14415" TargetMode="External" /><Relationship Type="http://schemas.openxmlformats.org/officeDocument/2006/relationships/hyperlink" Id="rId103" Target="https://doi.org/10.1111/ele.14421" TargetMode="External" /><Relationship Type="http://schemas.openxmlformats.org/officeDocument/2006/relationships/hyperlink" Id="rId99" Target="https://doi.org/10.1111/ele.70398" TargetMode="External" /><Relationship Type="http://schemas.openxmlformats.org/officeDocument/2006/relationships/hyperlink" Id="rId68" Target="https://doi.org/10.1111/gcb.70315" TargetMode="External" /><Relationship Type="http://schemas.openxmlformats.org/officeDocument/2006/relationships/hyperlink" Id="rId121" Target="https://doi.org/10.1111/j.2041-210X.2010.00012.x" TargetMode="External" /><Relationship Type="http://schemas.openxmlformats.org/officeDocument/2006/relationships/hyperlink" Id="rId109" Target="https://doi.org/10.1126/science.aba9287" TargetMode="External" /><Relationship Type="http://schemas.openxmlformats.org/officeDocument/2006/relationships/hyperlink" Id="rId91" Target="https://doi.org/10.1198/tast.2009.0030" TargetMode="External" /><Relationship Type="http://schemas.openxmlformats.org/officeDocument/2006/relationships/hyperlink" Id="rId81" Target="https://doi.org/10.1214/06-BA117A" TargetMode="External" /><Relationship Type="http://schemas.openxmlformats.org/officeDocument/2006/relationships/hyperlink" Id="rId131" Target="https://doi.org/10.1242/jeb.171629" TargetMode="External" /><Relationship Type="http://schemas.openxmlformats.org/officeDocument/2006/relationships/hyperlink" Id="rId101" Target="https://doi.org/10.1242/jeb.244514" TargetMode="External" /><Relationship Type="http://schemas.openxmlformats.org/officeDocument/2006/relationships/hyperlink" Id="rId135" Target="https://doi.org/10.1371/journal.pbio.2001104" TargetMode="External" /><Relationship Type="http://schemas.openxmlformats.org/officeDocument/2006/relationships/hyperlink" Id="rId73" Target="https://doi.org/10.1371/journal.pbio.3003623" TargetMode="External" /><Relationship Type="http://schemas.openxmlformats.org/officeDocument/2006/relationships/hyperlink" Id="rId115" Target="https://doi.org/10.1371/journal.pone.0146021" TargetMode="External" /><Relationship Type="http://schemas.openxmlformats.org/officeDocument/2006/relationships/hyperlink" Id="rId95" Target="https://doi.org/10.1614/WT-03-070R1" TargetMode="External" /><Relationship Type="http://schemas.openxmlformats.org/officeDocument/2006/relationships/hyperlink" Id="rId119" Target="https://doi.org/10.2307/2531483" TargetMode="External" /><Relationship Type="http://schemas.openxmlformats.org/officeDocument/2006/relationships/hyperlink" Id="rId83" Target="https://doi.org/10.7717/peerj.616"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2/ecog.08277" TargetMode="External" /><Relationship Type="http://schemas.openxmlformats.org/officeDocument/2006/relationships/hyperlink" Id="rId113" Target="https://doi.org/10.1002/etc.7" TargetMode="External" /><Relationship Type="http://schemas.openxmlformats.org/officeDocument/2006/relationships/hyperlink" Id="rId117" Target="https://doi.org/10.1007/978-0-387-09616-2" TargetMode="External" /><Relationship Type="http://schemas.openxmlformats.org/officeDocument/2006/relationships/hyperlink" Id="rId93" Target="https://doi.org/10.1016/j.jtherbio.2023.103583" TargetMode="External" /><Relationship Type="http://schemas.openxmlformats.org/officeDocument/2006/relationships/hyperlink" Id="rId97" Target="https://doi.org/10.1016/j.tree.2026.01.009" TargetMode="External" /><Relationship Type="http://schemas.openxmlformats.org/officeDocument/2006/relationships/hyperlink" Id="rId129" Target="https://doi.org/10.1038/nclimate1539" TargetMode="External" /><Relationship Type="http://schemas.openxmlformats.org/officeDocument/2006/relationships/hyperlink" Id="rId123" Target="https://doi.org/10.1038/s41558-019-0412-1" TargetMode="External" /><Relationship Type="http://schemas.openxmlformats.org/officeDocument/2006/relationships/hyperlink" Id="rId105" Target="https://doi.org/10.1038/s41586-019-1132-4" TargetMode="External" /><Relationship Type="http://schemas.openxmlformats.org/officeDocument/2006/relationships/hyperlink" Id="rId89" Target="https://doi.org/10.1038/s41586-022-05334-4" TargetMode="External" /><Relationship Type="http://schemas.openxmlformats.org/officeDocument/2006/relationships/hyperlink" Id="rId107" Target="https://doi.org/10.1038/s41586-025-08665-0" TargetMode="External" /><Relationship Type="http://schemas.openxmlformats.org/officeDocument/2006/relationships/hyperlink" Id="rId87" Target="https://doi.org/10.1038/s41598-021-92004-6" TargetMode="External" /><Relationship Type="http://schemas.openxmlformats.org/officeDocument/2006/relationships/hyperlink" Id="rId125" Target="https://doi.org/10.1038/s44358-026-00142-4" TargetMode="External" /><Relationship Type="http://schemas.openxmlformats.org/officeDocument/2006/relationships/hyperlink" Id="rId75"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79" Target="https://doi.org/10.1093/jxb/erae096" TargetMode="External" /><Relationship Type="http://schemas.openxmlformats.org/officeDocument/2006/relationships/hyperlink" Id="rId127" Target="https://doi.org/10.1098/rspb.2010.1295" TargetMode="External" /><Relationship Type="http://schemas.openxmlformats.org/officeDocument/2006/relationships/hyperlink" Id="rId111" Target="https://doi.org/10.1111/1365-2435.12268" TargetMode="External" /><Relationship Type="http://schemas.openxmlformats.org/officeDocument/2006/relationships/hyperlink" Id="rId85" Target="https://doi.org/10.1111/1365-2435.13279" TargetMode="External" /><Relationship Type="http://schemas.openxmlformats.org/officeDocument/2006/relationships/hyperlink" Id="rId133" Target="https://doi.org/10.1111/1365-2656.14120" TargetMode="External" /><Relationship Type="http://schemas.openxmlformats.org/officeDocument/2006/relationships/hyperlink" Id="rId77" Target="https://doi.org/10.1111/2041-210X.14030" TargetMode="External" /><Relationship Type="http://schemas.openxmlformats.org/officeDocument/2006/relationships/hyperlink" Id="rId137" Target="https://doi.org/10.1111/2041-210x.14415" TargetMode="External" /><Relationship Type="http://schemas.openxmlformats.org/officeDocument/2006/relationships/hyperlink" Id="rId103" Target="https://doi.org/10.1111/ele.14421" TargetMode="External" /><Relationship Type="http://schemas.openxmlformats.org/officeDocument/2006/relationships/hyperlink" Id="rId99" Target="https://doi.org/10.1111/ele.70398" TargetMode="External" /><Relationship Type="http://schemas.openxmlformats.org/officeDocument/2006/relationships/hyperlink" Id="rId68" Target="https://doi.org/10.1111/gcb.70315" TargetMode="External" /><Relationship Type="http://schemas.openxmlformats.org/officeDocument/2006/relationships/hyperlink" Id="rId121" Target="https://doi.org/10.1111/j.2041-210X.2010.00012.x" TargetMode="External" /><Relationship Type="http://schemas.openxmlformats.org/officeDocument/2006/relationships/hyperlink" Id="rId109" Target="https://doi.org/10.1126/science.aba9287" TargetMode="External" /><Relationship Type="http://schemas.openxmlformats.org/officeDocument/2006/relationships/hyperlink" Id="rId91" Target="https://doi.org/10.1198/tast.2009.0030" TargetMode="External" /><Relationship Type="http://schemas.openxmlformats.org/officeDocument/2006/relationships/hyperlink" Id="rId81" Target="https://doi.org/10.1214/06-BA117A" TargetMode="External" /><Relationship Type="http://schemas.openxmlformats.org/officeDocument/2006/relationships/hyperlink" Id="rId131" Target="https://doi.org/10.1242/jeb.171629" TargetMode="External" /><Relationship Type="http://schemas.openxmlformats.org/officeDocument/2006/relationships/hyperlink" Id="rId101" Target="https://doi.org/10.1242/jeb.244514" TargetMode="External" /><Relationship Type="http://schemas.openxmlformats.org/officeDocument/2006/relationships/hyperlink" Id="rId135" Target="https://doi.org/10.1371/journal.pbio.2001104" TargetMode="External" /><Relationship Type="http://schemas.openxmlformats.org/officeDocument/2006/relationships/hyperlink" Id="rId73" Target="https://doi.org/10.1371/journal.pbio.3003623" TargetMode="External" /><Relationship Type="http://schemas.openxmlformats.org/officeDocument/2006/relationships/hyperlink" Id="rId115" Target="https://doi.org/10.1371/journal.pone.0146021" TargetMode="External" /><Relationship Type="http://schemas.openxmlformats.org/officeDocument/2006/relationships/hyperlink" Id="rId95" Target="https://doi.org/10.1614/WT-03-070R1" TargetMode="External" /><Relationship Type="http://schemas.openxmlformats.org/officeDocument/2006/relationships/hyperlink" Id="rId119" Target="https://doi.org/10.2307/2531483" TargetMode="External" /><Relationship Type="http://schemas.openxmlformats.org/officeDocument/2006/relationships/hyperlink" Id="rId83" Target="https://doi.org/10.7717/peerj.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death time, thermal tolerance landscape, hierarchical Bayesian model, 4-parameter logistic, heat injury, critical thermal maximum, ectotherm</cp:keywords>
  <dcterms:created xsi:type="dcterms:W3CDTF">2026-05-26T09:23:37Z</dcterms:created>
  <dcterms:modified xsi:type="dcterms:W3CDTF">2026-05-26T09:23:37Z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