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sensitivity across life</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BodyText"/>
      </w:pPr>
      <w:r>
        <w:rPr>
          <w:b/>
          <w:bCs/>
        </w:rPr>
        <w:t xml:space="preserve">Abstract</w:t>
      </w:r>
    </w:p>
    <w:p>
      <w:pPr>
        <w:numPr>
          <w:ilvl w:val="0"/>
          <w:numId w:val="1001"/>
        </w:numPr>
      </w:pPr>
      <w:r>
        <w:t xml:space="preserve">The thermal load sensitivity (TLS) framework is the gold standard for estimating and predicting thermal tolerance in nature, but its standard two-step pipeline — point-estimate LT50 extraction at each 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 assumptions that are routinely violated and that bias every downstream quantity (z, CTmax, heat-injury predictions).</w:t>
      </w:r>
    </w:p>
    <w:p>
      <w:pPr>
        <w:numPr>
          <w:ilvl w:val="0"/>
          <w:numId w:val="1001"/>
        </w:numPr>
      </w:pPr>
      <w:r>
        <w:t xml:space="preserve">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w:t>
      </w:r>
      <m:oMath>
        <m:r>
          <m:t>z</m:t>
        </m:r>
      </m:oMath>
      <w:r>
        <w:t xml:space="preserve">, slopes), critical thermal limit (</w:t>
      </w:r>
      <m:oMath>
        <m:r>
          <m:t>C</m:t>
        </m:r>
        <m:sSub>
          <m:e>
            <m:r>
              <m:t>T</m:t>
            </m:r>
          </m:e>
          <m:sub>
            <m:r>
              <m:t>m</m:t>
            </m:r>
            <m:r>
              <m:t>a</m:t>
            </m:r>
            <m:sSub>
              <m:e>
                <m:r>
                  <m:t>x</m:t>
                </m:r>
              </m:e>
              <m:sub>
                <m:r>
                  <m:t>1</m:t>
                </m:r>
                <m:r>
                  <m:t>h</m:t>
                </m:r>
                <m:r>
                  <m:t>r</m:t>
                </m:r>
              </m:sub>
            </m:sSub>
          </m:sub>
        </m:sSub>
      </m:oMath>
      <w:r>
        <w:t xml:space="preserve">)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t>
      </w:r>
    </w:p>
    <w:p>
      <w:pPr>
        <w:numPr>
          <w:ilvl w:val="0"/>
          <w:numId w:val="1001"/>
        </w:numPr>
      </w:pPr>
      <w:r>
        <w:t xml:space="preserve">We applied our new modelling framework to data from brown shrimp (</w:t>
      </w:r>
      <w:r>
        <w:rPr>
          <w:i/>
          <w:iCs/>
        </w:rPr>
        <w:t xml:space="preserve">Crangon crangon</w:t>
      </w:r>
      <w:r>
        <w:t xml:space="preserve">) and XX to demonstrate the equivalencies and benefits of such an approach.</w:t>
      </w:r>
    </w:p>
    <w:p>
      <w:pPr>
        <w:numPr>
          <w:ilvl w:val="0"/>
          <w:numId w:val="1001"/>
        </w:numPr>
      </w:pPr>
      <w:r>
        <w:t xml:space="preserve">We show that the classical and Bayesian frameworks are equivalent, but that the hierarchical 4PL delivers properly propagated uncertainty, can account for complex hierarchical data (i.e., random effects), can accommodate censoring and overdispersion, and unlocks outputs the two-step pipeline cannot provide (full survival surface, arbitrary mortality percentiles, decomposable between-group contrasts, dynamic-regime predictions). We provide reusable R helpers and recommend the hierarchical 4PL as the default analysis for new TDT data.</w:t>
      </w:r>
    </w:p>
    <w:p>
      <w:pPr>
        <w:pStyle w:val="FirstParagraph"/>
      </w:pPr>
      <w:r>
        <w:rPr>
          <w:b/>
          <w:bCs/>
        </w:rPr>
        <w:t xml:space="preserve">Keywords:</w:t>
      </w:r>
      <w:r>
        <w:t xml:space="preserve"> </w:t>
      </w:r>
      <w:r>
        <w:t xml:space="preserve">thermal death time; tolerance landscape; hierarchical Bayesian model; 4-parameter logistic; heat injury; CTmax; ectotherm</w:t>
      </w:r>
    </w:p>
    <w:bookmarkStart w:id="20" w:name="introduction"/>
    <w:p>
      <w:pPr>
        <w:pStyle w:val="Heading1"/>
      </w:pPr>
      <w:r>
        <w:t xml:space="preserve">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Additionally, while we use the four-parameter log-logistic form throughout for its flexibility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single model, while also easily allowing for predictions of heat injury accumulation and survival. We develop these models within a Bayesian framework which allows for better uncertainty calibration and error propagation with complex hierarchical data structures.</w:t>
      </w:r>
    </w:p>
    <w:bookmarkEnd w:id="20"/>
    <w:bookmarkStart w:id="24" w:name="X4ae69e6473582f743e31b9e3b0100c4bac3c9f9"/>
    <w:p>
      <w:pPr>
        <w:pStyle w:val="Heading1"/>
      </w:pPr>
      <w:r>
        <w:t xml:space="preserve">A non-linear Bayesian hierarchical model for characterizing thermal load sensitivity</w:t>
      </w:r>
    </w:p>
    <w:bookmarkStart w:id="23"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29" w:name="X46eb6268dcffa0b752ad63ad3dfd63180af2bd8"/>
    <w:p>
      <w:pPr>
        <w:pStyle w:val="Heading1"/>
      </w:pPr>
      <w:r>
        <w:t xml:space="preserve">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5"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6"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6"/>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 this subtraction, the intercept estimates</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without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27"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27"/>
    </w:p>
    <w:p>
      <w:pPr>
        <w:pStyle w:val="FirstParagraph"/>
      </w:pPr>
      <w:bookmarkStart w:id="28"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28"/>
    </w:p>
    <w:p>
      <w:pPr>
        <w:pStyle w:val="FirstParagraph"/>
      </w:pPr>
      <w:r>
        <w:t xml:space="preserve">In practice, however, these corrections may not be needed so long as the experimental design includes treatments that span the full mortality range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bookmarkEnd w:id="29"/>
    <w:bookmarkStart w:id="34" w:name="X748caa9d6c5389c1517c1b3b0c0fd7ca3896022"/>
    <w:p>
      <w:pPr>
        <w:pStyle w:val="Heading1"/>
      </w:pPr>
      <w:r>
        <w:t xml:space="preserve">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0"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0"/>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1"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2"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2"/>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p>
      <w:pPr>
        <w:pStyle w:val="BodyText"/>
      </w:pPr>
      <w:r>
        <w:t xml:space="preserve">If calculating</w:t>
      </w:r>
      <w:r>
        <w:t xml:space="preserve"> </w:t>
      </w:r>
      <m:oMath>
        <m:r>
          <m:t>H</m:t>
        </m:r>
        <m:r>
          <m:t>I</m:t>
        </m:r>
      </m:oMath>
      <w:r>
        <w:t xml:space="preserve">, it is important to realise that the Bayesian dose-response model can also be used directly to calculate</w:t>
      </w:r>
      <w:r>
        <w:t xml:space="preserve"> </w:t>
      </w:r>
      <m:oMath>
        <m:r>
          <m:t>H</m:t>
        </m:r>
        <m:r>
          <m:t>I</m:t>
        </m:r>
      </m:oMath>
      <w:r>
        <w:t xml:space="preserve"> </w:t>
      </w:r>
      <w:r>
        <w:t xml:space="preserve">at any survival threshold that is of interest</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For example, the same posterior samples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give access to any percentile</w:t>
      </w:r>
      <w:r>
        <w:t xml:space="preserve"> </w:t>
      </w:r>
      <m:oMath>
        <m:r>
          <m:t>L</m:t>
        </m:r>
        <m:sSub>
          <m:e>
            <m:r>
              <m:t>T</m:t>
            </m:r>
          </m:e>
          <m:sub>
            <m:r>
              <m:t>x</m:t>
            </m:r>
          </m:sub>
        </m:sSub>
      </m:oMath>
      <w:r>
        <w:t xml:space="preserve"> </w:t>
      </w:r>
      <w:r>
        <w:t xml:space="preserve">(the time at which</w:t>
      </w:r>
      <w:r>
        <w:t xml:space="preserve"> </w:t>
      </w:r>
      <m:oMath>
        <m:r>
          <m:t>x</m:t>
        </m:r>
        <m:r>
          <m:rPr>
            <m:sty m:val="p"/>
          </m:rPr>
          <m:t>%</m:t>
        </m:r>
      </m:oMath>
      <w:r>
        <w:t xml:space="preserve"> </w:t>
      </w:r>
      <w:r>
        <w:t xml:space="preserve">of the population reaches the assayed endpoint) as follows:</w:t>
      </w:r>
    </w:p>
    <w:p>
      <w:pPr>
        <w:pStyle w:val="BodyText"/>
      </w:pPr>
      <w:bookmarkStart w:id="33"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10</m:t>
              </m:r>
            </m:e>
          </m:d>
        </m:oMath>
      </m:oMathPara>
      <w:bookmarkEnd w:id="33"/>
    </w:p>
    <w:p>
      <w:pPr>
        <w:pStyle w:val="FirstParagraph"/>
      </w:pPr>
      <w:r>
        <w:t xml:space="preserve">Substituting</w:t>
      </w:r>
      <w:r>
        <w:t xml:space="preserve"> </w:t>
      </w:r>
      <m:oMath>
        <m:r>
          <m:t>L</m:t>
        </m:r>
        <m:sSub>
          <m:e>
            <m:r>
              <m:t>T</m:t>
            </m:r>
          </m:e>
          <m:sub>
            <m:r>
              <m:t>x</m:t>
            </m:r>
          </m:sub>
        </m:sSub>
        <m:d>
          <m:dPr>
            <m:begChr m:val="("/>
            <m:sepChr m:val=""/>
            <m:endChr m:val=")"/>
            <m:grow/>
          </m:dPr>
          <m:e>
            <m:r>
              <m:t>T</m:t>
            </m:r>
          </m:e>
        </m:d>
      </m:oMath>
      <w:r>
        <w:t xml:space="preserve"> </w:t>
      </w:r>
      <w:r>
        <w:t xml:space="preserve">for</w:t>
      </w:r>
      <w:r>
        <w:t xml:space="preserve"> </w:t>
      </w:r>
      <m:oMath>
        <m:r>
          <m:t>L</m:t>
        </m:r>
        <m:sSub>
          <m:e>
            <m:r>
              <m:t>T</m:t>
            </m:r>
          </m:e>
          <m:sub>
            <m:r>
              <m:t>50</m:t>
            </m:r>
          </m:sub>
        </m:sSub>
        <m:d>
          <m:dPr>
            <m:begChr m:val="("/>
            <m:sepChr m:val=""/>
            <m:endChr m:val=")"/>
            <m:grow/>
          </m:dPr>
          <m:e>
            <m:r>
              <m:t>T</m:t>
            </m:r>
          </m:e>
        </m:d>
      </m:oMath>
      <w:r>
        <w:t xml:space="preserve"> </w:t>
      </w:r>
      <w:r>
        <w:t xml:space="preserve">in the HI equation returns</w:t>
      </w:r>
      <w:r>
        <w:t xml:space="preserve"> </w:t>
      </w:r>
      <m:oMath>
        <m:r>
          <m:t>H</m:t>
        </m:r>
        <m:sSub>
          <m:e>
            <m:r>
              <m:t>I</m:t>
            </m:r>
          </m:e>
          <m:sub>
            <m:r>
              <m:t>x</m:t>
            </m:r>
          </m:sub>
        </m:sSub>
      </m:oMath>
      <w:r>
        <w:t xml:space="preserve"> </w:t>
      </w:r>
      <w:r>
        <w:t xml:space="preserve">for any survival threshold of interest. For example, relaxing x with 0.10 (i.e.,</w:t>
      </w:r>
      <w:r>
        <w:t xml:space="preserve"> </w:t>
      </w:r>
      <m:oMath>
        <m:r>
          <m:t>L</m:t>
        </m:r>
        <m:sSub>
          <m:e>
            <m:r>
              <m:t>T</m:t>
            </m:r>
          </m:e>
          <m:sub>
            <m:r>
              <m:t>10</m:t>
            </m:r>
          </m:sub>
        </m:sSub>
      </m:oMath>
      <w:r>
        <w:t xml:space="preserve">) can be used to calculate the onset of early levels of mortality which maybe good for risk management or</w:t>
      </w:r>
      <w:r>
        <w:t xml:space="preserve"> </w:t>
      </w:r>
      <m:oMath>
        <m:r>
          <m:t>L</m:t>
        </m:r>
        <m:sSub>
          <m:e>
            <m:r>
              <m:t>T</m:t>
            </m:r>
          </m:e>
          <m:sub>
            <m:r>
              <m:t>90</m:t>
            </m:r>
          </m:sub>
        </m:sSub>
      </m:oMath>
      <w:r>
        <w:t xml:space="preserve"> </w:t>
      </w:r>
      <w:r>
        <w:t xml:space="preserve">which might be more useful for understanding population-collapse thresholds. In each case, uncertainty in any predictions can always be presented alongside population-level averages or medians.</w:t>
      </w:r>
    </w:p>
    <w:bookmarkEnd w:id="34"/>
    <w:bookmarkStart w:id="37" w:name="X874ed648d04cd4061333629ea007cfb78435af7"/>
    <w:p>
      <w:pPr>
        <w:pStyle w:val="Heading1"/>
      </w:pPr>
      <w:r>
        <w:t xml:space="preserve">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5"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5"/>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6"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6"/>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37"/>
    <w:bookmarkStart w:id="39" w:name="Xec90b6140c5c716811717eebe02c3ac6d8434ca"/>
    <w:p>
      <w:pPr>
        <w:pStyle w:val="Heading1"/>
      </w:pPr>
      <w:r>
        <w:t xml:space="preserve">Case Study 1: Thermal sensitivity estimation across life stages in shrimp</w:t>
      </w:r>
    </w:p>
    <w:bookmarkStart w:id="38" w:name="X83c280133a78de915d3b14a666f30d6a82dc387"/>
    <w:p>
      <w:pPr>
        <w:pStyle w:val="Heading2"/>
      </w:pPr>
      <w:r>
        <w:t xml:space="preserve">What the 4PL delivers that the two-step cannot</w:t>
      </w:r>
    </w:p>
    <w:bookmarkEnd w:id="38"/>
    <w:bookmarkEnd w:id="39"/>
    <w:bookmarkStart w:id="46" w:name="X2a14174f4c72db593bce4e6516c6528cdb497de"/>
    <w:p>
      <w:pPr>
        <w:pStyle w:val="Heading1"/>
      </w:pPr>
      <w:r>
        <w:t xml:space="preserve">Worked example: brown shrimp thermal tolerance</w:t>
      </w:r>
    </w:p>
    <w:bookmarkStart w:id="40" w:name="data-and-experimental-design"/>
    <w:p>
      <w:pPr>
        <w:pStyle w:val="Heading2"/>
      </w:pPr>
      <w:r>
        <w:t xml:space="preserve">Data and experimental design</w:t>
      </w:r>
    </w:p>
    <w:bookmarkEnd w:id="40"/>
    <w:bookmarkStart w:id="41" w:name="lethal-tdt-hierarchical-4pl-on-counts"/>
    <w:p>
      <w:pPr>
        <w:pStyle w:val="Heading2"/>
      </w:pPr>
      <w:r>
        <w:t xml:space="preserve">Lethal TDT — hierarchical 4PL on counts</w:t>
      </w:r>
    </w:p>
    <w:bookmarkEnd w:id="41"/>
    <w:bookmarkStart w:id="42" w:name="sublethal-time-to-death"/>
    <w:p>
      <w:pPr>
        <w:pStyle w:val="Heading2"/>
      </w:pPr>
      <w:r>
        <w:t xml:space="preserve">Sublethal time-to-death</w:t>
      </w:r>
    </w:p>
    <w:bookmarkEnd w:id="42"/>
    <w:bookmarkStart w:id="43" w:name="dynamic-ctmax-across-ramping-rates"/>
    <w:p>
      <w:pPr>
        <w:pStyle w:val="Heading2"/>
      </w:pPr>
      <w:r>
        <w:t xml:space="preserve">Dynamic CTmax across ramping rates</w:t>
      </w:r>
    </w:p>
    <w:bookmarkEnd w:id="43"/>
    <w:bookmarkStart w:id="44" w:name="Xa764bbb0ef06e1b16f1b866442815364d0000f8"/>
    <w:p>
      <w:pPr>
        <w:pStyle w:val="Heading2"/>
      </w:pPr>
      <w:r>
        <w:t xml:space="preserve">Reconciling the three endpoints via the Jørgensen ramping equation</w:t>
      </w:r>
    </w:p>
    <w:bookmarkEnd w:id="44"/>
    <w:bookmarkStart w:id="45" w:name="Xc9d8a39a8777a97080af0145482f0bf85ce7458"/>
    <w:p>
      <w:pPr>
        <w:pStyle w:val="Heading2"/>
      </w:pPr>
      <w:r>
        <w:t xml:space="preserve">Field-temperature heat-injury projections under warming scenarios</w:t>
      </w:r>
    </w:p>
    <w:bookmarkEnd w:id="45"/>
    <w:bookmarkEnd w:id="46"/>
    <w:bookmarkStart w:id="50" w:name="discussion"/>
    <w:p>
      <w:pPr>
        <w:pStyle w:val="Heading1"/>
      </w:pPr>
      <w:r>
        <w:t xml:space="preserve">Discussion</w:t>
      </w:r>
    </w:p>
    <w:bookmarkStart w:id="47" w:name="X5dac85fa1a4411486a220dbeaf8627ab0091f32"/>
    <w:p>
      <w:pPr>
        <w:pStyle w:val="Heading2"/>
      </w:pPr>
      <w:r>
        <w:t xml:space="preserve">What changes for the field if the hierarchical 4PL becomes the default</w:t>
      </w:r>
    </w:p>
    <w:bookmarkEnd w:id="47"/>
    <w:bookmarkStart w:id="48" w:name="limits-of-the-present-analysis"/>
    <w:p>
      <w:pPr>
        <w:pStyle w:val="Heading2"/>
      </w:pPr>
      <w:r>
        <w:t xml:space="preserve">Limits of the present analysis</w:t>
      </w:r>
    </w:p>
    <w:bookmarkEnd w:id="48"/>
    <w:bookmarkStart w:id="49" w:name="Xf0d52b04feeaedf0b5abcee2b4d231c85971023"/>
    <w:p>
      <w:pPr>
        <w:pStyle w:val="Heading2"/>
      </w:pPr>
      <w:r>
        <w:t xml:space="preserve">Recommendations for primary studies and meta-analyses</w:t>
      </w:r>
    </w:p>
    <w:bookmarkEnd w:id="49"/>
    <w:bookmarkEnd w:id="50"/>
    <w:bookmarkStart w:id="51" w:name="conclusions"/>
    <w:p>
      <w:pPr>
        <w:pStyle w:val="Heading1"/>
      </w:pPr>
      <w:r>
        <w:t xml:space="preserve">Conclusions</w:t>
      </w:r>
    </w:p>
    <w:bookmarkEnd w:id="51"/>
    <w:bookmarkStart w:id="52" w:name="acknowledgements"/>
    <w:p>
      <w:pPr>
        <w:pStyle w:val="Heading1"/>
      </w:pPr>
      <w:r>
        <w:t xml:space="preserve">Acknowledgements</w:t>
      </w:r>
    </w:p>
    <w:bookmarkEnd w:id="52"/>
    <w:bookmarkStart w:id="53" w:name="author-contributions"/>
    <w:p>
      <w:pPr>
        <w:pStyle w:val="Heading1"/>
      </w:pPr>
      <w:r>
        <w:t xml:space="preserve">Author contributions</w:t>
      </w:r>
    </w:p>
    <w:p>
      <w:pPr>
        <w:pStyle w:val="FirstParagraph"/>
      </w:pPr>
      <w:r>
        <w:t xml:space="preserve">DN conceived the project, performed the analyses, and wrote the manuscript.</w:t>
      </w:r>
    </w:p>
    <w:bookmarkEnd w:id="53"/>
    <w:bookmarkStart w:id="57"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4">
        <w:r>
          <w:rPr>
            <w:rStyle w:val="Hyperlink"/>
          </w:rPr>
          <w:t xml:space="preserve">https://github.com/...</w:t>
        </w:r>
      </w:hyperlink>
      <w:r>
        <w:t xml:space="preserve">. The hierarchical 4PL is implemented in</w:t>
      </w:r>
      <w:r>
        <w:t xml:space="preserve"> </w:t>
      </w:r>
      <w:hyperlink r:id="rId55">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56">
        <w:r>
          <w:rPr>
            <w:rStyle w:val="VerbatimChar"/>
          </w:rPr>
          <w:t xml:space="preserve">cmdstanr</w:t>
        </w:r>
      </w:hyperlink>
      <w:r>
        <w:t xml:space="preserve"> </w:t>
      </w:r>
      <w:r>
        <w:t xml:space="preserve">as the Stan backend.</w:t>
      </w:r>
    </w:p>
    <w:bookmarkEnd w:id="57"/>
    <w:bookmarkStart w:id="58" w:name="conflict-of-interest"/>
    <w:p>
      <w:pPr>
        <w:pStyle w:val="Heading1"/>
      </w:pPr>
      <w:r>
        <w:t xml:space="preserve">Conflict of interest</w:t>
      </w:r>
    </w:p>
    <w:p>
      <w:pPr>
        <w:pStyle w:val="FirstParagraph"/>
      </w:pPr>
      <w:r>
        <w:t xml:space="preserve">The authors declare no competing interests.</w:t>
      </w:r>
    </w:p>
    <w:bookmarkEnd w:id="58"/>
    <w:bookmarkStart w:id="129" w:name="references"/>
    <w:p>
      <w:pPr>
        <w:pStyle w:val="Heading1"/>
      </w:pPr>
      <w:r>
        <w:t xml:space="preserve">References</w:t>
      </w:r>
    </w:p>
    <w:bookmarkStart w:id="128" w:name="refs"/>
    <w:bookmarkStart w:id="60"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0"/>
    <w:bookmarkStart w:id="61"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61"/>
    <w:bookmarkStart w:id="63"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3"/>
    <w:bookmarkStart w:id="65"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5"/>
    <w:bookmarkStart w:id="67"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67"/>
    <w:bookmarkStart w:id="6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9"/>
    <w:bookmarkStart w:id="71"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1"/>
    <w:bookmarkStart w:id="73"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73"/>
    <w:bookmarkStart w:id="75"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5"/>
    <w:bookmarkStart w:id="7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7"/>
    <w:bookmarkStart w:id="79"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9"/>
    <w:bookmarkStart w:id="81"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1"/>
    <w:bookmarkStart w:id="83"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3"/>
    <w:bookmarkStart w:id="85"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4">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85"/>
    <w:bookmarkStart w:id="87" w:name="ref-nakagawa_santos_2012"/>
    <w:p>
      <w:pPr>
        <w:pStyle w:val="Bibliography"/>
      </w:pPr>
      <w:r>
        <w:t xml:space="preserve">Nakagawa, S. &amp; Santos, E.S.A. (2012).</w:t>
      </w:r>
      <w:r>
        <w:t xml:space="preserve"> </w:t>
      </w:r>
      <w:hyperlink r:id="rId86">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7"/>
    <w:bookmarkStart w:id="89" w:name="ref-nielsen_nlmm_2004"/>
    <w:p>
      <w:pPr>
        <w:pStyle w:val="Bibliography"/>
      </w:pPr>
      <w:r>
        <w:t xml:space="preserve">Nielsen, O.K., Ritz, C. &amp; Streibig, J.C. (2004).</w:t>
      </w:r>
      <w:r>
        <w:t xml:space="preserve"> </w:t>
      </w:r>
      <w:hyperlink r:id="rId88">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89"/>
    <w:bookmarkStart w:id="9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0">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1"/>
    <w:bookmarkStart w:id="93" w:name="ref-orsted_finding_2022"/>
    <w:p>
      <w:pPr>
        <w:pStyle w:val="Bibliography"/>
      </w:pPr>
      <w:r>
        <w:t xml:space="preserve">Ørsted, M., Jørgensen, L.B. &amp; Overgaard, J. (2022).</w:t>
      </w:r>
      <w:r>
        <w:t xml:space="preserve"> </w:t>
      </w:r>
      <w:hyperlink r:id="rId92">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93"/>
    <w:bookmarkStart w:id="95" w:name="ref-orsted_suzukii_2024"/>
    <w:p>
      <w:pPr>
        <w:pStyle w:val="Bibliography"/>
      </w:pPr>
      <w:r>
        <w:t xml:space="preserve">Ørsted, M., Willot, Q., Olsen, A.K., Kongsgaard, V. &amp; Overgaard, J. (2024).</w:t>
      </w:r>
      <w:r>
        <w:t xml:space="preserve"> </w:t>
      </w:r>
      <w:hyperlink r:id="rId94">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95"/>
    <w:bookmarkStart w:id="97" w:name="ref-pinsky_marine_2019"/>
    <w:p>
      <w:pPr>
        <w:pStyle w:val="Bibliography"/>
      </w:pPr>
      <w:r>
        <w:t xml:space="preserve">Pinsky, M.L., Eikeset, A.M., McCauley, D.J., Payne, J.L. &amp; Sunday, J.M. (2019).</w:t>
      </w:r>
      <w:r>
        <w:t xml:space="preserve"> </w:t>
      </w:r>
      <w:hyperlink r:id="rId96">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7"/>
    <w:bookmarkStart w:id="99"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98">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99"/>
    <w:bookmarkStart w:id="101" w:name="ref-rezende_drosophila_mortality_2020"/>
    <w:p>
      <w:pPr>
        <w:pStyle w:val="Bibliography"/>
      </w:pPr>
      <w:r>
        <w:t xml:space="preserve">Rezende, E.L., Bozinovic, F., Szilágyi, A. &amp; Santos, M. (2020).</w:t>
      </w:r>
      <w:r>
        <w:t xml:space="preserve"> </w:t>
      </w:r>
      <w:hyperlink r:id="rId100">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1"/>
    <w:bookmarkStart w:id="103" w:name="ref-rezende_landscapes_2014"/>
    <w:p>
      <w:pPr>
        <w:pStyle w:val="Bibliography"/>
      </w:pPr>
      <w:r>
        <w:t xml:space="preserve">Rezende, E.L., Castañeda, L.E. &amp; Santos, M. (2014).</w:t>
      </w:r>
      <w:r>
        <w:t xml:space="preserve"> </w:t>
      </w:r>
      <w:hyperlink r:id="rId102">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3"/>
    <w:bookmarkStart w:id="105" w:name="ref-ritz_ecotox_2010"/>
    <w:p>
      <w:pPr>
        <w:pStyle w:val="Bibliography"/>
      </w:pPr>
      <w:r>
        <w:t xml:space="preserve">Ritz, C. (2010).</w:t>
      </w:r>
      <w:r>
        <w:t xml:space="preserve"> </w:t>
      </w:r>
      <w:hyperlink r:id="rId104">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5"/>
    <w:bookmarkStart w:id="107" w:name="ref-ritz_drc_2015"/>
    <w:p>
      <w:pPr>
        <w:pStyle w:val="Bibliography"/>
      </w:pPr>
      <w:r>
        <w:t xml:space="preserve">Ritz, C., Baty, F., Streibig, J.C. &amp; Gerhard, D. (2015).</w:t>
      </w:r>
      <w:r>
        <w:t xml:space="preserve"> </w:t>
      </w:r>
      <w:hyperlink r:id="rId106">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7"/>
    <w:bookmarkStart w:id="109" w:name="ref-ritz_streibig_2008"/>
    <w:p>
      <w:pPr>
        <w:pStyle w:val="Bibliography"/>
      </w:pPr>
      <w:r>
        <w:t xml:space="preserve">Ritz, C. &amp; Streibig, J.C. (2008).</w:t>
      </w:r>
      <w:r>
        <w:t xml:space="preserve"> </w:t>
      </w:r>
      <w:hyperlink r:id="rId108">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09"/>
    <w:bookmarkStart w:id="111" w:name="ref-rudemo_random_1989"/>
    <w:p>
      <w:pPr>
        <w:pStyle w:val="Bibliography"/>
      </w:pPr>
      <w:r>
        <w:t xml:space="preserve">Rudemo, M., Ruppert, D. &amp; Streibig, J.C. (1989).</w:t>
      </w:r>
      <w:r>
        <w:t xml:space="preserve"> </w:t>
      </w:r>
      <w:hyperlink r:id="rId110">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11"/>
    <w:bookmarkStart w:id="113" w:name="ref-schielzeth_centering_2010"/>
    <w:p>
      <w:pPr>
        <w:pStyle w:val="Bibliography"/>
      </w:pPr>
      <w:r>
        <w:t xml:space="preserve">Schielzeth, H. (2010).</w:t>
      </w:r>
      <w:r>
        <w:t xml:space="preserve"> </w:t>
      </w:r>
      <w:hyperlink r:id="rId112">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3"/>
    <w:bookmarkStart w:id="115"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4">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5"/>
    <w:bookmarkStart w:id="117" w:name="ref-snook_fertility_2026"/>
    <w:p>
      <w:pPr>
        <w:pStyle w:val="Bibliography"/>
      </w:pPr>
      <w:r>
        <w:t xml:space="preserve">Snook, R.R., Bretman, A., Dougherty, L.R. &amp; Fricke, C. (2026).</w:t>
      </w:r>
      <w:r>
        <w:t xml:space="preserve"> </w:t>
      </w:r>
      <w:hyperlink r:id="rId116">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7"/>
    <w:bookmarkStart w:id="119" w:name="ref-sunday_global_2011"/>
    <w:p>
      <w:pPr>
        <w:pStyle w:val="Bibliography"/>
      </w:pPr>
      <w:r>
        <w:t xml:space="preserve">Sunday, J.M., Bates, A.E. &amp; Dulvy, N.K. (2011).</w:t>
      </w:r>
      <w:r>
        <w:t xml:space="preserve"> </w:t>
      </w:r>
      <w:hyperlink r:id="rId118">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19"/>
    <w:bookmarkStart w:id="121" w:name="ref-sunday_redistribution_2012"/>
    <w:p>
      <w:pPr>
        <w:pStyle w:val="Bibliography"/>
      </w:pPr>
      <w:r>
        <w:t xml:space="preserve">Sunday, J.M., Bates, A.E. &amp; Dulvy, N.K. (2012).</w:t>
      </w:r>
      <w:r>
        <w:t xml:space="preserve"> </w:t>
      </w:r>
      <w:hyperlink r:id="rId120">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1"/>
    <w:bookmarkStart w:id="123" w:name="ref-truebano2018"/>
    <w:p>
      <w:pPr>
        <w:pStyle w:val="Bibliography"/>
      </w:pPr>
      <w:r>
        <w:t xml:space="preserve">Truebano, M., Fenner, P., Tills, O., Rundle, S. &amp; Rezende, E. (2018).</w:t>
      </w:r>
      <w:r>
        <w:t xml:space="preserve"> </w:t>
      </w:r>
      <w:hyperlink r:id="rId122">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23"/>
    <w:bookmarkStart w:id="125" w:name="ref-villeneuve_dynamic_2024"/>
    <w:p>
      <w:pPr>
        <w:pStyle w:val="Bibliography"/>
      </w:pPr>
      <w:r>
        <w:t xml:space="preserve">Villeneuve, A.R. &amp; White, E.R. (2024).</w:t>
      </w:r>
      <w:r>
        <w:t xml:space="preserve"> </w:t>
      </w:r>
      <w:hyperlink r:id="rId124">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5"/>
    <w:bookmarkStart w:id="127" w:name="ref-wiens_localextinctions_2016"/>
    <w:p>
      <w:pPr>
        <w:pStyle w:val="Bibliography"/>
      </w:pPr>
      <w:r>
        <w:t xml:space="preserve">Wiens, J.J. (2016).</w:t>
      </w:r>
      <w:r>
        <w:t xml:space="preserve"> </w:t>
      </w:r>
      <w:hyperlink r:id="rId126">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7"/>
    <w:bookmarkEnd w:id="128"/>
    <w:bookmarkEnd w:id="129"/>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sensitivity across life</dc:title>
  <dc:creator/>
  <cp:keywords>thermal death time, tolerance landscape, hierarchical Bayesian model, 4-parameter logistic, heat injury, CTmax, ectotherm</cp:keywords>
  <dcterms:created xsi:type="dcterms:W3CDTF">2026-05-10T06:24:34Z</dcterms:created>
  <dcterms:modified xsi:type="dcterms:W3CDTF">2026-05-10T06:24:34Z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