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80.png" ContentType="image/png"/>
  <Override PartName="/word/media/rId75.png" ContentType="image/png"/>
  <Override PartName="/word/media/rId47.png" ContentType="image/png"/>
  <Override PartName="/word/media/rId85.png" ContentType="image/png"/>
  <Override PartName="/word/media/rId31.png" ContentType="image/png"/>
  <Override PartName="/word/media/rId55.png" ContentType="image/png"/>
  <Override PartName="/word/media/rId22.png" ContentType="image/png"/>
  <Override PartName="/word/media/rId6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2026-05-10</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bookmarkStart w:id="91" w:name="a-tutorial-with-simulations"/>
    <w:p>
      <w:pPr>
        <w:pStyle w:val="Heading1"/>
      </w:pPr>
      <w:r>
        <w:t xml:space="preserve">1.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28" w:name="simulating-data"/>
    <w:p>
      <w:pPr>
        <w:pStyle w:val="Heading3"/>
      </w:pPr>
      <w:r>
        <w:t xml:space="preserve">1.0.1</w:t>
      </w:r>
      <w:r>
        <w:t xml:space="preserve"> </w:t>
      </w:r>
      <w:r>
        <w:rPr>
          <w:i/>
          <w:iCs/>
        </w:rPr>
        <w:t xml:space="preserve">Simulating Data</w:t>
      </w:r>
    </w:p>
    <w:bookmarkStart w:id="20" w:name="sec-sim-step1"/>
    <w:p>
      <w:pPr>
        <w:pStyle w:val="Heading4"/>
      </w:pPr>
      <w:r>
        <w:t xml:space="preserve">1.0.1.1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20"/>
    <w:bookmarkStart w:id="21" w:name="sec-sim-step2"/>
    <w:p>
      <w:pPr>
        <w:pStyle w:val="Heading4"/>
      </w:pPr>
      <w:r>
        <w:t xml:space="preserve">1.0.1.2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1"/>
    <w:bookmarkStart w:id="26" w:name="sec-sim-step3"/>
    <w:p>
      <w:pPr>
        <w:pStyle w:val="Heading4"/>
      </w:pPr>
      <w:r>
        <w:t xml:space="preserve">1.0.1.3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 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5" w:name="fig-true-surface"/>
          <w:p>
            <w:pPr>
              <w:jc w:val="center"/>
            </w:pPr>
            <w:r>
              <w:drawing>
                <wp:inline>
                  <wp:extent cx="5943600" cy="3396342"/>
                  <wp:effectExtent b="0" l="0" r="0" t="0"/>
                  <wp:docPr descr="" title="" id="23" name="Picture"/>
                  <a:graphic>
                    <a:graphicData uri="http://schemas.openxmlformats.org/drawingml/2006/picture">
                      <pic:pic>
                        <pic:nvPicPr>
                          <pic:cNvPr descr="supplement_files/figure-docx/plot-true-surface-1.png" id="24" name="Picture"/>
                          <pic:cNvPicPr>
                            <a:picLocks noChangeArrowheads="1" noChangeAspect="1"/>
                          </pic:cNvPicPr>
                        </pic:nvPicPr>
                        <pic:blipFill>
                          <a:blip r:embed="rId2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The known 4PL dose-response surface used to generate the simulated data, evaluated on a dense time grid at each of the five assay temperatures. The horizontal line marks 50% survival; where each curve crosses it gives the true LT50 at that temperature.</w:t>
            </w:r>
          </w:p>
          <w:bookmarkEnd w:id="25"/>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6"/>
    <w:bookmarkStart w:id="27" w:name="sec-sim-step4"/>
    <w:p>
      <w:pPr>
        <w:pStyle w:val="Heading4"/>
      </w:pPr>
      <w:r>
        <w:t xml:space="preserve">1.0.1.4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27"/>
    <w:bookmarkEnd w:id="28"/>
    <w:bookmarkStart w:id="39" w:name="sec-twostage"/>
    <w:p>
      <w:pPr>
        <w:pStyle w:val="Heading3"/>
      </w:pPr>
      <w:r>
        <w:t xml:space="preserve">1.0.2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1"/>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1"/>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0" w:name="sec-twostage-step1"/>
    <w:p>
      <w:pPr>
        <w:pStyle w:val="Heading4"/>
      </w:pPr>
      <w:r>
        <w:t xml:space="preserve">1.0.2.1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29" w:name="tbl-stage1-lt50"/>
          <w:p>
            <w:pPr>
              <w:jc w:val="center"/>
            </w:pPr>
            <w:pPr>
              <w:jc w:val="start"/>
              <w:spacing w:before="200"/>
              <w:pStyle w:val="ImageCaption"/>
            </w:pPr>
            <w:r>
              <w:t xml:space="preserve">Table S 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2.061</w:t>
                  </w:r>
                </w:p>
              </w:tc>
              <w:tc>
                <w:tcPr/>
                <w:p>
                  <w:pPr>
                    <w:pStyle w:val="Compact"/>
                    <w:jc w:val="center"/>
                  </w:pPr>
                  <w:r>
                    <w:t xml:space="preserve">2.082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1.795</w:t>
                  </w:r>
                </w:p>
              </w:tc>
              <w:tc>
                <w:tcPr/>
                <w:p>
                  <w:pPr>
                    <w:pStyle w:val="Compact"/>
                    <w:jc w:val="center"/>
                  </w:pPr>
                  <w:r>
                    <w:t xml:space="preserve">1.8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1.48</w:t>
                  </w:r>
                </w:p>
              </w:tc>
              <w:tc>
                <w:tcPr/>
                <w:p>
                  <w:pPr>
                    <w:pStyle w:val="Compact"/>
                    <w:jc w:val="center"/>
                  </w:pPr>
                  <w:r>
                    <w:t xml:space="preserve">1.528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1.202</w:t>
                  </w:r>
                </w:p>
              </w:tc>
              <w:tc>
                <w:tcPr/>
                <w:p>
                  <w:pPr>
                    <w:pStyle w:val="Compact"/>
                    <w:jc w:val="center"/>
                  </w:pPr>
                  <w:r>
                    <w:t xml:space="preserve">1.195</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0.907</w:t>
                  </w:r>
                </w:p>
              </w:tc>
              <w:tc>
                <w:tcPr/>
                <w:p>
                  <w:pPr>
                    <w:pStyle w:val="Compact"/>
                    <w:jc w:val="center"/>
                  </w:pPr>
                  <w:r>
                    <w:t xml:space="preserve">0.954</w:t>
                  </w:r>
                </w:p>
              </w:tc>
            </w:tr>
          </w:tbl>
          <w:bookmarkEnd w:id="29"/>
          <w:p/>
        </w:tc>
      </w:tr>
    </w:tbl>
    <w:p>
      <w:pPr>
        <w:pStyle w:val="BodyText"/>
      </w:pPr>
      <w:r>
        <w:t xml:space="preserve">With the simulation’s true asymptotes near 0 and 1, the 2PL’s forced-asymptote constraint introduces negligible bias here, so each Stage-1 estimate sits close to the simulation truth.</w:t>
      </w:r>
    </w:p>
    <w:bookmarkEnd w:id="30"/>
    <w:bookmarkStart w:id="38" w:name="sec-twostage-step2"/>
    <w:p>
      <w:pPr>
        <w:pStyle w:val="Heading4"/>
      </w:pPr>
      <w:r>
        <w:t xml:space="preserve">1.0.2.2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 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 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4" w:name="fig-stage2-regression"/>
          <w:p>
            <w:pPr>
              <w:jc w:val="center"/>
            </w:pPr>
            <w:r>
              <w:drawing>
                <wp:inline>
                  <wp:extent cx="5943600" cy="3820885"/>
                  <wp:effectExtent b="0" l="0" r="0" t="0"/>
                  <wp:docPr descr="" title="" id="32" name="Picture"/>
                  <a:graphic>
                    <a:graphicData uri="http://schemas.openxmlformats.org/drawingml/2006/picture">
                      <pic:pic>
                        <pic:nvPicPr>
                          <pic:cNvPr descr="supplement_files/figure-docx/plot-stage2-regression-1.png" id="33" name="Picture"/>
                          <pic:cNvPicPr>
                            <a:picLocks noChangeArrowheads="1" noChangeAspect="1"/>
                          </pic:cNvPicPr>
                        </pic:nvPicPr>
                        <pic:blipFill>
                          <a:blip r:embed="rId31"/>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4"/>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38"/>
    <w:bookmarkEnd w:id="39"/>
    <w:bookmarkStart w:id="52" w:name="sec-joint"/>
    <w:p>
      <w:pPr>
        <w:pStyle w:val="Heading3"/>
      </w:pPr>
      <w:r>
        <w:t xml:space="preserve">1.0.3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4" w:name="sec-joint-spec"/>
    <w:p>
      <w:pPr>
        <w:pStyle w:val="Heading4"/>
      </w:pPr>
      <w:r>
        <w:t xml:space="preserve">1.0.3.1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0"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0"/>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1"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1"/>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S 1</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S 2</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1.0.6</w:t>
              </w:r>
            </w:hyperlink>
            <w:r>
              <w:t xml:space="preserve">.</w:t>
            </w:r>
          </w:p>
        </w:tc>
      </w:tr>
    </w:tbl>
    <w:bookmarkEnd w:id="44"/>
    <w:bookmarkStart w:id="45" w:name="sec-joint-fit"/>
    <w:p>
      <w:pPr>
        <w:pStyle w:val="Heading4"/>
      </w:pPr>
      <w:r>
        <w:t xml:space="preserve">1.0.3.2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45"/>
    <w:bookmarkStart w:id="51" w:name="sec-joint-recovery"/>
    <w:p>
      <w:pPr>
        <w:pStyle w:val="Heading4"/>
      </w:pPr>
      <w:r>
        <w:t xml:space="preserve">1.0.3.3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 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6" w:name="tbl-recovery"/>
          <w:p>
            <w:pPr>
              <w:jc w:val="center"/>
            </w:pPr>
            <w:pPr>
              <w:jc w:val="start"/>
              <w:spacing w:before="200"/>
              <w:pStyle w:val="ImageCaption"/>
            </w:pPr>
            <w:r>
              <w:t xml:space="preserve">Table S 2: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0.0288</w:t>
                  </w:r>
                </w:p>
              </w:tc>
              <w:tc>
                <w:tcPr/>
                <w:p>
                  <w:pPr>
                    <w:pStyle w:val="Compact"/>
                    <w:jc w:val="center"/>
                  </w:pPr>
                  <w:r>
                    <w:t xml:space="preserve">0.0252</w:t>
                  </w:r>
                </w:p>
              </w:tc>
              <w:tc>
                <w:tcPr/>
                <w:p>
                  <w:pPr>
                    <w:pStyle w:val="Compact"/>
                    <w:jc w:val="center"/>
                  </w:pPr>
                  <w:r>
                    <w:t xml:space="preserve">0.0329</w:t>
                  </w:r>
                </w:p>
              </w:tc>
              <w:tc>
                <w:tcPr/>
                <w:p>
                  <w:pPr>
                    <w:pStyle w:val="Compact"/>
                    <w:jc w:val="center"/>
                  </w:pPr>
                  <w:r>
                    <w:t xml:space="preserve">0.0295</w:t>
                  </w:r>
                </w:p>
              </w:tc>
              <w:tc>
                <w:tcPr/>
                <w:p>
                  <w:pPr>
                    <w:pStyle w:val="Compact"/>
                    <w:jc w:val="center"/>
                  </w:pPr>
                  <w:r>
                    <w:t xml:space="preserve">0.0223</w:t>
                  </w:r>
                </w:p>
              </w:tc>
              <w:tc>
                <w:tcPr/>
                <w:p>
                  <w:pPr>
                    <w:pStyle w:val="Compact"/>
                    <w:jc w:val="center"/>
                  </w:pPr>
                  <w:r>
                    <w:t xml:space="preserve">0.0381</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0.9675</w:t>
                  </w:r>
                </w:p>
              </w:tc>
              <w:tc>
                <w:tcPr/>
                <w:p>
                  <w:pPr>
                    <w:pStyle w:val="Compact"/>
                    <w:jc w:val="center"/>
                  </w:pPr>
                  <w:r>
                    <w:t xml:space="preserve">0.9637</w:t>
                  </w:r>
                </w:p>
              </w:tc>
              <w:tc>
                <w:tcPr/>
                <w:p>
                  <w:pPr>
                    <w:pStyle w:val="Compact"/>
                    <w:jc w:val="center"/>
                  </w:pPr>
                  <w:r>
                    <w:t xml:space="preserve">0.9709</w:t>
                  </w:r>
                </w:p>
              </w:tc>
              <w:tc>
                <w:tcPr/>
                <w:p>
                  <w:pPr>
                    <w:pStyle w:val="Compact"/>
                    <w:jc w:val="center"/>
                  </w:pPr>
                  <w:r>
                    <w:t xml:space="preserve">0.9679</w:t>
                  </w:r>
                </w:p>
              </w:tc>
              <w:tc>
                <w:tcPr/>
                <w:p>
                  <w:pPr>
                    <w:pStyle w:val="Compact"/>
                    <w:jc w:val="center"/>
                  </w:pPr>
                  <w:r>
                    <w:t xml:space="preserve">0.9598</w:t>
                  </w:r>
                </w:p>
              </w:tc>
              <w:tc>
                <w:tcPr/>
                <w:p>
                  <w:pPr>
                    <w:pStyle w:val="Compact"/>
                    <w:jc w:val="center"/>
                  </w:pPr>
                  <w:r>
                    <w:t xml:space="preserve">0.9743</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8.3196</w:t>
                  </w:r>
                </w:p>
              </w:tc>
              <w:tc>
                <w:tcPr/>
                <w:p>
                  <w:pPr>
                    <w:pStyle w:val="Compact"/>
                    <w:jc w:val="center"/>
                  </w:pPr>
                  <w:r>
                    <w:t xml:space="preserve">7.9162</w:t>
                  </w:r>
                </w:p>
              </w:tc>
              <w:tc>
                <w:tcPr/>
                <w:p>
                  <w:pPr>
                    <w:pStyle w:val="Compact"/>
                    <w:jc w:val="center"/>
                  </w:pPr>
                  <w:r>
                    <w:t xml:space="preserve">8.7628</w:t>
                  </w:r>
                </w:p>
              </w:tc>
              <w:tc>
                <w:tcPr/>
                <w:p>
                  <w:pPr>
                    <w:pStyle w:val="Compact"/>
                    <w:jc w:val="center"/>
                  </w:pPr>
                  <w:r>
                    <w:t xml:space="preserve">7.5159</w:t>
                  </w:r>
                </w:p>
              </w:tc>
              <w:tc>
                <w:tcPr/>
                <w:p>
                  <w:pPr>
                    <w:pStyle w:val="Compact"/>
                    <w:jc w:val="center"/>
                  </w:pPr>
                  <w:r>
                    <w:t xml:space="preserve">6.8119</w:t>
                  </w:r>
                </w:p>
              </w:tc>
              <w:tc>
                <w:tcPr/>
                <w:p>
                  <w:pPr>
                    <w:pStyle w:val="Compact"/>
                    <w:jc w:val="center"/>
                  </w:pPr>
                  <w:r>
                    <w:t xml:space="preserve">8.3283</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1.5012</w:t>
                  </w:r>
                </w:p>
              </w:tc>
              <w:tc>
                <w:tcPr/>
                <w:p>
                  <w:pPr>
                    <w:pStyle w:val="Compact"/>
                    <w:jc w:val="center"/>
                  </w:pPr>
                  <w:r>
                    <w:t xml:space="preserve">1.4927</w:t>
                  </w:r>
                </w:p>
              </w:tc>
              <w:tc>
                <w:tcPr/>
                <w:p>
                  <w:pPr>
                    <w:pStyle w:val="Compact"/>
                    <w:jc w:val="center"/>
                  </w:pPr>
                  <w:r>
                    <w:t xml:space="preserve">1.5095</w:t>
                  </w:r>
                </w:p>
              </w:tc>
              <w:tc>
                <w:tcPr/>
                <w:p>
                  <w:pPr>
                    <w:pStyle w:val="Compact"/>
                    <w:jc w:val="center"/>
                  </w:pPr>
                  <w:r>
                    <w:t xml:space="preserve">1.5157</w:t>
                  </w:r>
                </w:p>
              </w:tc>
              <w:tc>
                <w:tcPr/>
                <w:p>
                  <w:pPr>
                    <w:pStyle w:val="Compact"/>
                    <w:jc w:val="center"/>
                  </w:pPr>
                  <w:r>
                    <w:t xml:space="preserve">1.4951</w:t>
                  </w:r>
                </w:p>
              </w:tc>
              <w:tc>
                <w:tcPr/>
                <w:p>
                  <w:pPr>
                    <w:pStyle w:val="Compact"/>
                    <w:jc w:val="center"/>
                  </w:pPr>
                  <w:r>
                    <w:t xml:space="preserve">1.5366</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-0.1527</w:t>
                  </w:r>
                </w:p>
              </w:tc>
              <w:tc>
                <w:tcPr/>
                <w:p>
                  <w:pPr>
                    <w:pStyle w:val="Compact"/>
                    <w:jc w:val="center"/>
                  </w:pPr>
                  <w:r>
                    <w:t xml:space="preserve">-0.1471</w:t>
                  </w:r>
                </w:p>
              </w:tc>
              <w:tc>
                <w:tcPr/>
                <w:p>
                  <w:pPr>
                    <w:pStyle w:val="Compact"/>
                    <w:jc w:val="center"/>
                  </w:pPr>
                  <w:r>
                    <w:t xml:space="preserve">-0.1474</w:t>
                  </w:r>
                </w:p>
              </w:tc>
              <w:tc>
                <w:tcPr/>
                <w:p>
                  <w:pPr>
                    <w:pStyle w:val="Compact"/>
                    <w:jc w:val="center"/>
                  </w:pPr>
                  <w:r>
                    <w:t xml:space="preserve">-0.1544</w:t>
                  </w:r>
                </w:p>
              </w:tc>
              <w:tc>
                <w:tcPr/>
                <w:p>
                  <w:pPr>
                    <w:pStyle w:val="Compact"/>
                    <w:jc w:val="center"/>
                  </w:pPr>
                  <w:r>
                    <w:t xml:space="preserve">-0.1404</w:t>
                  </w:r>
                </w:p>
              </w:tc>
            </w:tr>
          </w:tbl>
          <w:bookmarkEnd w:id="46"/>
          <w:p/>
        </w:tc>
      </w:tr>
    </w:tbl>
    <w:p>
      <w:pPr>
        <w:pStyle w:val="BodyText"/>
      </w:pPr>
      <w:r>
        <w:t xml:space="preserve">We can also overlay the posterior fitted curves on the simulated data (</w:t>
      </w:r>
      <w:hyperlink w:anchor="fig-recovery-fit">
        <w:r>
          <w:rPr>
            <w:rStyle w:val="Hyperlink"/>
          </w:rPr>
          <w:t xml:space="preserve">Figure S 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0" w:name="fig-recovery-fit"/>
          <w:p>
            <w:pPr>
              <w:jc w:val="center"/>
            </w:pPr>
            <w:r>
              <w:drawing>
                <wp:inline>
                  <wp:extent cx="5943600" cy="3714750"/>
                  <wp:effectExtent b="0" l="0" r="0" t="0"/>
                  <wp:docPr descr="" title="" id="48" name="Picture"/>
                  <a:graphic>
                    <a:graphicData uri="http://schemas.openxmlformats.org/drawingml/2006/picture">
                      <pic:pic>
                        <pic:nvPicPr>
                          <pic:cNvPr descr="supplement_files/figure-docx/plot-recovery-fit-1.png" id="49" name="Picture"/>
                          <pic:cNvPicPr>
                            <a:picLocks noChangeArrowheads="1" noChangeAspect="1"/>
                          </pic:cNvPicPr>
                        </pic:nvPicPr>
                        <pic:blipFill>
                          <a:blip r:embed="rId4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0"/>
        </w:tc>
      </w:tr>
    </w:tbl>
    <w:bookmarkEnd w:id="51"/>
    <w:bookmarkEnd w:id="52"/>
    <w:bookmarkStart w:id="62" w:name="sec-joint-derive"/>
    <w:p>
      <w:pPr>
        <w:pStyle w:val="Heading3"/>
      </w:pPr>
      <w:r>
        <w:t xml:space="preserve">1.0.4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bookmarkStart w:id="53" w:name="annotated-cell-11"/>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w:t>
      </w:r>
      <w:r>
        <w:br/>
      </w:r>
      <w:r>
        <w:rPr>
          <w:rStyle w:val="NormalTok"/>
        </w:rPr>
        <w:t xml:space="preserve">}</w:t>
      </w:r>
      <w:r>
        <w:br/>
      </w:r>
      <w:r>
        <w:br/>
      </w:r>
      <w:r>
        <w:rPr>
          <w:rStyle w:val="CommentTok"/>
        </w:rPr>
        <w:t xml:space="preserve"># Apply to both fits to get posterior draws of (z, CTmax_1hr).</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bookmarkEnd w:id="53"/>
    <w:p>
      <w:pPr>
        <w:pStyle w:val="DefinitionTerm"/>
      </w:pPr>
      <w:r>
        <w:t xml:space="preserve">Line 4</w:t>
      </w:r>
    </w:p>
    <w:p>
      <w:pPr>
        <w:pStyle w:val="Definition"/>
      </w:pPr>
      <w:r>
        <w:t xml:space="preserve">Pull the joint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 the brms fit as a data frame, with one row per posterior draw.</w:t>
      </w:r>
    </w:p>
    <w:p>
      <w:pPr>
        <w:pStyle w:val="DefinitionTerm"/>
      </w:pPr>
      <w:r>
        <w:t xml:space="preserve">Line 6</w:t>
      </w:r>
    </w:p>
    <w:p>
      <w:pPr>
        <w:pStyle w:val="Definition"/>
      </w:pPr>
      <w:r>
        <w:t xml:space="preserve">For each draw, compute thermal sensitivity</w:t>
      </w:r>
      <w:r>
        <w:t xml:space="preserve"> </w:t>
      </w:r>
      <m:oMath>
        <m:r>
          <m:t>z</m:t>
        </m:r>
        <m:r>
          <m:rPr>
            <m:sty m:val="p"/>
          </m:rPr>
          <m:t>=</m:t>
        </m:r>
        <m:r>
          <m:rPr>
            <m:sty m:val="p"/>
          </m:rPr>
          <m:t>−</m:t>
        </m:r>
        <m:r>
          <m:t>1</m:t>
        </m:r>
        <m:r>
          <m:rPr>
            <m:sty m:val="p"/>
          </m:rPr>
          <m:t>/</m:t>
        </m:r>
        <m:sSub>
          <m:e>
            <m:r>
              <m:t>β</m:t>
            </m:r>
          </m:e>
          <m:sub>
            <m:r>
              <m:t>1</m:t>
            </m:r>
          </m:sub>
        </m:sSub>
      </m:oMath>
      <w:r>
        <w:t xml:space="preserve">.</w:t>
      </w:r>
    </w:p>
    <w:p>
      <w:pPr>
        <w:pStyle w:val="DefinitionTerm"/>
      </w:pPr>
      <w:r>
        <w:t xml:space="preserve">Line 7</w:t>
      </w:r>
    </w:p>
    <w:p>
      <w:pPr>
        <w:pStyle w:val="Definition"/>
      </w:pPr>
      <w:r>
        <w:t xml:space="preserve">Compute the asymmetry-corrected intercept</w:t>
      </w:r>
      <w:r>
        <w:t xml:space="preserve"> </w:t>
      </w:r>
      <m:oMath>
        <m:r>
          <m:t>α</m:t>
        </m:r>
        <m:r>
          <m:rPr>
            <m:sty m:val="p"/>
          </m:rPr>
          <m:t>=</m:t>
        </m:r>
        <m:sSub>
          <m:e>
            <m:r>
              <m:t>β</m:t>
            </m:r>
          </m:e>
          <m:sub>
            <m:r>
              <m:t>0</m:t>
            </m:r>
          </m:sub>
        </m:sSub>
        <m:r>
          <m:rPr>
            <m:sty m:val="p"/>
          </m:rPr>
          <m:t>+</m:t>
        </m:r>
        <m:d>
          <m:dPr>
            <m:begChr m:val="("/>
            <m:sepChr m:val=""/>
            <m:endChr m:val=")"/>
            <m:grow/>
          </m:dPr>
          <m:e>
            <m:r>
              <m:t>1</m:t>
            </m:r>
            <m:r>
              <m:rPr>
                <m:sty m:val="p"/>
              </m:rPr>
              <m:t>/</m:t>
            </m:r>
            <m:r>
              <m:t>k</m:t>
            </m:r>
          </m:e>
        </m:d>
        <m:r>
          <m:rPr>
            <m:sty m:val="p"/>
          </m:rPr>
          <m:t>log</m:t>
        </m:r>
        <m:r>
          <m:t>​</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r>
          <m:rPr>
            <m:sty m:val="p"/>
          </m:rPr>
          <m:t>−</m:t>
        </m:r>
        <m:sSub>
          <m:e>
            <m:r>
              <m:t>β</m:t>
            </m:r>
          </m:e>
          <m:sub>
            <m:r>
              <m:t>1</m:t>
            </m:r>
          </m:sub>
        </m:sSub>
        <m:acc>
          <m:accPr>
            <m:chr m:val="‾"/>
          </m:accPr>
          <m:e>
            <m:r>
              <m:t>T</m:t>
            </m:r>
          </m:e>
        </m:acc>
      </m:oMath>
      <w:r>
        <w:t xml:space="preserve"> </w:t>
      </w:r>
      <w:r>
        <w:t xml:space="preserve">used in the closed-form</w:t>
      </w:r>
      <w:r>
        <w:t xml:space="preserve"> </w:t>
      </w:r>
      <m:oMath>
        <m:r>
          <m:t>C</m:t>
        </m:r>
        <m:sSub>
          <m:e>
            <m:r>
              <m:t>T</m:t>
            </m:r>
          </m:e>
          <m:sub>
            <m:r>
              <m:t>m</m:t>
            </m:r>
            <m:r>
              <m:t>a</m:t>
            </m:r>
            <m:r>
              <m:t>x</m:t>
            </m:r>
          </m:sub>
        </m:sSub>
      </m:oMath>
      <w:r>
        <w:t xml:space="preserve"> </w:t>
      </w:r>
      <w:r>
        <w:t xml:space="preserve">expression.</w:t>
      </w:r>
    </w:p>
    <w:p>
      <w:pPr>
        <w:pStyle w:val="DefinitionTerm"/>
      </w:pPr>
      <w:r>
        <w:t xml:space="preserve">Line 11</w:t>
      </w:r>
    </w:p>
    <w:p>
      <w:pPr>
        <w:pStyle w:val="Definition"/>
      </w:pPr>
      <w:r>
        <w:t xml:space="preserve">Compute</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the temperature at which median lethal time equals 1 hour.</w:t>
      </w:r>
    </w:p>
    <w:p>
      <w:pPr>
        <w:pStyle w:val="DefinitionTerm"/>
      </w:pPr>
      <w:r>
        <w:t xml:space="preserve">Line 13</w:t>
      </w:r>
    </w:p>
    <w:p>
      <w:pPr>
        <w:pStyle w:val="Definition"/>
      </w:pPr>
      <w:r>
        <w:t xml:space="preserve">Keep only the two derived quantities — the posterior is now a draws-by-2 tibble.</w:t>
      </w:r>
    </w:p>
    <w:tbl>
      <w:tblPr>
        <w:tblStyle w:val="Table"/>
        <w:tblW w:type="pct" w:w="5000"/>
        <w:tblLayout w:type="fixed"/>
        <w:tblLook w:firstRow="0" w:lastRow="0" w:firstColumn="0" w:lastColumn="0" w:noHBand="0" w:noVBand="0" w:val="0000"/>
      </w:tblPr>
      <w:tblGrid>
        <w:gridCol w:w="7920"/>
      </w:tblGrid>
      <w:tr>
        <w:tc>
          <w:tcPr/>
          <w:bookmarkStart w:id="54" w:name="tbl-tls-recovery"/>
          <w:p>
            <w:pPr>
              <w:jc w:val="center"/>
            </w:pPr>
            <w:pPr>
              <w:jc w:val="start"/>
              <w:spacing w:before="200"/>
              <w:pStyle w:val="ImageCaption"/>
            </w:pPr>
            <w:r>
              <w:t xml:space="preserve">Table S 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tls-recovery"/>
          <w:p>
            <w:pPr>
              <w:jc w:val="center"/>
            </w:pPr>
            <w:r>
              <w:drawing>
                <wp:inline>
                  <wp:extent cx="5943600" cy="2971800"/>
                  <wp:effectExtent b="0" l="0" r="0" t="0"/>
                  <wp:docPr descr="" title="" id="56" name="Picture"/>
                  <a:graphic>
                    <a:graphicData uri="http://schemas.openxmlformats.org/drawingml/2006/picture">
                      <pic:pic>
                        <pic:nvPicPr>
                          <pic:cNvPr descr="supplement_files/figure-docx/plot-tls-recovery-1.png" id="57" name="Picture"/>
                          <pic:cNvPicPr>
                            <a:picLocks noChangeArrowheads="1" noChangeAspect="1"/>
                          </pic:cNvPicPr>
                        </pic:nvPicPr>
                        <pic:blipFill>
                          <a:blip r:embed="rId5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58"/>
        </w:tc>
      </w:tr>
    </w:tbl>
    <w:p>
      <w:pPr>
        <w:pStyle w:val="BodyText"/>
      </w:pPr>
      <w:r>
        <w:t xml:space="preserve">The two derived quantities recover their simulation truth in both fits (</w:t>
      </w:r>
      <w:hyperlink w:anchor="tbl-tls-recovery">
        <w:r>
          <w:rPr>
            <w:rStyle w:val="Hyperlink"/>
          </w:rPr>
          <w:t xml:space="preserve">Table S 3</w:t>
        </w:r>
      </w:hyperlink>
      <w:r>
        <w:t xml:space="preserve">,</w:t>
      </w:r>
      <w:r>
        <w:t xml:space="preserve"> </w:t>
      </w:r>
      <w:hyperlink w:anchor="fig-tls-recovery">
        <w:r>
          <w:rPr>
            <w:rStyle w:val="Hyperlink"/>
          </w:rPr>
          <w:t xml:space="preserve">Figure S 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uncert-z-ct"/>
          <w:p>
            <w:pPr>
              <w:jc w:val="center"/>
            </w:pPr>
            <w:pPr>
              <w:jc w:val="start"/>
              <w:spacing w:before="200"/>
              <w:pStyle w:val="ImageCaption"/>
            </w:pPr>
            <w:r>
              <w:t xml:space="preserve">Table S 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0.0629</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0.032</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6.79</w:t>
                  </w:r>
                </w:p>
              </w:tc>
              <w:tc>
                <w:tcPr/>
                <w:p>
                  <w:pPr>
                    <w:pStyle w:val="Compact"/>
                    <w:jc w:val="center"/>
                  </w:pPr>
                  <w:r>
                    <w:t xml:space="preserve">0.1643</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32.21</w:t>
                  </w:r>
                </w:p>
              </w:tc>
              <w:tc>
                <w:tcPr/>
                <w:p>
                  <w:pPr>
                    <w:pStyle w:val="Compact"/>
                    <w:jc w:val="center"/>
                  </w:pPr>
                  <w:r>
                    <w:t xml:space="preserve">0.0793</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5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62"/>
    <w:bookmarkStart w:id="65" w:name="sec-compare"/>
    <w:p>
      <w:pPr>
        <w:pStyle w:val="Heading3"/>
      </w:pPr>
      <w:r>
        <w:t xml:space="preserve">1.0.5</w:t>
      </w:r>
      <w:r>
        <w:t xml:space="preserve"> </w:t>
      </w:r>
      <w:r>
        <w:rPr>
          <w:i/>
          <w:iCs/>
        </w:rPr>
        <w:t xml:space="preserve">Comparing the two pipelines</w:t>
      </w:r>
    </w:p>
    <w:bookmarkStart w:id="64" w:name="sec-compare-table"/>
    <w:p>
      <w:pPr>
        <w:pStyle w:val="Heading4"/>
      </w:pPr>
      <w:r>
        <w:t xml:space="preserve">1.0.5.1 Point-estimate agreement on the same data</w:t>
      </w:r>
    </w:p>
    <w:p>
      <w:pPr>
        <w:pStyle w:val="FirstParagraph"/>
      </w:pPr>
      <w:hyperlink w:anchor="tbl-twostage-compare">
        <w:r>
          <w:rPr>
            <w:rStyle w:val="Hyperlink"/>
          </w:rPr>
          <w:t xml:space="preserve">Table S 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63" w:name="tbl-twostage-compare"/>
          <w:p>
            <w:pPr>
              <w:jc w:val="center"/>
            </w:pPr>
            <w:pPr>
              <w:jc w:val="start"/>
              <w:spacing w:before="200"/>
              <w:pStyle w:val="ImageCaption"/>
            </w:pPr>
            <w:r>
              <w:t xml:space="preserve">Table S 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6.67</w:t>
                  </w:r>
                </w:p>
              </w:tc>
              <w:tc>
                <w:tcPr/>
                <w:p>
                  <w:pPr>
                    <w:pStyle w:val="Compact"/>
                    <w:jc w:val="center"/>
                  </w:pPr>
                  <w:r>
                    <w:t xml:space="preserve">6.99</w:t>
                  </w:r>
                </w:p>
              </w:tc>
              <w:tc>
                <w:tcPr/>
                <w:p>
                  <w:pPr>
                    <w:pStyle w:val="Compact"/>
                    <w:jc w:val="center"/>
                  </w:pPr>
                  <w:r>
                    <w:t xml:space="preserve">6.78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w:t>
                  </w:r>
                </w:p>
              </w:tc>
              <w:tc>
                <w:tcPr/>
                <w:p>
                  <w:pPr>
                    <w:pStyle w:val="Compact"/>
                    <w:jc w:val="center"/>
                  </w:pPr>
                  <w:r>
                    <w:t xml:space="preserve">32.15</w:t>
                  </w:r>
                </w:p>
              </w:tc>
              <w:tc>
                <w:tcPr/>
                <w:p>
                  <w:pPr>
                    <w:pStyle w:val="Compact"/>
                    <w:jc w:val="center"/>
                  </w:pPr>
                  <w:r>
                    <w:t xml:space="preserve">32.14</w:t>
                  </w:r>
                </w:p>
              </w:tc>
              <w:tc>
                <w:tcPr/>
                <w:p>
                  <w:pPr>
                    <w:pStyle w:val="Compact"/>
                    <w:jc w:val="center"/>
                  </w:pPr>
                  <w:r>
                    <w:t xml:space="preserve">32.21</w:t>
                  </w:r>
                </w:p>
              </w:tc>
            </w:tr>
          </w:tbl>
          <w:bookmarkEnd w:id="6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64"/>
    <w:bookmarkEnd w:id="65"/>
    <w:bookmarkStart w:id="74" w:name="sec-joint-extend"/>
    <w:p>
      <w:pPr>
        <w:pStyle w:val="Heading3"/>
      </w:pPr>
      <w:r>
        <w:t xml:space="preserve">1.0.6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2"/>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2"/>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2"/>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66"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3</m:t>
              </m:r>
            </m:e>
          </m:d>
        </m:oMath>
      </m:oMathPara>
      <w:bookmarkEnd w:id="66"/>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3"/>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3"/>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67" w:name="sec-joint-extend-recipe"/>
    <w:p>
      <w:pPr>
        <w:pStyle w:val="Heading4"/>
      </w:pPr>
      <w:r>
        <w:t xml:space="preserve">1.0.6.1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1    30  6.67  6.56  6.79</w:t>
      </w:r>
      <w:r>
        <w:br/>
      </w:r>
      <w:r>
        <w:rPr>
          <w:rStyle w:val="VerbatimChar"/>
        </w:rPr>
        <w:t xml:space="preserve">2    32  6.67  6.56  6.79</w:t>
      </w:r>
      <w:r>
        <w:br/>
      </w:r>
      <w:r>
        <w:rPr>
          <w:rStyle w:val="VerbatimChar"/>
        </w:rPr>
        <w:t xml:space="preserve">3    34  6.67  6.56  6.79</w:t>
      </w:r>
      <w:r>
        <w:br/>
      </w:r>
      <w:r>
        <w:rPr>
          <w:rStyle w:val="VerbatimChar"/>
        </w:rPr>
        <w:t xml:space="preserve">4    36  6.67  6.56  6.79</w:t>
      </w:r>
      <w:r>
        <w:br/>
      </w:r>
      <w:r>
        <w:rPr>
          <w:rStyle w:val="VerbatimChar"/>
        </w:rPr>
        <w:t xml:space="preserve">5    38  6.67  6.56  6.79</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1.0.4</w:t>
        </w:r>
      </w:hyperlink>
      <w:r>
        <w:t xml:space="preserve">.</w:t>
      </w:r>
    </w:p>
    <w:bookmarkEnd w:id="67"/>
    <w:bookmarkStart w:id="73" w:name="sec-joint-extend-example"/>
    <w:p>
      <w:pPr>
        <w:pStyle w:val="Heading4"/>
      </w:pPr>
      <w:r>
        <w:t xml:space="preserve">1.0.6.2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fig-true-surface-ext">
        <w:r>
          <w:rPr>
            <w:rStyle w:val="Hyperlink"/>
          </w:rPr>
          <w:t xml:space="preserve">Figure S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true-surface-ext"/>
          <w:p>
            <w:pPr>
              <w:jc w:val="center"/>
            </w:pPr>
            <w:r>
              <w:drawing>
                <wp:inline>
                  <wp:extent cx="5943600" cy="3714750"/>
                  <wp:effectExtent b="0" l="0" r="0" t="0"/>
                  <wp:docPr descr="" title="" id="69" name="Picture"/>
                  <a:graphic>
                    <a:graphicData uri="http://schemas.openxmlformats.org/drawingml/2006/picture">
                      <pic:pic>
                        <pic:nvPicPr>
                          <pic:cNvPr descr="supplement_files/figure-docx/plot-true-surface-ext-1.png" id="70" name="Picture"/>
                          <pic:cNvPicPr>
                            <a:picLocks noChangeArrowheads="1" noChangeAspect="1"/>
                          </pic:cNvPicPr>
                        </pic:nvPicPr>
                        <pic:blipFill>
                          <a:blip r:embed="rId6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71"/>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-2.31      0.11    -2.54    -2.09 1.00     3056     3207</w:t>
      </w:r>
      <w:r>
        <w:br/>
      </w:r>
      <w:r>
        <w:rPr>
          <w:rStyle w:val="VerbatimChar"/>
        </w:rPr>
        <w:t xml:space="preserve">uraw_Intercept       1.56      0.10     1.37     1.75 1.00     2753     2571</w:t>
      </w:r>
      <w:r>
        <w:br/>
      </w:r>
      <w:r>
        <w:rPr>
          <w:rStyle w:val="VerbatimChar"/>
        </w:rPr>
        <w:t xml:space="preserve">uraw_T_c            -0.22      0.03    -0.28    -0.15 1.00     3307     2825</w:t>
      </w:r>
      <w:r>
        <w:br/>
      </w:r>
      <w:r>
        <w:rPr>
          <w:rStyle w:val="VerbatimChar"/>
        </w:rPr>
        <w:t xml:space="preserve">logk_Intercept       2.06      0.07     1.93     2.21 1.00     2700     2474</w:t>
      </w:r>
      <w:r>
        <w:br/>
      </w:r>
      <w:r>
        <w:rPr>
          <w:rStyle w:val="VerbatimChar"/>
        </w:rPr>
        <w:t xml:space="preserve">logk_T_c             0.15      0.02     0.11     0.19 1.00     3038     2790</w:t>
      </w:r>
      <w:r>
        <w:br/>
      </w:r>
      <w:r>
        <w:rPr>
          <w:rStyle w:val="VerbatimChar"/>
        </w:rPr>
        <w:t xml:space="preserve">mid_Intercept        1.50      0.01     1.48     1.53 1.00     3973     3031</w:t>
      </w:r>
      <w:r>
        <w:br/>
      </w:r>
      <w:r>
        <w:rPr>
          <w:rStyle w:val="VerbatimChar"/>
        </w:rPr>
        <w:t xml:space="preserve">mid_T_c             -0.14      0.01    -0.15    -0.13 1.00     4236     3099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4.75      0.36     4.08     5.49 1.00     3381     2977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72" w:name="tbl-ext-recovery"/>
          <w:p>
            <w:pPr>
              <w:jc w:val="center"/>
            </w:pPr>
            <w:pPr>
              <w:jc w:val="start"/>
              <w:spacing w:before="200"/>
              <w:pStyle w:val="ImageCaption"/>
            </w:pPr>
            <w:r>
              <w:t xml:space="preserve">Table S 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w:tblPr>
              <w:tblStyle w:val="Table"/>
              <w:tblW w:type="pct" w:w="4759"/>
              <w:tblLayout w:type="fixed"/>
              <w:tblLook w:firstRow="1" w:lastRow="0" w:firstColumn="0" w:lastColumn="0" w:noHBand="0" w:noVBand="0" w:val="0020"/>
            </w:tblPr>
            <w:tblGrid>
              <w:gridCol w:w="1145"/>
              <w:gridCol w:w="1813"/>
              <w:gridCol w:w="858"/>
              <w:gridCol w:w="1813"/>
              <w:gridCol w:w="954"/>
              <w:gridCol w:w="954"/>
            </w:tblGrid>
            <w:tr>
              <w:trPr>
                <w:tblHeader w:val="on"/>
              </w:trPr>
              <w:tc>
                <w:tcPr/>
                <w:p>
                  <w:pPr>
                    <w:pStyle w:val="Compact"/>
                    <w:jc w:val="center"/>
                  </w:pPr>
                  <w:r>
                    <w:t xml:space="preserve">Parameter</w:t>
                  </w:r>
                </w:p>
              </w:tc>
              <w:tc>
                <w:tcPr/>
                <w:p>
                  <w:pPr>
                    <w:pStyle w:val="Compact"/>
                    <w:jc w:val="center"/>
                  </w:pPr>
                  <w:r>
                    <w:t xml:space="preserve">Temperature (°C)</w:t>
                  </w:r>
                </w:p>
              </w:tc>
              <w:tc>
                <w:tcPr/>
                <w:p>
                  <w:pPr>
                    <w:pStyle w:val="Compact"/>
                    <w:jc w:val="center"/>
                  </w:pPr>
                  <w:r>
                    <w:t xml:space="preserve">Truth</w:t>
                  </w:r>
                </w:p>
              </w:tc>
              <w:tc>
                <w:tcPr/>
                <w:p>
                  <w:pPr>
                    <w:pStyle w:val="Compact"/>
                    <w:jc w:val="center"/>
                  </w:pPr>
                  <w:r>
                    <w:t xml:space="preserve">Posterior 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5.363</w:t>
                  </w:r>
                </w:p>
              </w:tc>
              <w:tc>
                <w:tcPr/>
                <w:p>
                  <w:pPr>
                    <w:pStyle w:val="Compact"/>
                    <w:jc w:val="center"/>
                  </w:pPr>
                  <w:r>
                    <w:t xml:space="preserve">4.3952</w:t>
                  </w:r>
                </w:p>
              </w:tc>
              <w:tc>
                <w:tcPr/>
                <w:p>
                  <w:pPr>
                    <w:pStyle w:val="Compact"/>
                    <w:jc w:val="center"/>
                  </w:pPr>
                  <w:r>
                    <w:t xml:space="preserve">3.7429</w:t>
                  </w:r>
                </w:p>
              </w:tc>
              <w:tc>
                <w:tcPr/>
                <w:p>
                  <w:pPr>
                    <w:pStyle w:val="Compact"/>
                    <w:jc w:val="center"/>
                  </w:pPr>
                  <w:r>
                    <w:t xml:space="preserve">5.1646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2.0751</w:t>
                  </w:r>
                </w:p>
              </w:tc>
              <w:tc>
                <w:tcPr/>
                <w:p>
                  <w:pPr>
                    <w:pStyle w:val="Compact"/>
                    <w:jc w:val="center"/>
                  </w:pPr>
                  <w:r>
                    <w:t xml:space="preserve">2.0288</w:t>
                  </w:r>
                </w:p>
              </w:tc>
              <w:tc>
                <w:tcPr/>
                <w:p>
                  <w:pPr>
                    <w:pStyle w:val="Compact"/>
                    <w:jc w:val="center"/>
                  </w:pPr>
                  <w:r>
                    <w:t xml:space="preserve">2.1233</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0.961</w:t>
                  </w:r>
                </w:p>
              </w:tc>
              <w:tc>
                <w:tcPr/>
                <w:p>
                  <w:pPr>
                    <w:pStyle w:val="Compact"/>
                    <w:jc w:val="center"/>
                  </w:pPr>
                  <w:r>
                    <w:t xml:space="preserve">0.9603</w:t>
                  </w:r>
                </w:p>
              </w:tc>
              <w:tc>
                <w:tcPr/>
                <w:p>
                  <w:pPr>
                    <w:pStyle w:val="Compact"/>
                    <w:jc w:val="center"/>
                  </w:pPr>
                  <w:r>
                    <w:t xml:space="preserve">0.9466</w:t>
                  </w:r>
                </w:p>
              </w:tc>
              <w:tc>
                <w:tcPr/>
                <w:p>
                  <w:pPr>
                    <w:pStyle w:val="Compact"/>
                    <w:jc w:val="center"/>
                  </w:pPr>
                  <w:r>
                    <w:t xml:space="preserve">0.9716</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6.55</w:t>
                  </w:r>
                </w:p>
              </w:tc>
              <w:tc>
                <w:tcPr/>
                <w:p>
                  <w:pPr>
                    <w:pStyle w:val="Compact"/>
                    <w:jc w:val="center"/>
                  </w:pPr>
                  <w:r>
                    <w:t xml:space="preserve">5.8805</w:t>
                  </w:r>
                </w:p>
              </w:tc>
              <w:tc>
                <w:tcPr/>
                <w:p>
                  <w:pPr>
                    <w:pStyle w:val="Compact"/>
                    <w:jc w:val="center"/>
                  </w:pPr>
                  <w:r>
                    <w:t xml:space="preserve">5.2081</w:t>
                  </w:r>
                </w:p>
              </w:tc>
              <w:tc>
                <w:tcPr/>
                <w:p>
                  <w:pPr>
                    <w:pStyle w:val="Compact"/>
                    <w:jc w:val="center"/>
                  </w:pPr>
                  <w:r>
                    <w:t xml:space="preserve">6.673</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1.7893</w:t>
                  </w:r>
                </w:p>
              </w:tc>
              <w:tc>
                <w:tcPr/>
                <w:p>
                  <w:pPr>
                    <w:pStyle w:val="Compact"/>
                    <w:jc w:val="center"/>
                  </w:pPr>
                  <w:r>
                    <w:t xml:space="preserve">1.7585</w:t>
                  </w:r>
                </w:p>
              </w:tc>
              <w:tc>
                <w:tcPr/>
                <w:p>
                  <w:pPr>
                    <w:pStyle w:val="Compact"/>
                    <w:jc w:val="center"/>
                  </w:pPr>
                  <w:r>
                    <w:t xml:space="preserve">1.8221</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0.943</w:t>
                  </w:r>
                </w:p>
              </w:tc>
              <w:tc>
                <w:tcPr/>
                <w:p>
                  <w:pPr>
                    <w:pStyle w:val="Compact"/>
                    <w:jc w:val="center"/>
                  </w:pPr>
                  <w:r>
                    <w:t xml:space="preserve">0.9412</w:t>
                  </w:r>
                </w:p>
              </w:tc>
              <w:tc>
                <w:tcPr/>
                <w:p>
                  <w:pPr>
                    <w:pStyle w:val="Compact"/>
                    <w:jc w:val="center"/>
                  </w:pPr>
                  <w:r>
                    <w:t xml:space="preserve">0.9282</w:t>
                  </w:r>
                </w:p>
              </w:tc>
              <w:tc>
                <w:tcPr/>
                <w:p>
                  <w:pPr>
                    <w:pStyle w:val="Compact"/>
                    <w:jc w:val="center"/>
                  </w:pPr>
                  <w:r>
                    <w:t xml:space="preserve">0.953</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7.8697</w:t>
                  </w:r>
                </w:p>
              </w:tc>
              <w:tc>
                <w:tcPr/>
                <w:p>
                  <w:pPr>
                    <w:pStyle w:val="Compact"/>
                    <w:jc w:val="center"/>
                  </w:pPr>
                  <w:r>
                    <w:t xml:space="preserve">6.8926</w:t>
                  </w:r>
                </w:p>
              </w:tc>
              <w:tc>
                <w:tcPr/>
                <w:p>
                  <w:pPr>
                    <w:pStyle w:val="Compact"/>
                    <w:jc w:val="center"/>
                  </w:pPr>
                  <w:r>
                    <w:t xml:space="preserve">9.1089</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1.5043</w:t>
                  </w:r>
                </w:p>
              </w:tc>
              <w:tc>
                <w:tcPr/>
                <w:p>
                  <w:pPr>
                    <w:pStyle w:val="Compact"/>
                    <w:jc w:val="center"/>
                  </w:pPr>
                  <w:r>
                    <w:t xml:space="preserve">1.4804</w:t>
                  </w:r>
                </w:p>
              </w:tc>
              <w:tc>
                <w:tcPr/>
                <w:p>
                  <w:pPr>
                    <w:pStyle w:val="Compact"/>
                    <w:jc w:val="center"/>
                  </w:pPr>
                  <w:r>
                    <w:t xml:space="preserve">1.5293</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0.9148</w:t>
                  </w:r>
                </w:p>
              </w:tc>
              <w:tc>
                <w:tcPr/>
                <w:p>
                  <w:pPr>
                    <w:pStyle w:val="Compact"/>
                    <w:jc w:val="center"/>
                  </w:pPr>
                  <w:r>
                    <w:t xml:space="preserve">0.901</w:t>
                  </w:r>
                </w:p>
              </w:tc>
              <w:tc>
                <w:tcPr/>
                <w:p>
                  <w:pPr>
                    <w:pStyle w:val="Compact"/>
                    <w:jc w:val="center"/>
                  </w:pPr>
                  <w:r>
                    <w:t xml:space="preserve">0.9272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9.771</w:t>
                  </w:r>
                </w:p>
              </w:tc>
              <w:tc>
                <w:tcPr/>
                <w:p>
                  <w:pPr>
                    <w:pStyle w:val="Compact"/>
                    <w:jc w:val="center"/>
                  </w:pPr>
                  <w:r>
                    <w:t xml:space="preserve">10.5314</w:t>
                  </w:r>
                </w:p>
              </w:tc>
              <w:tc>
                <w:tcPr/>
                <w:p>
                  <w:pPr>
                    <w:pStyle w:val="Compact"/>
                    <w:jc w:val="center"/>
                  </w:pPr>
                  <w:r>
                    <w:t xml:space="preserve">8.8045</w:t>
                  </w:r>
                </w:p>
              </w:tc>
              <w:tc>
                <w:tcPr/>
                <w:p>
                  <w:pPr>
                    <w:pStyle w:val="Compact"/>
                    <w:jc w:val="center"/>
                  </w:pPr>
                  <w:r>
                    <w:t xml:space="preserve">12.9561</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1.2187</w:t>
                  </w:r>
                </w:p>
              </w:tc>
              <w:tc>
                <w:tcPr/>
                <w:p>
                  <w:pPr>
                    <w:pStyle w:val="Compact"/>
                    <w:jc w:val="center"/>
                  </w:pPr>
                  <w:r>
                    <w:t xml:space="preserve">1.1896</w:t>
                  </w:r>
                </w:p>
              </w:tc>
              <w:tc>
                <w:tcPr/>
                <w:p>
                  <w:pPr>
                    <w:pStyle w:val="Compact"/>
                    <w:jc w:val="center"/>
                  </w:pPr>
                  <w:r>
                    <w:t xml:space="preserve">1.2488</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0.89</w:t>
                  </w:r>
                </w:p>
              </w:tc>
              <w:tc>
                <w:tcPr/>
                <w:p>
                  <w:pPr>
                    <w:pStyle w:val="Compact"/>
                    <w:jc w:val="center"/>
                  </w:pPr>
                  <w:r>
                    <w:t xml:space="preserve">0.8793</w:t>
                  </w:r>
                </w:p>
              </w:tc>
              <w:tc>
                <w:tcPr/>
                <w:p>
                  <w:pPr>
                    <w:pStyle w:val="Compact"/>
                    <w:jc w:val="center"/>
                  </w:pPr>
                  <w:r>
                    <w:t xml:space="preserve">0.859</w:t>
                  </w:r>
                </w:p>
              </w:tc>
              <w:tc>
                <w:tcPr/>
                <w:p>
                  <w:pPr>
                    <w:pStyle w:val="Compact"/>
                    <w:jc w:val="center"/>
                  </w:pPr>
                  <w:r>
                    <w:t xml:space="preserve">0.898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11.935</w:t>
                  </w:r>
                </w:p>
              </w:tc>
              <w:tc>
                <w:tcPr/>
                <w:p>
                  <w:pPr>
                    <w:pStyle w:val="Compact"/>
                    <w:jc w:val="center"/>
                  </w:pPr>
                  <w:r>
                    <w:t xml:space="preserve">14.0821</w:t>
                  </w:r>
                </w:p>
              </w:tc>
              <w:tc>
                <w:tcPr/>
                <w:p>
                  <w:pPr>
                    <w:pStyle w:val="Compact"/>
                    <w:jc w:val="center"/>
                  </w:pPr>
                  <w:r>
                    <w:t xml:space="preserve">10.9943</w:t>
                  </w:r>
                </w:p>
              </w:tc>
              <w:tc>
                <w:tcPr/>
                <w:p>
                  <w:pPr>
                    <w:pStyle w:val="Compact"/>
                    <w:jc w:val="center"/>
                  </w:pPr>
                  <w:r>
                    <w:t xml:space="preserve">18.8182</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0.9331</w:t>
                  </w:r>
                </w:p>
              </w:tc>
              <w:tc>
                <w:tcPr/>
                <w:p>
                  <w:pPr>
                    <w:pStyle w:val="Compact"/>
                    <w:jc w:val="center"/>
                  </w:pPr>
                  <w:r>
                    <w:t xml:space="preserve">0.8903</w:t>
                  </w:r>
                </w:p>
              </w:tc>
              <w:tc>
                <w:tcPr/>
                <w:p>
                  <w:pPr>
                    <w:pStyle w:val="Compact"/>
                    <w:jc w:val="center"/>
                  </w:pPr>
                  <w:r>
                    <w:t xml:space="preserve">0.978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0.852</w:t>
                  </w:r>
                </w:p>
              </w:tc>
              <w:tc>
                <w:tcPr/>
                <w:p>
                  <w:pPr>
                    <w:pStyle w:val="Compact"/>
                    <w:jc w:val="center"/>
                  </w:pPr>
                  <w:r>
                    <w:t xml:space="preserve">0.8355</w:t>
                  </w:r>
                </w:p>
              </w:tc>
              <w:tc>
                <w:tcPr/>
                <w:p>
                  <w:pPr>
                    <w:pStyle w:val="Compact"/>
                    <w:jc w:val="center"/>
                  </w:pPr>
                  <w:r>
                    <w:t xml:space="preserve">0.8005</w:t>
                  </w:r>
                </w:p>
              </w:tc>
              <w:tc>
                <w:tcPr/>
                <w:p>
                  <w:pPr>
                    <w:pStyle w:val="Compact"/>
                    <w:jc w:val="center"/>
                  </w:pPr>
                  <w:r>
                    <w:t xml:space="preserve">0.8673</w:t>
                  </w:r>
                </w:p>
              </w:tc>
            </w:tr>
            <w:tr>
              <w:tc>
                <w:tcPr/>
                <w:p>
                  <w:pPr>
                    <w:pStyle w:val="Compact"/>
                    <w:jc w:val="center"/>
                  </w:pPr>
                  <w:r>
                    <w:t xml:space="preserve">phi</w:t>
                  </w:r>
                </w:p>
              </w:tc>
              <w:tc>
                <w:tcPr/>
                <w:p>
                  <w:pPr>
                    <w:pStyle w:val="Compact"/>
                    <w:jc w:val="center"/>
                  </w:pPr>
                  <w:r>
                    <w:t xml:space="preserve">all</w:t>
                  </w:r>
                </w:p>
              </w:tc>
              <w:tc>
                <w:tcPr/>
                <w:p>
                  <w:pPr>
                    <w:pStyle w:val="Compact"/>
                    <w:jc w:val="center"/>
                  </w:pPr>
                  <w:r>
                    <w:t xml:space="preserve">5</w:t>
                  </w:r>
                </w:p>
              </w:tc>
              <w:tc>
                <w:tcPr/>
                <w:p>
                  <w:pPr>
                    <w:pStyle w:val="Compact"/>
                    <w:jc w:val="center"/>
                  </w:pPr>
                  <w:r>
                    <w:t xml:space="preserve">4.7371</w:t>
                  </w:r>
                </w:p>
              </w:tc>
              <w:tc>
                <w:tcPr/>
                <w:p>
                  <w:pPr>
                    <w:pStyle w:val="Compact"/>
                    <w:jc w:val="center"/>
                  </w:pPr>
                  <w:r>
                    <w:t xml:space="preserve">4.0814</w:t>
                  </w:r>
                </w:p>
              </w:tc>
              <w:tc>
                <w:tcPr/>
                <w:p>
                  <w:pPr>
                    <w:pStyle w:val="Compact"/>
                    <w:jc w:val="center"/>
                  </w:pPr>
                  <w:r>
                    <w:t xml:space="preserve">5.4931</w:t>
                  </w:r>
                </w:p>
              </w:tc>
            </w:tr>
          </w:tbl>
          <w:bookmarkEnd w:id="72"/>
          <w:p/>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1    30  6.79  6.41  7.31</w:t>
      </w:r>
      <w:r>
        <w:br/>
      </w:r>
      <w:r>
        <w:rPr>
          <w:rStyle w:val="VerbatimChar"/>
        </w:rPr>
        <w:t xml:space="preserve">2    32  6.82  6.44  7.36</w:t>
      </w:r>
      <w:r>
        <w:br/>
      </w:r>
      <w:r>
        <w:rPr>
          <w:rStyle w:val="VerbatimChar"/>
        </w:rPr>
        <w:t xml:space="preserve">3    34  6.85  6.47  7.41</w:t>
      </w:r>
      <w:r>
        <w:br/>
      </w:r>
      <w:r>
        <w:rPr>
          <w:rStyle w:val="VerbatimChar"/>
        </w:rPr>
        <w:t xml:space="preserve">4    36  6.88  6.48  7.44</w:t>
      </w:r>
      <w:r>
        <w:br/>
      </w:r>
      <w:r>
        <w:rPr>
          <w:rStyle w:val="VerbatimChar"/>
        </w:rPr>
        <w:t xml:space="preserve">5    38  6.90  6.49  7.47</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1          32.0         31.8         32.2</w:t>
      </w:r>
    </w:p>
    <w:p>
      <w:pPr>
        <w:pStyle w:val="FirstParagraph"/>
      </w:pPr>
      <w:r>
        <w:t xml:space="preserve">In the simple-model fit (</w:t>
      </w:r>
      <w:hyperlink w:anchor="sec-joint-derive">
        <w:r>
          <w:rPr>
            <w:rStyle w:val="Hyperlink"/>
          </w:rPr>
          <w:t xml:space="preserve">Section 1.0.4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1  6.85  6.46  7.40</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6.85 °C with 95% credible interval [6.46, 7.4]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73"/>
    <w:bookmarkEnd w:id="74"/>
    <w:bookmarkStart w:id="90" w:name="Xe7aa7dad2263dcc53896638c26df8fa36c3ac15"/>
    <w:p>
      <w:pPr>
        <w:pStyle w:val="Heading3"/>
      </w:pPr>
      <w:r>
        <w:t xml:space="preserve">1.0.7 Heat injury accumulation and survival under a realistic field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go a step further and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 the second-step prediction discussed in the manuscript (Equation 9 of the manuscript).</w:t>
      </w:r>
    </w:p>
    <w:p>
      <w:pPr>
        <w:pStyle w:val="BodyText"/>
      </w:pPr>
      <w:r>
        <w:t xml:space="preserve">Below we apply both calculations to a realistic 5-day field temperature trace using the posterior of</w:t>
      </w:r>
      <w:r>
        <w:t xml:space="preserve"> </w:t>
      </w:r>
      <w:r>
        <w:rPr>
          <w:rStyle w:val="VerbatimChar"/>
        </w:rPr>
        <w:t xml:space="preserve">fit_bb</w:t>
      </w:r>
      <w:r>
        <w:t xml:space="preserve"> </w:t>
      </w:r>
      <w:r>
        <w:t xml:space="preserve">derived in</w:t>
      </w:r>
      <w:r>
        <w:t xml:space="preserve"> </w:t>
      </w:r>
      <w:hyperlink w:anchor="sec-joint-derive">
        <w:r>
          <w:rPr>
            <w:rStyle w:val="Hyperlink"/>
          </w:rPr>
          <w:t xml:space="preserve">Section 1.0.4</w:t>
        </w:r>
      </w:hyperlink>
      <w:r>
        <w:t xml:space="preserve">.</w:t>
      </w:r>
    </w:p>
    <w:bookmarkStart w:id="79" w:name="X2565bbe8bf2ef4bf1ac0b43de14fb322f1e6d4c"/>
    <w:p>
      <w:pPr>
        <w:pStyle w:val="Heading4"/>
      </w:pPr>
      <w:r>
        <w:t xml:space="preserve">1.0.7.1 A simulated temperature profile across 5 days</w:t>
      </w:r>
    </w:p>
    <w:p>
      <w:pPr>
        <w:pStyle w:val="FirstParagraph"/>
      </w:pPr>
      <w:r>
        <w:t xml:space="preserve">To mimic conditions a moderately heat-tolerant ectotherm might experience over a temperate-zone late-spring period, we generate 5 days of hourly temperatures with a sinusoidal diurnal cycle, ranging from 12°C overnight to a midday peak of 24°C.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20°C. Injury accumulates only during the warmer part of each day.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(from</w:t>
      </w:r>
      <w:r>
        <w:t xml:space="preserve"> </w:t>
      </w:r>
      <w:r>
        <w:rPr>
          <w:rStyle w:val="VerbatimChar"/>
        </w:rPr>
        <w:t xml:space="preserve">true_params</w:t>
      </w:r>
      <w:r>
        <w:t xml:space="preserve"> </w:t>
      </w:r>
      <w:r>
        <w:t xml:space="preserve">in</w:t>
      </w:r>
      <w:r>
        <w:t xml:space="preserve"> </w:t>
      </w:r>
      <w:hyperlink w:anchor="sec-sim-step1">
        <w:r>
          <w:rPr>
            <w:rStyle w:val="Hyperlink"/>
          </w:rPr>
          <w:t xml:space="preserve">Section 1.0.1.1</w:t>
        </w:r>
      </w:hyperlink>
      <w:r>
        <w:t xml:space="preserve">), so the daily peak at 24°C remains 8°C below the 1-hour critical limit — moderate, sub-lethal heat stress that builds cumulatively across days.</w:t>
      </w:r>
    </w:p>
    <w:p>
      <w:pPr>
        <w:pStyle w:val="SourceCode"/>
      </w:pPr>
      <w:r>
        <w:rPr>
          <w:rStyle w:val="CommentTok"/>
        </w:rPr>
        <w:t xml:space="preserve"># Hourly temperature trace: 5 days, sinusoidal diurnal cycle</w:t>
      </w:r>
      <w:r>
        <w:br/>
      </w:r>
      <w:r>
        <w:rPr>
          <w:rStyle w:val="NormalTok"/>
        </w:rPr>
        <w:t xml:space="preserve">hi_hours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hi_T_traj </w:t>
      </w:r>
      <w:r>
        <w:rPr>
          <w:rStyle w:val="Othe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(hi_hours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78" w:name="fig-hi-trace"/>
          <w:p>
            <w:pPr>
              <w:jc w:val="center"/>
            </w:pPr>
            <w:r>
              <w:drawing>
                <wp:inline>
                  <wp:extent cx="5943600" cy="2122714"/>
                  <wp:effectExtent b="0" l="0" r="0" t="0"/>
                  <wp:docPr descr="" title="" id="76" name="Picture"/>
                  <a:graphic>
                    <a:graphicData uri="http://schemas.openxmlformats.org/drawingml/2006/picture">
                      <pic:pic>
                        <pic:nvPicPr>
                          <pic:cNvPr descr="supplement_files/figure-docx/plot-hi-trace-1.png" id="77" name="Picture"/>
                          <pic:cNvPicPr>
                            <a:picLocks noChangeArrowheads="1" noChangeAspect="1"/>
                          </pic:cNvPicPr>
                        </pic:nvPicPr>
                        <pic:blipFill>
                          <a:blip r:embed="rId75"/>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5-day diurnal temperature trace used for the heat-injury and survival predictions.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78"/>
        </w:tc>
      </w:tr>
    </w:tbl>
    <w:bookmarkEnd w:id="79"/>
    <w:bookmarkStart w:id="84" w:name="Xe6877a6f5dc983cb0dd5eab502e7dafa22c855c"/>
    <w:p>
      <w:pPr>
        <w:pStyle w:val="Heading4"/>
      </w:pPr>
      <w:r>
        <w:t xml:space="preserve">1.0.7.2 HI accumulation with full posterior uncertainty</w:t>
      </w:r>
    </w:p>
    <w:p>
      <w:pPr>
        <w:pStyle w:val="FirstParagraph"/>
      </w:pPr>
      <w:r>
        <w:t xml:space="preserve">For each posterior sample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we evaluate the HI integral (Equation 7 of the manuscript) across the temperature trace. Each sample produces one possible HI(</w:t>
      </w:r>
      <m:oMath>
        <m:r>
          <m:t>t</m:t>
        </m:r>
      </m:oMath>
      <w:r>
        <w:t xml:space="preserve">) trajectory. The posterior median and 95% credible interval at every hour will then summarise the prediction with full parameter uncertainty.</w:t>
      </w:r>
    </w:p>
    <w:p>
      <w:pPr>
        <w:pStyle w:val="SourceCode"/>
      </w:pPr>
      <w:r>
        <w:rPr>
          <w:rStyle w:val="CommentTok"/>
        </w:rPr>
        <w:t xml:space="preserve"># Subsample 500 posterior draws from the beta-binomial fit for speed.</w:t>
      </w:r>
      <w:r>
        <w:br/>
      </w:r>
      <w:r>
        <w:rPr>
          <w:rStyle w:val="FunctionTok"/>
        </w:rPr>
        <w:t xml:space="preserve">set.seed</w:t>
      </w:r>
      <w:r>
        <w:rPr>
          <w:rStyle w:val="NormalTok"/>
        </w:rPr>
        <w:t xml:space="preserve">(</w:t>
      </w:r>
      <w:r>
        <w:rPr>
          <w:rStyle w:val="DecValTok"/>
        </w:rPr>
        <w:t xml:space="preserve">20260507</w:t>
      </w:r>
      <w:r>
        <w:rPr>
          <w:rStyle w:val="NormalTok"/>
        </w:rPr>
        <w:t xml:space="preserve">)</w:t>
      </w:r>
      <w:r>
        <w:br/>
      </w:r>
      <w:r>
        <w:rPr>
          <w:rStyle w:val="NormalTok"/>
        </w:rPr>
        <w:t xml:space="preserve">hi_draws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w:t>
      </w:r>
      <w:r>
        <w:br/>
      </w:r>
      <w:r>
        <w:br/>
      </w:r>
      <w:r>
        <w:rPr>
          <w:rStyle w:val="CommentTok"/>
        </w:rPr>
        <w:t xml:space="preserve"># Build the (n_hours × n_draws) rate matrix and cumsum down each column.</w:t>
      </w:r>
      <w:r>
        <w:br/>
      </w:r>
      <w:r>
        <w:rPr>
          <w:rStyle w:val="NormalTok"/>
        </w:rPr>
        <w:t xml:space="preserve">n_h </w:t>
      </w:r>
      <w:r>
        <w:rPr>
          <w:rStyle w:val="OtherTok"/>
        </w:rPr>
        <w:t xml:space="preserve">&lt;-</w:t>
      </w:r>
      <w:r>
        <w:rPr>
          <w:rStyle w:val="NormalTok"/>
        </w:rPr>
        <w:t xml:space="preserve"> </w:t>
      </w:r>
      <w:r>
        <w:rPr>
          <w:rStyle w:val="FunctionTok"/>
        </w:rPr>
        <w:t xml:space="preserve">length</w:t>
      </w:r>
      <w:r>
        <w:rPr>
          <w:rStyle w:val="NormalTok"/>
        </w:rPr>
        <w:t xml:space="preserve">(hi_T_traj)</w:t>
      </w:r>
      <w:r>
        <w:br/>
      </w:r>
      <w:r>
        <w:rPr>
          <w:rStyle w:val="NormalTok"/>
        </w:rPr>
        <w:t xml:space="preserve">n_d </w:t>
      </w:r>
      <w:r>
        <w:rPr>
          <w:rStyle w:val="OtherTok"/>
        </w:rPr>
        <w:t xml:space="preserve">&lt;-</w:t>
      </w:r>
      <w:r>
        <w:rPr>
          <w:rStyle w:val="NormalTok"/>
        </w:rPr>
        <w:t xml:space="preserve"> </w:t>
      </w:r>
      <w:r>
        <w:rPr>
          <w:rStyle w:val="FunctionTok"/>
        </w:rPr>
        <w:t xml:space="preserve">nrow</w:t>
      </w:r>
      <w:r>
        <w:rPr>
          <w:rStyle w:val="NormalTok"/>
        </w:rPr>
        <w:t xml:space="preserve">(hi_draws)</w:t>
      </w:r>
      <w:r>
        <w:br/>
      </w:r>
      <w:r>
        <w:br/>
      </w:r>
      <w:r>
        <w:rPr>
          <w:rStyle w:val="NormalTok"/>
        </w:rPr>
        <w:t xml:space="preserve">T_mat  </w:t>
      </w:r>
      <w:r>
        <w:rPr>
          <w:rStyle w:val="OtherTok"/>
        </w:rPr>
        <w:t xml:space="preserve">&lt;-</w:t>
      </w:r>
      <w:r>
        <w:rPr>
          <w:rStyle w:val="NormalTok"/>
        </w:rPr>
        <w:t xml:space="preserve"> </w:t>
      </w:r>
      <w:r>
        <w:rPr>
          <w:rStyle w:val="FunctionTok"/>
        </w:rPr>
        <w:t xml:space="preserve">matrix</w:t>
      </w:r>
      <w:r>
        <w:rPr>
          <w:rStyle w:val="NormalTok"/>
        </w:rPr>
        <w:t xml:space="preserve">(hi_T_traj, n_h, n_d)</w:t>
      </w:r>
      <w:r>
        <w:br/>
      </w:r>
      <w:r>
        <w:rPr>
          <w:rStyle w:val="NormalTok"/>
        </w:rPr>
        <w:t xml:space="preserve">CT_mat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CTmax_1hr,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z,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rates of HI accumulation from our posterior samples of z and CTmax for the given temperature time series</w:t>
      </w:r>
      <w:r>
        <w:br/>
      </w:r>
      <w:r>
        <w:rPr>
          <w:rStyle w:val="NormalTok"/>
        </w:rPr>
        <w:t xml:space="preserve">rates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((T_mat </w:t>
      </w:r>
      <w:r>
        <w:rPr>
          <w:rStyle w:val="SpecialCharTok"/>
        </w:rPr>
        <w:t xml:space="preserve">-</w:t>
      </w:r>
      <w:r>
        <w:rPr>
          <w:rStyle w:val="NormalTok"/>
        </w:rPr>
        <w:t xml:space="preserve"> CT_mat) </w:t>
      </w:r>
      <w:r>
        <w:rPr>
          <w:rStyle w:val="SpecialCharTok"/>
        </w:rPr>
        <w:t xml:space="preserve">/</w:t>
      </w:r>
      <w:r>
        <w:rPr>
          <w:rStyle w:val="NormalTok"/>
        </w:rPr>
        <w:t xml:space="preserve"> z_mat)</w:t>
      </w:r>
      <w:r>
        <w:br/>
      </w:r>
      <w:r>
        <w:rPr>
          <w:rStyle w:val="NormalTok"/>
        </w:rPr>
        <w:t xml:space="preserve">rates[T_mat </w:t>
      </w:r>
      <w:r>
        <w:rPr>
          <w:rStyle w:val="SpecialCharTok"/>
        </w:rPr>
        <w:t xml:space="preserve">&lt;=</w:t>
      </w:r>
      <w:r>
        <w:rPr>
          <w:rStyle w:val="NormalTok"/>
        </w:rPr>
        <w:t xml:space="preserve"> hi_T_c] </w:t>
      </w:r>
      <w:r>
        <w:rPr>
          <w:rStyle w:val="OtherTok"/>
        </w:rPr>
        <w:t xml:space="preserve">&lt;-</w:t>
      </w:r>
      <w:r>
        <w:rPr>
          <w:rStyle w:val="NormalTok"/>
        </w:rPr>
        <w:t xml:space="preserve"> </w:t>
      </w:r>
      <w:r>
        <w:rPr>
          <w:rStyle w:val="DecValTok"/>
        </w:rPr>
        <w:t xml:space="preserve">0</w:t>
      </w:r>
      <w:r>
        <w:br/>
      </w:r>
      <w:r>
        <w:rPr>
          <w:rStyle w:val="NormalTok"/>
        </w:rPr>
        <w:t xml:space="preserve">HI_traj            </w:t>
      </w:r>
      <w:r>
        <w:rPr>
          <w:rStyle w:val="OtherTok"/>
        </w:rPr>
        <w:t xml:space="preserve">&lt;-</w:t>
      </w:r>
      <w:r>
        <w:rPr>
          <w:rStyle w:val="NormalTok"/>
        </w:rPr>
        <w:t xml:space="preserve"> </w:t>
      </w:r>
      <w:r>
        <w:rPr>
          <w:rStyle w:val="FunctionTok"/>
        </w:rPr>
        <w:t xml:space="preserve">apply</w:t>
      </w:r>
      <w:r>
        <w:rPr>
          <w:rStyle w:val="NormalTok"/>
        </w:rPr>
        <w:t xml:space="preserve">(rates, </w:t>
      </w:r>
      <w:r>
        <w:rPr>
          <w:rStyle w:val="DecValTok"/>
        </w:rPr>
        <w:t xml:space="preserve">2</w:t>
      </w:r>
      <w:r>
        <w:rPr>
          <w:rStyle w:val="NormalTok"/>
        </w:rPr>
        <w:t xml:space="preserve">, cumsum)</w:t>
      </w:r>
      <w:r>
        <w:br/>
      </w:r>
      <w:r>
        <w:rPr>
          <w:rStyle w:val="NormalTok"/>
        </w:rPr>
        <w:t xml:space="preserve">HI_traj[HI_traj </w:t>
      </w:r>
      <w:r>
        <w:rPr>
          <w:rStyle w:val="SpecialCharTok"/>
        </w:rPr>
        <w:t xml:space="preserve">&gt;</w:t>
      </w:r>
      <w:r>
        <w:rPr>
          <w:rStyle w:val="NormalTok"/>
        </w:rPr>
        <w:t xml:space="preserve"> </w:t>
      </w:r>
      <w:r>
        <w:rPr>
          <w:rStyle w:val="DecValTok"/>
        </w:rPr>
        <w:t xml:space="preserve">200</w:t>
      </w:r>
      <w:r>
        <w:rPr>
          <w:rStyle w:val="NormalTok"/>
        </w:rPr>
        <w:t xml:space="preserve">] </w:t>
      </w:r>
      <w:r>
        <w:rPr>
          <w:rStyle w:val="OtherTok"/>
        </w:rPr>
        <w:t xml:space="preserve">&lt;-</w:t>
      </w:r>
      <w:r>
        <w:rPr>
          <w:rStyle w:val="NormalTok"/>
        </w:rPr>
        <w:t xml:space="preserve"> </w:t>
      </w:r>
      <w:r>
        <w:rPr>
          <w:rStyle w:val="DecValTok"/>
        </w:rPr>
        <w:t xml:space="preserve">200</w:t>
      </w:r>
      <w:r>
        <w:rPr>
          <w:rStyle w:val="NormalTok"/>
        </w:rPr>
        <w:t xml:space="preserve"> </w:t>
      </w:r>
      <w:r>
        <w:rPr>
          <w:rStyle w:val="CommentTok"/>
        </w:rPr>
        <w:t xml:space="preserve"># Cap at 200% because survival can't go beyond that.</w:t>
      </w:r>
      <w:r>
        <w:br/>
      </w:r>
      <w:r>
        <w:br/>
      </w:r>
      <w:r>
        <w:rPr>
          <w:rStyle w:val="CommentTok"/>
        </w:rPr>
        <w:t xml:space="preserve"># Create a summary table that takes the median and 95% CI across the posterior samples for each hour. </w:t>
      </w:r>
      <w:r>
        <w:br/>
      </w:r>
      <w:r>
        <w:rPr>
          <w:rStyle w:val="NormalTok"/>
        </w:rPr>
        <w:t xml:space="preserve">hi_summary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3" w:name="fig-hi-accumulation"/>
          <w:p>
            <w:pPr>
              <w:jc w:val="center"/>
            </w:pPr>
            <w:r>
              <w:drawing>
                <wp:inline>
                  <wp:extent cx="5943600" cy="2971800"/>
                  <wp:effectExtent b="0" l="0" r="0" t="0"/>
                  <wp:docPr descr="" title="" id="81" name="Picture"/>
                  <a:graphic>
                    <a:graphicData uri="http://schemas.openxmlformats.org/drawingml/2006/picture">
                      <pic:pic>
                        <pic:nvPicPr>
                          <pic:cNvPr descr="supplement_files/figure-docx/plot-hi-accumulation-1.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Posterior cumulative heat-injury trajectory under the 5-day field trace. Solid line is the posterior median across 500 draws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t>
            </w:r>
            <w:r>
              <w:t xml:space="preserve">from</w:t>
            </w:r>
            <w:r>
              <w:t xml:space="preserve"> </w:t>
            </w:r>
            <w:r>
              <w:rPr>
                <w:rStyle w:val="VerbatimChar"/>
              </w:rPr>
              <w:t xml:space="preserve">fit_bb</w:t>
            </w:r>
            <w:r>
              <w:t xml:space="preserve">; shaded band is the 95% credible interval. The dashed line marks the</w:t>
            </w:r>
            <w:r>
              <w:t xml:space="preserve"> </w:t>
            </w:r>
            <m:oMath>
              <m:r>
                <m:t>L</m:t>
              </m:r>
              <m:sSub>
                <m:e>
                  <m:r>
                    <m:t>T</m:t>
                  </m:r>
                </m:e>
                <m:sub>
                  <m:r>
                    <m:t>50</m:t>
                  </m:r>
                </m:sub>
              </m:sSub>
            </m:oMath>
            <w:r>
              <w:t xml:space="preserve"> </w:t>
            </w:r>
            <w:r>
              <w:t xml:space="preserve">threshold (</w:t>
            </w:r>
            <m:oMath>
              <m:r>
                <m:t>H</m:t>
              </m:r>
              <m:r>
                <m:t>I</m:t>
              </m:r>
              <m:r>
                <m:rPr>
                  <m:sty m:val="p"/>
                </m:rPr>
                <m:t>=</m:t>
              </m:r>
              <m:r>
                <m:t>100</m:t>
              </m:r>
              <m:r>
                <m:rPr>
                  <m:sty m:val="p"/>
                </m:rPr>
                <m:t>%</m:t>
              </m:r>
            </m:oMath>
            <w:r>
              <w:t xml:space="preserve">), which the population is predicted to cross by day 3.</w:t>
            </w:r>
          </w:p>
          <w:bookmarkEnd w:id="83"/>
        </w:tc>
      </w:tr>
    </w:tbl>
    <w:p>
      <w:pPr>
        <w:pStyle w:val="BodyText"/>
      </w:pPr>
      <w:r>
        <w:t xml:space="preserve">By the end of day 5 the posterior median HI is 192% (95% CI: 159% to 200%) — i.e., the population has accumulated roughly 1.9</w:t>
      </w:r>
      <w:r>
        <w:t xml:space="preserve"> </w:t>
      </w:r>
      <m:oMath>
        <m:r>
          <m:rPr>
            <m:sty m:val="p"/>
          </m:rPr>
          <m:t>×</m:t>
        </m:r>
      </m:oMath>
      <w:r>
        <w:t xml:space="preserve"> </w:t>
      </w:r>
      <w:r>
        <w:t xml:space="preserve">the lethal dose under this exposure.</w:t>
      </w:r>
    </w:p>
    <w:bookmarkEnd w:id="84"/>
    <w:bookmarkStart w:id="89" w:name="Xb3b11273ea892ff4aeb7c2ae041ff3fdc5de6b0"/>
    <w:p>
      <w:pPr>
        <w:pStyle w:val="Heading4"/>
      </w:pPr>
      <w:r>
        <w:t xml:space="preserve">1.0.7.3 Predicting survival from the full 4PL surface</w:t>
      </w:r>
    </w:p>
    <w:p>
      <w:pPr>
        <w:pStyle w:val="FirstParagraph"/>
      </w:pPr>
      <w:r>
        <w:t xml:space="preserve">The HI integral compresses the trajectory into a single threshold-crossing summary. The joint Bayesian 4PL fit also lets us predict the</w:t>
      </w:r>
      <w:r>
        <w:t xml:space="preserve"> </w:t>
      </w:r>
      <w:r>
        <w:rPr>
          <w:i/>
          <w:iCs/>
        </w:rPr>
        <w:t xml:space="preserve">full</w:t>
      </w:r>
      <w:r>
        <w:t xml:space="preserve"> </w:t>
      </w:r>
      <w:r>
        <w:t xml:space="preserve">survival fraction</w:t>
      </w:r>
      <w:r>
        <w:t xml:space="preserve"> </w:t>
      </w:r>
      <m:oMath>
        <m:sSub>
          <m:e>
            <m:r>
              <m:t>S</m:t>
            </m:r>
          </m:e>
          <m:sub>
            <m:r>
              <m:rPr>
                <m:nor/>
                <m:sty m:val="p"/>
              </m:rPr>
              <m:t>pred</m:t>
            </m:r>
          </m:sub>
        </m:sSub>
        <m:d>
          <m:dPr>
            <m:begChr m:val="("/>
            <m:sepChr m:val=""/>
            <m:endChr m:val=")"/>
            <m:grow/>
          </m:dPr>
          <m:e>
            <m:r>
              <m:t>t</m:t>
            </m:r>
          </m:e>
        </m:d>
      </m:oMath>
      <w:r>
        <w:t xml:space="preserve"> </w:t>
      </w:r>
      <w:r>
        <w:t xml:space="preserve">at every time point along the trace, by accumulating effective exposure time at a reference temperature and reading survival off the dose-response surface at the cumulative effective time (Equation 9 of the manuscript). We use</w:t>
      </w:r>
      <w:r>
        <w:t xml:space="preserve"> </w:t>
      </w:r>
      <m:oMath>
        <m:sSub>
          <m:e>
            <m:r>
              <m:t>T</m:t>
            </m:r>
          </m:e>
          <m:sub>
            <m:r>
              <m:rPr>
                <m:nor/>
                <m:sty m:val="p"/>
              </m:rPr>
              <m:t>ref</m:t>
            </m:r>
          </m:sub>
        </m:sSub>
        <m:r>
          <m:rPr>
            <m:sty m:val="p"/>
          </m:rPr>
          <m:t>=</m:t>
        </m:r>
        <m:acc>
          <m:accPr>
            <m:chr m:val="‾"/>
          </m:accPr>
          <m:e>
            <m:r>
              <m:t>T</m:t>
            </m:r>
          </m:e>
        </m:acc>
        <m:r>
          <m:rPr>
            <m:sty m:val="p"/>
          </m:rPr>
          <m:t>=</m:t>
        </m:r>
        <m:r>
          <m:t>34</m:t>
        </m:r>
      </m:oMath>
      <w:r>
        <w:t xml:space="preserve"> </w:t>
      </w:r>
      <w:r>
        <w:t xml:space="preserve">°C — the grand-mean temperature of the original assays — so the surface is evaluated at the most data-rich part of the dose-response.</w:t>
      </w:r>
    </w:p>
    <w:p>
      <w:pPr>
        <w:pStyle w:val="SourceCode"/>
      </w:pPr>
      <w:r>
        <w:rPr>
          <w:rStyle w:val="NormalTok"/>
        </w:rPr>
        <w:t xml:space="preserve">T_ref </w:t>
      </w:r>
      <w:r>
        <w:rPr>
          <w:rStyle w:val="OtherTok"/>
        </w:rPr>
        <w:t xml:space="preserve">&lt;-</w:t>
      </w:r>
      <w:r>
        <w:rPr>
          <w:rStyle w:val="NormalTok"/>
        </w:rPr>
        <w:t xml:space="preserve"> true_params</w:t>
      </w:r>
      <w:r>
        <w:rPr>
          <w:rStyle w:val="SpecialCharTok"/>
        </w:rPr>
        <w:t xml:space="preserve">$</w:t>
      </w:r>
      <w:r>
        <w:rPr>
          <w:rStyle w:val="NormalTok"/>
        </w:rPr>
        <w:t xml:space="preserve">T_bar</w:t>
      </w:r>
      <w:r>
        <w:br/>
      </w:r>
      <w:r>
        <w:br/>
      </w:r>
      <w:r>
        <w:rPr>
          <w:rStyle w:val="CommentTok"/>
        </w:rPr>
        <w:t xml:space="preserve"># For each draw, accumulate effective minutes at T_ref, then evaluate the 4PL.</w:t>
      </w:r>
      <w:r>
        <w:br/>
      </w:r>
      <w:r>
        <w:rPr>
          <w:rStyle w:val="NormalTok"/>
        </w:rPr>
        <w:t xml:space="preserve">S_traj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n_h, n_d)</w:t>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FunctionTok"/>
        </w:rPr>
        <w:t xml:space="preserve">seq_len</w:t>
      </w:r>
      <w:r>
        <w:rPr>
          <w:rStyle w:val="NormalTok"/>
        </w:rPr>
        <w:t xml:space="preserve">(n_d)) {</w:t>
      </w:r>
      <w:r>
        <w:br/>
      </w:r>
      <w:r>
        <w:rPr>
          <w:rStyle w:val="NormalTok"/>
        </w:rPr>
        <w:t xml:space="preserve">  z_d     </w:t>
      </w:r>
      <w:r>
        <w:rPr>
          <w:rStyle w:val="OtherTok"/>
        </w:rPr>
        <w:t xml:space="preserve">&lt;-</w:t>
      </w:r>
      <w:r>
        <w:rPr>
          <w:rStyle w:val="NormalTok"/>
        </w:rPr>
        <w:t xml:space="preserve"> hi_draws</w:t>
      </w:r>
      <w:r>
        <w:rPr>
          <w:rStyle w:val="SpecialCharTok"/>
        </w:rPr>
        <w:t xml:space="preserve">$</w:t>
      </w:r>
      <w:r>
        <w:rPr>
          <w:rStyle w:val="NormalTok"/>
        </w:rPr>
        <w:t xml:space="preserve">z[d]</w:t>
      </w:r>
      <w:r>
        <w:br/>
      </w:r>
      <w:r>
        <w:rPr>
          <w:rStyle w:val="NormalTok"/>
        </w:rPr>
        <w:t xml:space="preserve">  ell_d   </w:t>
      </w:r>
      <w:r>
        <w:rPr>
          <w:rStyle w:val="OtherTok"/>
        </w:rPr>
        <w:t xml:space="preserve">&lt;-</w:t>
      </w:r>
      <w:r>
        <w:rPr>
          <w:rStyle w:val="NormalTok"/>
        </w:rPr>
        <w:t xml:space="preserve"> hi_draws</w:t>
      </w:r>
      <w:r>
        <w:rPr>
          <w:rStyle w:val="SpecialCharTok"/>
        </w:rPr>
        <w:t xml:space="preserve">$</w:t>
      </w:r>
      <w:r>
        <w:rPr>
          <w:rStyle w:val="NormalTok"/>
        </w:rPr>
        <w:t xml:space="preserve">b_ell_Intercept[d]</w:t>
      </w:r>
      <w:r>
        <w:br/>
      </w:r>
      <w:r>
        <w:rPr>
          <w:rStyle w:val="NormalTok"/>
        </w:rPr>
        <w:t xml:space="preserve">  u_d     </w:t>
      </w:r>
      <w:r>
        <w:rPr>
          <w:rStyle w:val="OtherTok"/>
        </w:rPr>
        <w:t xml:space="preserve">&lt;-</w:t>
      </w:r>
      <w:r>
        <w:rPr>
          <w:rStyle w:val="NormalTok"/>
        </w:rPr>
        <w:t xml:space="preserve"> hi_draws</w:t>
      </w:r>
      <w:r>
        <w:rPr>
          <w:rStyle w:val="SpecialCharTok"/>
        </w:rPr>
        <w:t xml:space="preserve">$</w:t>
      </w:r>
      <w:r>
        <w:rPr>
          <w:rStyle w:val="NormalTok"/>
        </w:rPr>
        <w:t xml:space="preserve">b_u_Intercept[d]</w:t>
      </w:r>
      <w:r>
        <w:br/>
      </w:r>
      <w:r>
        <w:rPr>
          <w:rStyle w:val="NormalTok"/>
        </w:rPr>
        <w:t xml:space="preserve">  k_d     </w:t>
      </w:r>
      <w:r>
        <w:rPr>
          <w:rStyle w:val="OtherTok"/>
        </w:rPr>
        <w:t xml:space="preserve">&lt;-</w:t>
      </w:r>
      <w:r>
        <w:rPr>
          <w:rStyle w:val="NormalTok"/>
        </w:rPr>
        <w:t xml:space="preserve"> hi_draws</w:t>
      </w:r>
      <w:r>
        <w:rPr>
          <w:rStyle w:val="SpecialCharTok"/>
        </w:rPr>
        <w:t xml:space="preserve">$</w:t>
      </w:r>
      <w:r>
        <w:rPr>
          <w:rStyle w:val="NormalTok"/>
        </w:rPr>
        <w:t xml:space="preserve">b_k_Intercept[d]</w:t>
      </w:r>
      <w:r>
        <w:br/>
      </w:r>
      <w:r>
        <w:rPr>
          <w:rStyle w:val="NormalTok"/>
        </w:rPr>
        <w:t xml:space="preserve">  beta0_d </w:t>
      </w:r>
      <w:r>
        <w:rPr>
          <w:rStyle w:val="OtherTok"/>
        </w:rPr>
        <w:t xml:space="preserve">&lt;-</w:t>
      </w:r>
      <w:r>
        <w:rPr>
          <w:rStyle w:val="NormalTok"/>
        </w:rPr>
        <w:t xml:space="preserve"> hi_draws</w:t>
      </w:r>
      <w:r>
        <w:rPr>
          <w:rStyle w:val="SpecialCharTok"/>
        </w:rPr>
        <w:t xml:space="preserve">$</w:t>
      </w:r>
      <w:r>
        <w:rPr>
          <w:rStyle w:val="NormalTok"/>
        </w:rPr>
        <w:t xml:space="preserve">b_mid_Intercept[d]   </w:t>
      </w:r>
      <w:r>
        <w:rPr>
          <w:rStyle w:val="CommentTok"/>
        </w:rPr>
        <w:t xml:space="preserve"># midpoint at T_bar (in log10-min)</w:t>
      </w:r>
      <w:r>
        <w:br/>
      </w:r>
      <w:r>
        <w:br/>
      </w:r>
      <w:r>
        <w:rPr>
          <w:rStyle w:val="NormalTok"/>
        </w:rPr>
        <w:t xml:space="preserve">  </w:t>
      </w:r>
      <w:r>
        <w:rPr>
          <w:rStyle w:val="CommentTok"/>
        </w:rPr>
        <w:t xml:space="preserve"># Effective-time increment in MINUTES per hourly bin at T_ref = T_bar.</w:t>
      </w:r>
      <w:r>
        <w:br/>
      </w:r>
      <w:r>
        <w:rPr>
          <w:rStyle w:val="NormalTok"/>
        </w:rPr>
        <w:t xml:space="preserve">  inc_min     </w:t>
      </w:r>
      <w:r>
        <w:rPr>
          <w:rStyle w:val="OtherTok"/>
        </w:rPr>
        <w:t xml:space="preserve">&lt;-</w:t>
      </w:r>
      <w:r>
        <w:rPr>
          <w:rStyle w:val="NormalTok"/>
        </w:rPr>
        <w:t xml:space="preserve"> </w:t>
      </w:r>
      <w:r>
        <w:rPr>
          <w:rStyle w:val="FunctionTok"/>
        </w:rPr>
        <w:t xml:space="preserve">ifelse</w:t>
      </w:r>
      <w:r>
        <w:rPr>
          <w:rStyle w:val="NormalTok"/>
        </w:rPr>
        <w:t xml:space="preserve">(hi_T_traj </w:t>
      </w:r>
      <w:r>
        <w:rPr>
          <w:rStyle w:val="SpecialCharTok"/>
        </w:rPr>
        <w:t xml:space="preserve">&gt;</w:t>
      </w:r>
      <w:r>
        <w:rPr>
          <w:rStyle w:val="NormalTok"/>
        </w:rPr>
        <w:t xml:space="preserve"> hi_T_c,</w:t>
      </w:r>
      <w:r>
        <w:br/>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((hi_T_traj </w:t>
      </w:r>
      <w:r>
        <w:rPr>
          <w:rStyle w:val="SpecialCharTok"/>
        </w:rPr>
        <w:t xml:space="preserve">-</w:t>
      </w:r>
      <w:r>
        <w:rPr>
          <w:rStyle w:val="NormalTok"/>
        </w:rPr>
        <w:t xml:space="preserve"> T_ref) </w:t>
      </w:r>
      <w:r>
        <w:rPr>
          <w:rStyle w:val="SpecialCharTok"/>
        </w:rPr>
        <w:t xml:space="preserve">/</w:t>
      </w:r>
      <w:r>
        <w:rPr>
          <w:rStyle w:val="NormalTok"/>
        </w:rPr>
        <w:t xml:space="preserve"> z_d),</w:t>
      </w:r>
      <w:r>
        <w:br/>
      </w:r>
      <w:r>
        <w:rPr>
          <w:rStyle w:val="NormalTok"/>
        </w:rPr>
        <w:t xml:space="preserve">                        </w:t>
      </w:r>
      <w:r>
        <w:rPr>
          <w:rStyle w:val="DecValTok"/>
        </w:rPr>
        <w:t xml:space="preserve">0</w:t>
      </w:r>
      <w:r>
        <w:rPr>
          <w:rStyle w:val="NormalTok"/>
        </w:rPr>
        <w:t xml:space="preserve">)</w:t>
      </w:r>
      <w:r>
        <w:br/>
      </w:r>
      <w:r>
        <w:rPr>
          <w:rStyle w:val="NormalTok"/>
        </w:rPr>
        <w:t xml:space="preserve">  tau_eff_min </w:t>
      </w:r>
      <w:r>
        <w:rPr>
          <w:rStyle w:val="OtherTok"/>
        </w:rPr>
        <w:t xml:space="preserve">&lt;-</w:t>
      </w:r>
      <w:r>
        <w:rPr>
          <w:rStyle w:val="NormalTok"/>
        </w:rPr>
        <w:t xml:space="preserve"> </w:t>
      </w:r>
      <w:r>
        <w:rPr>
          <w:rStyle w:val="FunctionTok"/>
        </w:rPr>
        <w:t xml:space="preserve">cumsum</w:t>
      </w:r>
      <w:r>
        <w:rPr>
          <w:rStyle w:val="NormalTok"/>
        </w:rPr>
        <w:t xml:space="preserve">(inc_min)</w:t>
      </w:r>
      <w:r>
        <w:br/>
      </w:r>
      <w:r>
        <w:br/>
      </w:r>
      <w:r>
        <w:rPr>
          <w:rStyle w:val="NormalTok"/>
        </w:rPr>
        <w:t xml:space="preserve">  </w:t>
      </w:r>
      <w:r>
        <w:rPr>
          <w:rStyle w:val="CommentTok"/>
        </w:rPr>
        <w:t xml:space="preserve"># 4PL surface evaluated at (T_ref, tau_eff). Note that tau_eff_min can be 0, and log10(0)is infinity so we used .Machine$double.eps to identify and replace any zeros with a very small number 2.22x10^-16 to avoid conversion problems</w:t>
      </w:r>
      <w:r>
        <w:br/>
      </w:r>
      <w:r>
        <w:rPr>
          <w:rStyle w:val="NormalTok"/>
        </w:rPr>
        <w:t xml:space="preserve">  log10_tau   </w:t>
      </w:r>
      <w:r>
        <w:rPr>
          <w:rStyle w:val="OtherTok"/>
        </w:rPr>
        <w:t xml:space="preserve">&lt;-</w:t>
      </w:r>
      <w:r>
        <w:rPr>
          <w:rStyle w:val="NormalTok"/>
        </w:rPr>
        <w:t xml:space="preserve"> </w:t>
      </w:r>
      <w:r>
        <w:rPr>
          <w:rStyle w:val="FunctionTok"/>
        </w:rPr>
        <w:t xml:space="preserve">log10</w:t>
      </w:r>
      <w:r>
        <w:rPr>
          <w:rStyle w:val="NormalTok"/>
        </w:rPr>
        <w:t xml:space="preserve">(</w:t>
      </w:r>
      <w:r>
        <w:rPr>
          <w:rStyle w:val="FunctionTok"/>
        </w:rPr>
        <w:t xml:space="preserve">pmax</w:t>
      </w:r>
      <w:r>
        <w:rPr>
          <w:rStyle w:val="NormalTok"/>
        </w:rPr>
        <w:t xml:space="preserve">(tau_eff_min, .Machine</w:t>
      </w:r>
      <w:r>
        <w:rPr>
          <w:rStyle w:val="SpecialCharTok"/>
        </w:rPr>
        <w:t xml:space="preserve">$</w:t>
      </w:r>
      <w:r>
        <w:rPr>
          <w:rStyle w:val="NormalTok"/>
        </w:rPr>
        <w:t xml:space="preserve">double.eps))</w:t>
      </w:r>
      <w:r>
        <w:br/>
      </w:r>
      <w:r>
        <w:rPr>
          <w:rStyle w:val="NormalTok"/>
        </w:rPr>
        <w:t xml:space="preserve">  S_traj[, d] </w:t>
      </w:r>
      <w:r>
        <w:rPr>
          <w:rStyle w:val="OtherTok"/>
        </w:rPr>
        <w:t xml:space="preserve">&lt;-</w:t>
      </w:r>
      <w:r>
        <w:rPr>
          <w:rStyle w:val="NormalTok"/>
        </w:rPr>
        <w:t xml:space="preserve"> ell_d </w:t>
      </w:r>
      <w:r>
        <w:rPr>
          <w:rStyle w:val="SpecialCharTok"/>
        </w:rPr>
        <w:t xml:space="preserve">+</w:t>
      </w:r>
      <w:r>
        <w:rPr>
          <w:rStyle w:val="NormalTok"/>
        </w:rPr>
        <w:t xml:space="preserve"> (u_d </w:t>
      </w:r>
      <w:r>
        <w:rPr>
          <w:rStyle w:val="SpecialCharTok"/>
        </w:rPr>
        <w:t xml:space="preserve">-</w:t>
      </w:r>
      <w:r>
        <w:rPr>
          <w:rStyle w:val="NormalTok"/>
        </w:rPr>
        <w:t xml:space="preserve"> ell_d)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(k_d </w:t>
      </w:r>
      <w:r>
        <w:rPr>
          <w:rStyle w:val="SpecialCharTok"/>
        </w:rPr>
        <w:t xml:space="preserve">*</w:t>
      </w:r>
      <w:r>
        <w:rPr>
          <w:rStyle w:val="NormalTok"/>
        </w:rPr>
        <w:t xml:space="preserve"> (log10_tau </w:t>
      </w:r>
      <w:r>
        <w:rPr>
          <w:rStyle w:val="SpecialCharTok"/>
        </w:rPr>
        <w:t xml:space="preserve">-</w:t>
      </w:r>
      <w:r>
        <w:rPr>
          <w:rStyle w:val="NormalTok"/>
        </w:rPr>
        <w:t xml:space="preserve"> beta0_d)))</w:t>
      </w:r>
      <w:r>
        <w:br/>
      </w:r>
      <w:r>
        <w:rPr>
          <w:rStyle w:val="NormalTok"/>
        </w:rPr>
        <w:t xml:space="preserve">}</w:t>
      </w:r>
      <w:r>
        <w:br/>
      </w:r>
      <w:r>
        <w:br/>
      </w:r>
      <w:r>
        <w:rPr>
          <w:rStyle w:val="NormalTok"/>
        </w:rPr>
        <w:t xml:space="preserve">S_summary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8" w:name="fig-survival-pred"/>
          <w:p>
            <w:pPr>
              <w:jc w:val="center"/>
            </w:pPr>
            <w:r>
              <w:drawing>
                <wp:inline>
                  <wp:extent cx="5943600" cy="2971800"/>
                  <wp:effectExtent b="0" l="0" r="0" t="0"/>
                  <wp:docPr descr="" title="" id="86" name="Picture"/>
                  <a:graphic>
                    <a:graphicData uri="http://schemas.openxmlformats.org/drawingml/2006/picture">
                      <pic:pic>
                        <pic:nvPicPr>
                          <pic:cNvPr descr="supplement_files/figure-docx/plot-s-pred-1.png" id="87" name="Picture"/>
                          <pic:cNvPicPr>
                            <a:picLocks noChangeArrowheads="1" noChangeAspect="1"/>
                          </pic:cNvPicPr>
                        </pic:nvPicPr>
                        <pic:blipFill>
                          <a:blip r:embed="rId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Posterior predicted population-level survival fraction under the 5-day field trace, computed from the model (Equation 9 of the manuscript). Solid line is the posterior median across 500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w:t>
            </w:r>
            <w:r>
              <w:t xml:space="preserve"> </w:t>
            </w:r>
            <w:r>
              <w:rPr>
                <w:rStyle w:val="VerbatimChar"/>
              </w:rPr>
              <w:t xml:space="preserve">fit_bb</w:t>
            </w:r>
            <w:r>
              <w:t xml:space="preserve">; shaded band is the 95% credible interval. The dashed line marks 50% survival, the threshold the HI integral compresses into a single crossing time.</w:t>
            </w:r>
          </w:p>
          <w:bookmarkEnd w:id="88"/>
        </w:tc>
      </w:tr>
    </w:tbl>
    <w:p>
      <w:pPr>
        <w:pStyle w:val="BodyText"/>
      </w:pPr>
      <w:r>
        <w:t xml:space="preserve">By the end of day 5 the posterior median predicted survival is 0.13 (95% CI: 0.09 to 0.21). The two predictions tell consistent stories:</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that</w:t>
      </w:r>
      <w:r>
        <w:t xml:space="preserve"> </w:t>
      </w:r>
      <m:oMath>
        <m:r>
          <m:t>H</m:t>
        </m:r>
        <m:r>
          <m:t>I</m:t>
        </m:r>
        <m:d>
          <m:dPr>
            <m:begChr m:val="("/>
            <m:sepChr m:val=""/>
            <m:endChr m:val=")"/>
            <m:grow/>
          </m:dPr>
          <m:e>
            <m:r>
              <m:t>t</m:t>
            </m:r>
          </m:e>
        </m:d>
      </m:oMath>
      <w:r>
        <w:t xml:space="preserve"> </w:t>
      </w:r>
      <w:r>
        <w:t xml:space="preserve">rises through 100 %, but</w:t>
      </w:r>
      <w:r>
        <w:t xml:space="preserve"> </w:t>
      </w:r>
      <m:oMath>
        <m:sSub>
          <m:e>
            <m:r>
              <m:t>S</m:t>
            </m:r>
          </m:e>
          <m:sub>
            <m:r>
              <m:rPr>
                <m:nor/>
                <m:sty m:val="p"/>
              </m:rPr>
              <m:t>pred</m:t>
            </m:r>
          </m:sub>
        </m:sSub>
        <m:d>
          <m:dPr>
            <m:begChr m:val="("/>
            <m:sepChr m:val=""/>
            <m:endChr m:val=")"/>
            <m:grow/>
          </m:dPr>
          <m:e>
            <m:r>
              <m:t>t</m:t>
            </m:r>
          </m:e>
        </m:d>
      </m:oMath>
      <w:r>
        <w:t xml:space="preserve"> </w:t>
      </w:r>
      <w:r>
        <w:t xml:space="preserve">provides the entire cumulative survival curve. Survival can then be used directly for population-dynamical models, which has been suggsted by</w:t>
      </w:r>
      <w:r>
        <w:t xml:space="preserve"> </w:t>
      </w:r>
      <w:r>
        <w:t xml:space="preserve">Noble</w:t>
      </w:r>
      <w:r>
        <w:t xml:space="preserve"> </w:t>
      </w:r>
      <w:r>
        <w:rPr>
          <w:i/>
          <w:iCs/>
        </w:rPr>
        <w:t xml:space="preserve">et al.</w:t>
      </w:r>
      <w:r>
        <w:t xml:space="preserve"> </w:t>
      </w:r>
      <w:r>
        <w:t xml:space="preserve">(</w:t>
      </w:r>
      <w:hyperlink w:anchor="ref-noble2026">
        <w:r>
          <w:rPr>
            <w:rStyle w:val="Hyperlink"/>
          </w:rPr>
          <w:t xml:space="preserve">2026</w:t>
        </w:r>
      </w:hyperlink>
      <w:r>
        <w:t xml:space="preserve">)</w:t>
      </w:r>
      <w:r>
        <w:t xml:space="preserve">.</w:t>
      </w:r>
    </w:p>
    <w:bookmarkEnd w:id="89"/>
    <w:bookmarkEnd w:id="90"/>
    <w:bookmarkEnd w:id="91"/>
    <w:bookmarkStart w:id="107" w:name="references"/>
    <w:p>
      <w:pPr>
        <w:pStyle w:val="Heading1"/>
      </w:pPr>
      <w:r>
        <w:t xml:space="preserve">2. </w:t>
      </w:r>
      <w:r>
        <w:rPr>
          <w:b/>
          <w:bCs/>
        </w:rPr>
        <w:t xml:space="preserve">References</w:t>
      </w:r>
    </w:p>
    <w:bookmarkStart w:id="106" w:name="refs"/>
    <w:bookmarkStart w:id="93"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92">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93"/>
    <w:bookmarkStart w:id="95" w:name="ref-jorgensen_unifying_2021"/>
    <w:p>
      <w:pPr>
        <w:pStyle w:val="Bibliography"/>
      </w:pPr>
      <w:r>
        <w:t xml:space="preserve">Jørgensen, L.B., Malte, H. &amp; Overgaard, J. (2021).</w:t>
      </w:r>
      <w:r>
        <w:t xml:space="preserve"> </w:t>
      </w:r>
      <w:hyperlink r:id="rId94">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5"/>
    <w:bookmarkStart w:id="97" w:name="ref-kingsolver_umbanhowar_2018"/>
    <w:p>
      <w:pPr>
        <w:pStyle w:val="Bibliography"/>
      </w:pPr>
      <w:r>
        <w:t xml:space="preserve">Kingsolver, J.G. &amp; Umbanhowar, J. (2018).</w:t>
      </w:r>
      <w:r>
        <w:t xml:space="preserve"> </w:t>
      </w:r>
      <w:hyperlink r:id="rId96">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97"/>
    <w:bookmarkStart w:id="99"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8">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9"/>
    <w:bookmarkStart w:id="101" w:name="ref-orsted_finding_2022"/>
    <w:p>
      <w:pPr>
        <w:pStyle w:val="Bibliography"/>
      </w:pPr>
      <w:r>
        <w:t xml:space="preserve">Ørsted, M., Jørgensen, L.B. &amp; Overgaard, J. (2022).</w:t>
      </w:r>
      <w:r>
        <w:t xml:space="preserve"> </w:t>
      </w:r>
      <w:hyperlink r:id="rId100">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1"/>
    <w:bookmarkStart w:id="103"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3"/>
    <w:bookmarkStart w:id="105"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5"/>
    <w:bookmarkEnd w:id="106"/>
    <w:bookmarkEnd w:id="107"/>
    <w:bookmarkStart w:id="108" w:name="session-information"/>
    <w:p>
      <w:pPr>
        <w:pStyle w:val="Heading1"/>
      </w:pPr>
      <w:r>
        <w:t xml:space="preserve">3.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processx(v.3.9.0)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coda(v.0.19-4.1)</w:t>
      </w:r>
      <w:r>
        <w:t xml:space="preserve">,</w:t>
      </w:r>
      <w:r>
        <w:t xml:space="preserve"> </w:t>
      </w:r>
      <w:r>
        <w:rPr>
          <w:i/>
          <w:iCs/>
        </w:rPr>
        <w:t xml:space="preserve">gridExtra(v.2.3)</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108"/>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68" Target="media/rId68.png" /><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j.tree.2026.01.009" TargetMode="External" /><Relationship Type="http://schemas.openxmlformats.org/officeDocument/2006/relationships/hyperlink" Id="rId94" Target="https://doi.org/10.1038/s41598-021-92004-6" TargetMode="External" /><Relationship Type="http://schemas.openxmlformats.org/officeDocument/2006/relationships/hyperlink" Id="rId104" Target="https://doi.org/10.1111/1365-2435.12268" TargetMode="External" /><Relationship Type="http://schemas.openxmlformats.org/officeDocument/2006/relationships/hyperlink" Id="rId92" Target="https://doi.org/10.1111/gcb.70315" TargetMode="External" /><Relationship Type="http://schemas.openxmlformats.org/officeDocument/2006/relationships/hyperlink" Id="rId102" Target="https://doi.org/10.1126/science.aba9287" TargetMode="External" /><Relationship Type="http://schemas.openxmlformats.org/officeDocument/2006/relationships/hyperlink" Id="rId96" Target="https://doi.org/10.1242/jeb.167858" TargetMode="External" /><Relationship Type="http://schemas.openxmlformats.org/officeDocument/2006/relationships/hyperlink" Id="rId100"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2026-05-10T06:44:18Z</dcterms:created>
  <dcterms:modified xsi:type="dcterms:W3CDTF">2026-05-10T06:44:18Z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2026-05-10</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