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BodyText"/>
      </w:pPr>
      <w:r>
        <w:rPr>
          <w:b/>
          <w:bCs/>
        </w:rPr>
        <w:t xml:space="preserve">Abstract</w:t>
      </w:r>
    </w:p>
    <w:p>
      <w:pPr>
        <w:numPr>
          <w:ilvl w:val="0"/>
          <w:numId w:val="1001"/>
        </w:numPr>
      </w:pPr>
      <w:r>
        <w:t xml:space="preserve">The thermal load sensitivity (TLS) and thermal death time (TDT) models are the gold standard for estimating and predicting thermal tolerance in nature. However, its two-step pipeline — first inferring median times to death across a range of assay temperatures, then regressing</w:t>
      </w:r>
      <w:r>
        <w:t xml:space="preserve"> </w:t>
      </w:r>
      <m:oMath>
        <m:sSub>
          <m:e>
            <m:r>
              <m:rPr>
                <m:sty m:val="p"/>
              </m:rPr>
              <m:t>log</m:t>
            </m:r>
          </m:e>
          <m:sub>
            <m:r>
              <m:t>10</m:t>
            </m:r>
          </m:sub>
        </m:sSub>
        <m:r>
          <m:rPr>
            <m:nor/>
            <m:sty m:val="p"/>
          </m:rPr>
          <m:t>time to death</m:t>
        </m:r>
      </m:oMath>
      <w:r>
        <w:t xml:space="preserve"> </w:t>
      </w:r>
      <w:r>
        <w:t xml:space="preserve">on temperature — rests on statistical assumptions that are routinely violated and that bias every downstream quantity (z, CTmax, heat-injury predictions).</w:t>
      </w:r>
    </w:p>
    <w:p>
      <w:pPr>
        <w:numPr>
          <w:ilvl w:val="0"/>
          <w:numId w:val="1001"/>
        </w:numPr>
      </w:pPr>
      <w:r>
        <w:t xml:space="preserve">We describe a flexible Bayesian, single-stage four-parameter logistic (4PL) model for modelling the impact of temperature and time on survival and sublethal responses to heat stress.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numPr>
          <w:ilvl w:val="0"/>
          <w:numId w:val="1001"/>
        </w:numPr>
      </w:pPr>
      <w:r>
        <w:t xml:space="preserve">We applied our new modelling framework to simulated data, as well as case studies in brown shrimp (</w:t>
      </w:r>
      <w:r>
        <w:rPr>
          <w:i/>
          <w:iCs/>
        </w:rPr>
        <w:t xml:space="preserve">Crangon crangon</w:t>
      </w:r>
      <w:r>
        <w:t xml:space="preserve">), zebrafish (</w:t>
      </w:r>
      <w:r>
        <w:rPr>
          <w:i/>
          <w:iCs/>
        </w:rPr>
        <w:t xml:space="preserve">Danio rerio</w:t>
      </w:r>
      <w:r>
        <w:t xml:space="preserve">), and XXX to demonstrate the equivalencies and benefits of such an approach.</w:t>
      </w:r>
    </w:p>
    <w:p>
      <w:pPr>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and unlocks outputs the two-step pipeline cannot provide (full survival surface, arbitrary mortality percentiles, decomposable between-group contrasts). We provide reusable R helpers and recommend the hierarchical 4PL as the default analysis for new data using the TLS framework.</w:t>
      </w:r>
    </w:p>
    <w:p>
      <w:pPr>
        <w:pStyle w:val="FirstParagraph"/>
      </w:pPr>
      <w:r>
        <w:rPr>
          <w:b/>
          <w:bCs/>
        </w:rPr>
        <w:t xml:space="preserve">Keywords:</w:t>
      </w:r>
      <w:r>
        <w:t xml:space="preserve"> </w:t>
      </w:r>
      <w:r>
        <w:t xml:space="preserve">thermal death time; TDT; tolerance landscape; hierarchical Bayesian model; 4-parameter logistic; heat injury; CTmax; ectotherm</w:t>
      </w:r>
    </w:p>
    <w:bookmarkStart w:id="20" w:name="introduction"/>
    <w:p>
      <w:pPr>
        <w:pStyle w:val="Heading1"/>
      </w:pPr>
      <w:r>
        <w:t xml:space="preserve">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 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w:t>
      </w:r>
      <w:r>
        <w:t xml:space="preserve"> </w:t>
      </w:r>
      <m:oMath>
        <m:r>
          <m:t>C</m:t>
        </m:r>
        <m:sSub>
          <m:e>
            <m:r>
              <m:t>T</m:t>
            </m:r>
          </m:e>
          <m:sub>
            <m:r>
              <m:t>m</m:t>
            </m:r>
            <m:r>
              <m:t>a</m:t>
            </m:r>
            <m:r>
              <m:t>x</m:t>
            </m:r>
          </m:sub>
        </m:sSub>
      </m:oMath>
      <w:r>
        <w:t xml:space="preserve">, have long been used to establish differences in climate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threshold-based measures do not capture how the negative effects of extreme heat on fitness depend on both the duration and intensity of heat stress, limiting our ability to make realistic predictions under fluctuating temperature regimes that occur in nature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from heat stress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expose organisms to a range of temperatures for various durations of exposure. The proportion of live/dead, fertile/infertile, or live/knockdown, for instance, is then modelled as a function of log transformed exposure time (in minutes or hours) using dose-response curves fit across all temperatures (usually at each temperature treatment independently). The time to death, fertility, or heat knockdown is then derived from these curves, based on the temperature predicted to reduce these responses by a given threshold (e.g.,</w:t>
      </w:r>
      <w:r>
        <w:t xml:space="preserve"> </w:t>
      </w:r>
      <m:oMath>
        <m:sSub>
          <m:e>
            <m:r>
              <m:t>t</m:t>
            </m:r>
          </m:e>
          <m:sub>
            <m:r>
              <m:t>50</m:t>
            </m:r>
          </m:sub>
        </m:sSub>
      </m:oMath>
      <w:r>
        <w:t xml:space="preserve">, the time to reach 50% mortality). Second, the log10 transformed</w:t>
      </w:r>
      <w:r>
        <w:t xml:space="preserve"> </w:t>
      </w:r>
      <m:oMath>
        <m:sSub>
          <m:e>
            <m:r>
              <m:t>t</m:t>
            </m:r>
          </m:e>
          <m:sub>
            <m:r>
              <m:t>50</m:t>
            </m:r>
          </m:sub>
        </m:sSub>
      </m:oMath>
      <w:r>
        <w:t xml:space="preserve"> </w:t>
      </w:r>
      <w:r>
        <w:t xml:space="preserve">and temperature are regressed against each other using a linear model. Thermal sensitivity (i.e.,</w:t>
      </w:r>
      <w:r>
        <w:t xml:space="preserve"> </w:t>
      </w:r>
      <w:r>
        <w:rPr>
          <w:i/>
          <w:iCs/>
        </w:rPr>
        <w:t xml:space="preserve">z</w:t>
      </w:r>
      <w:r>
        <w:t xml:space="preserve">, the inverse of the slope of this regression) and static critical thermal maxima (i.e., the intercept of the regression,</w:t>
      </w:r>
      <w:r>
        <w:t xml:space="preserve"> </w:t>
      </w:r>
      <m:oMath>
        <m:r>
          <m:t>s</m:t>
        </m:r>
        <m:r>
          <m:t>C</m:t>
        </m:r>
        <m:sSub>
          <m:e>
            <m:r>
              <m:t>T</m:t>
            </m:r>
          </m:e>
          <m:sub>
            <m:r>
              <m:t>m</m:t>
            </m:r>
            <m:r>
              <m:t>a</m:t>
            </m:r>
            <m:sSub>
              <m:e>
                <m:r>
                  <m:t>x</m:t>
                </m:r>
              </m:e>
              <m:sub>
                <m:r>
                  <m:t>t</m:t>
                </m:r>
                <m:r>
                  <m:t>i</m:t>
                </m:r>
                <m:r>
                  <m:t>m</m:t>
                </m:r>
                <m:r>
                  <m:t>e</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s</m:t>
        </m:r>
        <m:r>
          <m:t>C</m:t>
        </m:r>
        <m:sSub>
          <m:e>
            <m:r>
              <m:t>T</m:t>
            </m:r>
          </m:e>
          <m:sub>
            <m:r>
              <m:t>m</m:t>
            </m:r>
            <m:r>
              <m:t>a</m:t>
            </m:r>
            <m:sSub>
              <m:e>
                <m:r>
                  <m:t>x</m:t>
                </m:r>
              </m:e>
              <m:sub>
                <m:r>
                  <m:t>t</m:t>
                </m:r>
                <m:r>
                  <m:t>i</m:t>
                </m:r>
                <m:r>
                  <m:t>m</m:t>
                </m:r>
                <m:r>
                  <m:t>e</m:t>
                </m:r>
              </m:sub>
            </m:sSub>
          </m:sub>
        </m:sSub>
      </m:oMath>
      <w:r>
        <w:t xml:space="preserve"> </w:t>
      </w:r>
      <w:r>
        <w:t xml:space="preserve">is usually computed for a 1 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 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 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exposure to heat stress. The 1 hour reference falls within typical assay durations avoiding substantial extrapolation which is why it is often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h</m:t>
                </m:r>
                <m:r>
                  <m:t>o</m:t>
                </m:r>
                <m:r>
                  <m:t>u</m:t>
                </m:r>
                <m:r>
                  <m:t>r</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sSub>
          <m:e>
            <m:r>
              <m:t>t</m:t>
            </m:r>
          </m:e>
          <m:sub>
            <m:r>
              <m:t>50</m:t>
            </m:r>
          </m:sub>
        </m:sSub>
      </m:oMath>
      <w:r>
        <w:t xml:space="preserve">), at which point we would predict 50% of the population to have died. Recent work has also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and new modelling approaches have recently been developed to capture these damage-repair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While the two-step approach to modelling thermal sensitivity is intuitive and simple in practice, it has numerous practical and statistical limitations. First, the two-step pipeline does not typically allow correct uncertainty propagation. The</w:t>
      </w:r>
      <w:r>
        <w:t xml:space="preserve"> </w:t>
      </w:r>
      <m:oMath>
        <m:sSub>
          <m:e>
            <m:r>
              <m:t>t</m:t>
            </m:r>
          </m:e>
          <m:sub>
            <m:r>
              <m:t>50</m:t>
            </m:r>
          </m:sub>
        </m:sSub>
      </m:oMath>
      <w:r>
        <w:t xml:space="preserve"> </w:t>
      </w:r>
      <w:r>
        <w:t xml:space="preserve">point estimates have non-negligible sampling variance. Treating them as fixed inputs to the regression discards that sampling variance, which can lead to miscalibrated standard errors on the slope (</w:t>
      </w:r>
      <m:oMath>
        <m:r>
          <m:t>z</m:t>
        </m:r>
      </m:oMath>
      <w:r>
        <w:t xml:space="preserve">) and intercept (</w:t>
      </w:r>
      <m:oMath>
        <m:r>
          <m:t>C</m:t>
        </m:r>
        <m:sSub>
          <m:e>
            <m:r>
              <m:t>T</m:t>
            </m:r>
          </m:e>
          <m:sub>
            <m:r>
              <m:t>m</m:t>
            </m:r>
            <m:r>
              <m:t>a</m:t>
            </m:r>
            <m:r>
              <m:t>x</m:t>
            </m:r>
          </m:sub>
        </m:sSub>
      </m:oMath>
      <w:r>
        <w:t xml:space="preserve">), and inflated</w:t>
      </w:r>
      <w:r>
        <w:t xml:space="preserve"> </w:t>
      </w:r>
      <m:oMath>
        <m:sSup>
          <m:e>
            <m:r>
              <m:t>R</m:t>
            </m:r>
          </m:e>
          <m:sup>
            <m:r>
              <m:t>2</m:t>
            </m:r>
          </m:sup>
        </m:sSup>
      </m:oMath>
      <w:r>
        <w:t xml:space="preserve"> </w:t>
      </w:r>
      <w:r>
        <w:t xml:space="preserve">–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this miscalibrated uncertainty.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sSub>
          <m:e>
            <m:r>
              <m:t>t</m:t>
            </m:r>
          </m:e>
          <m:sub>
            <m:r>
              <m:t>50</m:t>
            </m:r>
          </m:sub>
        </m:sSub>
      </m:oMath>
      <w:r>
        <w:t xml:space="preserve"> </w:t>
      </w:r>
      <w:r>
        <w:t xml:space="preserve">without sampling variance before the comparison is made. Third, the</w:t>
      </w:r>
      <w:r>
        <w:t xml:space="preserve"> </w:t>
      </w:r>
      <m:oMath>
        <m:sSub>
          <m:e>
            <m:r>
              <m:t>t</m:t>
            </m:r>
          </m:e>
          <m:sub>
            <m:r>
              <m:t>50</m:t>
            </m:r>
          </m:sub>
        </m:sSub>
      </m:oMath>
      <w:r>
        <w:t xml:space="preserve">-extraction step collapses the within-replicate count, and prevents the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the experimental data(e.g., animals within batches and days of experiments) is largely ignored, which can lead to pseudoreplicaton, resulting in anticonservative standard errors that affect biological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across all temperature by exposure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survival, and their uncertainty in fluctuating thermal regimes. We develop these models within a Bayesian fr amework which allows for better uncertainty calibration and error propagation with complex hierarchical data structures.</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sSub>
          <m:e>
            <m:r>
              <m:t>t</m:t>
            </m:r>
          </m:e>
          <m:sub>
            <m:r>
              <m:t>50</m:t>
            </m:r>
          </m:sub>
        </m:sSub>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trials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30" w:name="X46eb6268dcffa0b752ad63ad3dfd63180af2bd8"/>
    <w:p>
      <w:pPr>
        <w:pStyle w:val="Heading1"/>
      </w:pPr>
      <w:r>
        <w:t xml:space="preserve">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nor/>
            <m:sty m:val="p"/>
          </m:rPr>
          <m:t>low</m:t>
        </m:r>
      </m:oMath>
      <w:r>
        <w:t xml:space="preserve"> </w:t>
      </w:r>
      <w:r>
        <w:t xml:space="preserve">and</w:t>
      </w:r>
      <w:r>
        <w:t xml:space="preserve"> </w:t>
      </w:r>
      <m:oMath>
        <m:r>
          <m:rPr>
            <m:nor/>
            <m:sty m:val="p"/>
          </m:rPr>
          <m:t>up</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rPr>
                    <m:nor/>
                    <m:sty m:val="p"/>
                  </m:rPr>
                  <m:t>up</m:t>
                </m:r>
                <m:r>
                  <m:rPr>
                    <m:sty m:val="p"/>
                  </m:rPr>
                  <m:t>−</m:t>
                </m:r>
                <m:r>
                  <m:t>0.5</m:t>
                </m:r>
              </m:e>
            </m:d>
            <m:r>
              <m:rPr>
                <m:sty m:val="p"/>
              </m:rPr>
              <m:t>/</m:t>
            </m:r>
            <m:d>
              <m:dPr>
                <m:begChr m:val="("/>
                <m:sepChr m:val=""/>
                <m:endChr m:val=")"/>
                <m:grow/>
              </m:dPr>
              <m:e>
                <m:r>
                  <m:t>0.5</m:t>
                </m:r>
                <m:r>
                  <m:rPr>
                    <m:sty m:val="p"/>
                  </m:rPr>
                  <m:t>−</m:t>
                </m:r>
                <m:r>
                  <m:rPr>
                    <m:nor/>
                    <m:sty m:val="p"/>
                  </m:rPr>
                  <m:t>low</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sSub>
          <m:e>
            <m:r>
              <m:t>t</m:t>
            </m:r>
          </m:e>
          <m:sub>
            <m:r>
              <m:t>50</m:t>
            </m:r>
          </m:sub>
        </m:sSub>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sSub>
          <m:e>
            <m:r>
              <m:t>t</m:t>
            </m:r>
          </m:e>
          <m:sub>
            <m:r>
              <m:t>50</m:t>
            </m:r>
          </m:sub>
        </m:sSub>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The same derivation generalises beyond the median: the Bayesian dose-response fit gives access to</w:t>
      </w:r>
      <w:r>
        <w:t xml:space="preserve"> </w:t>
      </w:r>
      <w:r>
        <w:rPr>
          <w:i/>
          <w:iCs/>
        </w:rPr>
        <w:t xml:space="preserve">any</w:t>
      </w:r>
      <w:r>
        <w:t xml:space="preserve"> </w:t>
      </w:r>
      <w:r>
        <w:t xml:space="preserve">mortality percentile, not just</w:t>
      </w:r>
      <w:r>
        <w:t xml:space="preserve"> </w:t>
      </w:r>
      <m:oMath>
        <m:sSub>
          <m:e>
            <m:r>
              <m:t>t</m:t>
            </m:r>
          </m:e>
          <m:sub>
            <m:r>
              <m:t>50</m:t>
            </m:r>
          </m:sub>
        </m:sSub>
      </m:oMath>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Setting</w:t>
      </w:r>
      <w:r>
        <w:t xml:space="preserve"> </w:t>
      </w:r>
      <m:oMath>
        <m:sSub>
          <m:e>
            <m:r>
              <m:t>p</m:t>
            </m:r>
          </m:e>
          <m:sub>
            <m:r>
              <m:t>i</m:t>
            </m:r>
            <m:r>
              <m:t>j</m:t>
            </m:r>
          </m:sub>
        </m:sSub>
        <m:r>
          <m:rPr>
            <m:sty m:val="p"/>
          </m:rPr>
          <m:t>=</m:t>
        </m:r>
        <m:r>
          <m:t>x</m:t>
        </m:r>
        <m:r>
          <m:rPr>
            <m:sty m:val="p"/>
          </m:rPr>
          <m:t>/</m:t>
        </m:r>
        <m:r>
          <m:t>100</m:t>
        </m:r>
      </m:oMath>
      <w:r>
        <w:t xml:space="preserve"> </w:t>
      </w:r>
      <w:r>
        <w:t xml:space="preserve">in</w:t>
      </w:r>
      <w:r>
        <w:t xml:space="preserve"> </w:t>
      </w:r>
      <w:hyperlink w:anchor="eq-4pl">
        <w:r>
          <w:rPr>
            <w:rStyle w:val="Hyperlink"/>
          </w:rPr>
          <w:t xml:space="preserve">Equation 2</w:t>
        </w:r>
      </w:hyperlink>
      <w:r>
        <w:t xml:space="preserve"> </w:t>
      </w:r>
      <w:r>
        <w:t xml:space="preserve">and following the same algebra used for</w:t>
      </w:r>
      <w:r>
        <w:t xml:space="preserve"> </w:t>
      </w:r>
      <m:oMath>
        <m:sSub>
          <m:e>
            <m:r>
              <m:t>t</m:t>
            </m:r>
          </m:e>
          <m:sub>
            <m:r>
              <m:t>50</m:t>
            </m:r>
          </m:sub>
        </m:sSub>
      </m:oMath>
      <w:r>
        <w:t xml:space="preserve">, the posterior samples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r>
              <m:t>m</m:t>
            </m:r>
            <m:d>
              <m:dPr>
                <m:begChr m:val="("/>
                <m:sepChr m:val=""/>
                <m:endChr m:val=")"/>
                <m:grow/>
              </m:dPr>
              <m:e>
                <m:r>
                  <m:t>T</m:t>
                </m:r>
              </m:e>
            </m:d>
          </m:e>
        </m:d>
      </m:oMath>
      <w:r>
        <w:t xml:space="preserve"> </w:t>
      </w:r>
      <w:r>
        <w:t xml:space="preserve">deliver the time at which</w:t>
      </w:r>
      <w:r>
        <w:t xml:space="preserve"> </w:t>
      </w:r>
      <m:oMath>
        <m:r>
          <m:t>x</m:t>
        </m:r>
        <m:r>
          <m:rPr>
            <m:sty m:val="p"/>
          </m:rPr>
          <m:t>%</m:t>
        </m:r>
      </m:oMath>
      <w:r>
        <w:t xml:space="preserve"> </w:t>
      </w:r>
      <w:r>
        <w:t xml:space="preserve">of the population reaches the assayed endpoint:</w:t>
      </w:r>
    </w:p>
    <w:p>
      <w:pPr>
        <w:pStyle w:val="BodyText"/>
      </w:pPr>
      <w:bookmarkStart w:id="27" w:name="eq-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r>
            <m:rPr>
              <m:sty m:val="p"/>
            </m:rPr>
            <m:t>,</m:t>
          </m:r>
          <m:r>
            <m:t>  </m:t>
          </m:r>
          <m:d>
            <m:dPr>
              <m:begChr m:val="("/>
              <m:sepChr m:val=""/>
              <m:endChr m:val=")"/>
              <m:grow/>
            </m:dPr>
            <m:e>
              <m:r>
                <m:t>5</m:t>
              </m:r>
            </m:e>
          </m:d>
        </m:oMath>
      </m:oMathPara>
      <w:bookmarkEnd w:id="27"/>
    </w:p>
    <w:p>
      <w:pPr>
        <w:pStyle w:val="FirstParagraph"/>
      </w:pPr>
      <w:r>
        <w:t xml:space="preserve">Varying</w:t>
      </w:r>
      <w:r>
        <w:t xml:space="preserve"> </w:t>
      </w:r>
      <m:oMath>
        <m:r>
          <m:t>x</m:t>
        </m:r>
      </m:oMath>
      <w:r>
        <w:t xml:space="preserve"> </w:t>
      </w:r>
      <w:r>
        <w:t xml:space="preserve">in</w:t>
      </w:r>
      <w:r>
        <w:t xml:space="preserve"> </w:t>
      </w:r>
      <w:hyperlink w:anchor="eq-LTx">
        <w:r>
          <w:rPr>
            <w:rStyle w:val="Hyperlink"/>
          </w:rPr>
          <w:t xml:space="preserve">Equation 5</w:t>
        </w:r>
      </w:hyperlink>
      <w:r>
        <w:t xml:space="preserve"> </w:t>
      </w:r>
      <w:r>
        <w:t xml:space="preserve">then yields any threshold of interest. For instance,</w:t>
      </w:r>
      <w:r>
        <w:t xml:space="preserve"> </w:t>
      </w:r>
      <m:oMath>
        <m:sSub>
          <m:e>
            <m:r>
              <m:t>t</m:t>
            </m:r>
          </m:e>
          <m:sub>
            <m:r>
              <m:t>10</m:t>
            </m:r>
          </m:sub>
        </m:sSub>
      </m:oMath>
      <w:r>
        <w:t xml:space="preserve"> </w:t>
      </w:r>
      <w:r>
        <w:t xml:space="preserve">marks the onset of early mortality — useful for risk management — while</w:t>
      </w:r>
      <w:r>
        <w:t xml:space="preserve"> </w:t>
      </w:r>
      <m:oMath>
        <m:sSub>
          <m:e>
            <m:r>
              <m:t>t</m:t>
            </m:r>
          </m:e>
          <m:sub>
            <m:r>
              <m:t>90</m:t>
            </m:r>
          </m:sub>
        </m:sSub>
      </m:oMath>
      <w:r>
        <w:t xml:space="preserve"> </w:t>
      </w:r>
      <w:r>
        <w:t xml:space="preserve">is closer to a population-collapse threshold. As with</w:t>
      </w:r>
      <w:r>
        <w:t xml:space="preserve"> </w:t>
      </w:r>
      <m:oMath>
        <m:sSub>
          <m:e>
            <m:r>
              <m:t>t</m:t>
            </m:r>
          </m:e>
          <m:sub>
            <m:r>
              <m:t>50</m:t>
            </m:r>
          </m:sub>
        </m:sSub>
      </m:oMath>
      <w:r>
        <w:t xml:space="preserve">, every prediction inherits the joint posterior, so uncertainty bands can be reported alongside the population-level median.</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rPr>
                <m:nor/>
                <m:sty m:val="p"/>
              </m:rPr>
              <m:t>up</m:t>
            </m:r>
            <m:r>
              <m:rPr>
                <m:sty m:val="p"/>
              </m:rPr>
              <m:t>−</m:t>
            </m:r>
            <m:r>
              <m:t>0.5</m:t>
            </m:r>
          </m:num>
          <m:den>
            <m:r>
              <m:t>0.5</m:t>
            </m:r>
            <m:r>
              <m:rPr>
                <m:sty m:val="p"/>
              </m:rPr>
              <m:t>−</m:t>
            </m:r>
            <m:r>
              <m:rPr>
                <m:nor/>
                <m:sty m:val="p"/>
              </m:rPr>
              <m:t>low</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sSub>
          <m:e>
            <m:r>
              <m:t>t</m:t>
            </m:r>
          </m:e>
          <m:sub>
            <m:r>
              <m:t>50</m:t>
            </m:r>
          </m:sub>
        </m:sSub>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sSub>
          <m:e>
            <m:r>
              <m:t>t</m:t>
            </m:r>
          </m:e>
          <m:sub>
            <m:r>
              <m:t>50</m:t>
            </m:r>
          </m:sub>
        </m:sSub>
      </m:oMath>
      <w:r>
        <w:t xml:space="preserve"> </w:t>
      </w:r>
      <w:r>
        <w:t xml:space="preserve">(</w:t>
      </w:r>
      <w:hyperlink w:anchor="eq-lt50-corrected">
        <w:r>
          <w:rPr>
            <w:rStyle w:val="Hyperlink"/>
          </w:rPr>
          <w:t xml:space="preserve">Equation 6</w:t>
        </w:r>
      </w:hyperlink>
      <w:r>
        <w:t xml:space="preserve">) and subtracted, after division by the slope (to convert the vertical shift in</w:t>
      </w:r>
      <w:r>
        <w:t xml:space="preserve"> </w:t>
      </w:r>
      <m:oMath>
        <m:sSub>
          <m:e>
            <m:r>
              <m:rPr>
                <m:sty m:val="p"/>
              </m:rPr>
              <m:t>log</m:t>
            </m:r>
          </m:e>
          <m:sub>
            <m:r>
              <m:t>10</m:t>
            </m:r>
          </m:sub>
        </m:sSub>
        <m:sSub>
          <m:e>
            <m:r>
              <m:t>t</m:t>
            </m:r>
          </m:e>
          <m:sub>
            <m:r>
              <m:t>50</m:t>
            </m:r>
          </m:sub>
        </m:sSub>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7</w:t>
        </w:r>
      </w:hyperlink>
      <w:r>
        <w:t xml:space="preserve">):</w:t>
      </w:r>
    </w:p>
    <w:p>
      <w:pPr>
        <w:pStyle w:val="BodyText"/>
      </w:pPr>
      <w:bookmarkStart w:id="28" w:name="eq-lt50-corrected"/>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bookmarkStart w:id="29"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e>
                <m:lim>
                  <m:r>
                    <m:rPr>
                      <m:sty m:val="p"/>
                    </m:rPr>
                    <m:t>⏟</m:t>
                  </m:r>
                </m:lim>
              </m:limLow>
            </m:e>
            <m:lim>
              <m:r>
                <m:rPr>
                  <m:nor/>
                  <m:sty m:val="p"/>
                </m:rPr>
                <m:t>correction</m:t>
              </m:r>
            </m:lim>
          </m:limLow>
          <m:r>
            <m:rPr>
              <m:sty m:val="p"/>
            </m:rPr>
            <m:t>.</m:t>
          </m:r>
          <m:r>
            <m:t>  </m:t>
          </m:r>
          <m:d>
            <m:dPr>
              <m:begChr m:val="("/>
              <m:sepChr m:val=""/>
              <m:endChr m:val=")"/>
              <m:grow/>
            </m:dPr>
            <m:e>
              <m:r>
                <m:t>7</m:t>
              </m:r>
            </m:e>
          </m:d>
        </m:oMath>
      </m:oMathPara>
      <w:bookmarkEnd w:id="29"/>
    </w:p>
    <w:p>
      <w:pPr>
        <w:pStyle w:val="FirstParagraph"/>
      </w:pPr>
      <w:r>
        <w:t xml:space="preserve">In practice, however, these corrections may not be needed so long as the experimental design includes treatments that span the full mortality range which anchors</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tightly near 1 and 0 and makes the correction term effectively zero. When this is the case,</w:t>
      </w:r>
      <w:r>
        <w:t xml:space="preserve"> </w:t>
      </w:r>
      <m:oMath>
        <m:sSub>
          <m:e>
            <m:r>
              <m:rPr>
                <m:sty m:val="p"/>
              </m:rPr>
              <m:t>log</m:t>
            </m:r>
          </m:e>
          <m:sub>
            <m:r>
              <m:t>10</m:t>
            </m:r>
          </m:sub>
        </m:sSub>
        <m:sSub>
          <m:e>
            <m:r>
              <m:t>t</m:t>
            </m:r>
          </m:e>
          <m:sub>
            <m:r>
              <m:t>50</m:t>
            </m:r>
          </m:sub>
        </m:sSub>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6</w:t>
        </w:r>
      </w:hyperlink>
      <w:r>
        <w:t xml:space="preserve"> </w:t>
      </w:r>
      <w:r>
        <w:t xml:space="preserve">and</w:t>
      </w:r>
      <w:r>
        <w:t xml:space="preserve"> </w:t>
      </w:r>
      <w:hyperlink w:anchor="eq-ctmax-corrected">
        <w:r>
          <w:rPr>
            <w:rStyle w:val="Hyperlink"/>
          </w:rPr>
          <w:t xml:space="preserve">Equation 7</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30"/>
    <w:bookmarkStart w:id="34" w:name="X748caa9d6c5389c1517c1b3b0c0fd7ca3896022"/>
    <w:p>
      <w:pPr>
        <w:pStyle w:val="Heading1"/>
      </w:pPr>
      <w:r>
        <w:t xml:space="preserve">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1"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8</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8</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2"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2"/>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3"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3"/>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4"/>
    <w:bookmarkStart w:id="37" w:name="X874ed648d04cd4061333629ea007cfb78435af7"/>
    <w:p>
      <w:pPr>
        <w:pStyle w:val="Heading1"/>
      </w:pPr>
      <w:r>
        <w:t xml:space="preserve">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nor/>
                <m:sty m:val="p"/>
              </m:rPr>
              <m:t>low</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nor/>
              <m:sty m:val="p"/>
            </m:rPr>
            <m:t>low</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low</m:t>
                  </m:r>
                </m:e>
              </m:acc>
            </m:e>
          </m:d>
          <m:r>
            <m:rPr>
              <m:sty m:val="p"/>
            </m:rPr>
            <m:t>,</m:t>
          </m:r>
          <m:r>
            <m:t>  </m:t>
          </m:r>
          <m:r>
            <m:rPr>
              <m:nor/>
              <m:sty m:val="p"/>
            </m:rPr>
            <m:t>up</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up</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nor/>
                <m:sty m:val="p"/>
              </m:rPr>
              <m:t>low</m:t>
            </m:r>
          </m:e>
        </m:acc>
        <m:r>
          <m:rPr>
            <m:sty m:val="p"/>
          </m:rPr>
          <m:t>,</m:t>
        </m:r>
        <m:acc>
          <m:accPr>
            <m:chr m:val="̃"/>
          </m:accPr>
          <m:e>
            <m:r>
              <m:rPr>
                <m:nor/>
                <m:sty m:val="p"/>
              </m:rPr>
              <m:t>up</m:t>
            </m:r>
          </m:e>
        </m:acc>
        <m:r>
          <m:rPr>
            <m:sty m:val="p"/>
          </m:rPr>
          <m:t>,</m:t>
        </m:r>
        <m:r>
          <m:t>κ</m:t>
        </m:r>
        <m:r>
          <m:rPr>
            <m:sty m:val="p"/>
          </m:rPr>
          <m:t>∈</m:t>
        </m:r>
        <m:r>
          <m:rPr>
            <m:sty m:val="p"/>
            <m:scr m:val="double-struck"/>
          </m:rPr>
          <m:t>R</m:t>
        </m:r>
      </m:oMath>
      <w:r>
        <w:t xml:space="preserve">. This constrains</w:t>
      </w:r>
      <w:r>
        <w:t xml:space="preserve"> </w:t>
      </w:r>
      <m:oMath>
        <m:r>
          <m:rPr>
            <m:nor/>
            <m:sty m:val="p"/>
          </m:rPr>
          <m:t>low</m:t>
        </m:r>
        <m:r>
          <m:rPr>
            <m:sty m:val="p"/>
          </m:rPr>
          <m:t>∈</m:t>
        </m:r>
        <m:d>
          <m:dPr>
            <m:begChr m:val="["/>
            <m:sepChr m:val=""/>
            <m:endChr m:val="]"/>
            <m:grow/>
          </m:dPr>
          <m:e>
            <m:r>
              <m:t>0</m:t>
            </m:r>
            <m:r>
              <m:rPr>
                <m:sty m:val="p"/>
              </m:rPr>
              <m:t>,</m:t>
            </m:r>
            <m:r>
              <m:t>0.49</m:t>
            </m:r>
          </m:e>
        </m:d>
      </m:oMath>
      <w:r>
        <w:t xml:space="preserve"> </w:t>
      </w:r>
      <w:r>
        <w:t xml:space="preserve">and</w:t>
      </w:r>
      <w:r>
        <w:t xml:space="preserve"> </w:t>
      </w:r>
      <m:oMath>
        <m:r>
          <m:rPr>
            <m:nor/>
            <m:sty m:val="p"/>
          </m:rPr>
          <m:t>up</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nor/>
            <m:sty m:val="p"/>
          </m:rPr>
          <m:t>low</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Case Study 1: Thermal sensitivity estimation across life stages in shrimp</w:t>
      </w:r>
    </w:p>
    <w:bookmarkStart w:id="38" w:name="X83c280133a78de915d3b14a666f30d6a82dc387"/>
    <w:p>
      <w:pPr>
        <w:pStyle w:val="Heading2"/>
      </w:pPr>
      <w:r>
        <w:t xml:space="preserve">What the 4PL delivers that the two-step cannot</w:t>
      </w:r>
    </w:p>
    <w:bookmarkEnd w:id="38"/>
    <w:bookmarkEnd w:id="39"/>
    <w:bookmarkStart w:id="46" w:name="X2a14174f4c72db593bce4e6516c6528cdb497de"/>
    <w:p>
      <w:pPr>
        <w:pStyle w:val="Heading1"/>
      </w:pPr>
      <w:r>
        <w:t xml:space="preserve">Worked example: brown shrimp thermal tolerance</w:t>
      </w:r>
    </w:p>
    <w:bookmarkStart w:id="40" w:name="data-and-experimental-design"/>
    <w:p>
      <w:pPr>
        <w:pStyle w:val="Heading2"/>
      </w:pPr>
      <w:r>
        <w:t xml:space="preserve">Data and experimental design</w:t>
      </w:r>
    </w:p>
    <w:bookmarkEnd w:id="40"/>
    <w:bookmarkStart w:id="41" w:name="lethal-tdt-hierarchical-4pl-on-counts"/>
    <w:p>
      <w:pPr>
        <w:pStyle w:val="Heading2"/>
      </w:pPr>
      <w:r>
        <w:t xml:space="preserve">Lethal TDT — hierarchical 4PL on counts</w:t>
      </w:r>
    </w:p>
    <w:bookmarkEnd w:id="41"/>
    <w:bookmarkStart w:id="42" w:name="sublethal-time-to-death"/>
    <w:p>
      <w:pPr>
        <w:pStyle w:val="Heading2"/>
      </w:pPr>
      <w:r>
        <w:t xml:space="preserve">Sublethal time-to-death</w:t>
      </w:r>
    </w:p>
    <w:bookmarkEnd w:id="42"/>
    <w:bookmarkStart w:id="43" w:name="dynamic-ctmax-across-ramping-rates"/>
    <w:p>
      <w:pPr>
        <w:pStyle w:val="Heading2"/>
      </w:pPr>
      <w:r>
        <w:t xml:space="preserve">Dynamic CTmax across ramping rates</w:t>
      </w:r>
    </w:p>
    <w:bookmarkEnd w:id="43"/>
    <w:bookmarkStart w:id="44" w:name="Xa764bbb0ef06e1b16f1b866442815364d0000f8"/>
    <w:p>
      <w:pPr>
        <w:pStyle w:val="Heading2"/>
      </w:pPr>
      <w:r>
        <w:t xml:space="preserve">Reconciling the three endpoints via the Jørgensen ramping equation</w:t>
      </w:r>
    </w:p>
    <w:bookmarkEnd w:id="44"/>
    <w:bookmarkStart w:id="45" w:name="Xc9d8a39a8777a97080af0145482f0bf85ce7458"/>
    <w:p>
      <w:pPr>
        <w:pStyle w:val="Heading2"/>
      </w:pPr>
      <w:r>
        <w:t xml:space="preserve">Field-temperature heat-injury projections under warming scenarios</w:t>
      </w:r>
    </w:p>
    <w:bookmarkEnd w:id="45"/>
    <w:bookmarkEnd w:id="46"/>
    <w:bookmarkStart w:id="50" w:name="discussion"/>
    <w:p>
      <w:pPr>
        <w:pStyle w:val="Heading1"/>
      </w:pPr>
      <w:r>
        <w:t xml:space="preserve">Discussion</w:t>
      </w:r>
    </w:p>
    <w:bookmarkStart w:id="47" w:name="X5dac85fa1a4411486a220dbeaf8627ab0091f32"/>
    <w:p>
      <w:pPr>
        <w:pStyle w:val="Heading2"/>
      </w:pPr>
      <w:r>
        <w:t xml:space="preserve">What changes for the field if the hierarchical 4PL becomes the default</w:t>
      </w:r>
    </w:p>
    <w:bookmarkEnd w:id="47"/>
    <w:bookmarkStart w:id="48" w:name="limits-of-the-present-analysis"/>
    <w:p>
      <w:pPr>
        <w:pStyle w:val="Heading2"/>
      </w:pPr>
      <w:r>
        <w:t xml:space="preserve">Limits of the present analysis</w:t>
      </w:r>
    </w:p>
    <w:bookmarkEnd w:id="48"/>
    <w:bookmarkStart w:id="49" w:name="Xf0d52b04feeaedf0b5abcee2b4d231c85971023"/>
    <w:p>
      <w:pPr>
        <w:pStyle w:val="Heading2"/>
      </w:pPr>
      <w:r>
        <w:t xml:space="preserve">Recommendations for primary studies and meta-analyses</w:t>
      </w:r>
    </w:p>
    <w:bookmarkEnd w:id="49"/>
    <w:bookmarkEnd w:id="50"/>
    <w:bookmarkStart w:id="51" w:name="conclusions"/>
    <w:p>
      <w:pPr>
        <w:pStyle w:val="Heading1"/>
      </w:pPr>
      <w:r>
        <w:t xml:space="preserve">Conclusions</w:t>
      </w:r>
    </w:p>
    <w:bookmarkEnd w:id="51"/>
    <w:bookmarkStart w:id="52" w:name="acknowledgements"/>
    <w:p>
      <w:pPr>
        <w:pStyle w:val="Heading1"/>
      </w:pPr>
      <w:r>
        <w:t xml:space="preserve">Acknowledgements</w:t>
      </w:r>
    </w:p>
    <w:bookmarkEnd w:id="52"/>
    <w:bookmarkStart w:id="53" w:name="author-contributions"/>
    <w:p>
      <w:pPr>
        <w:pStyle w:val="Heading1"/>
      </w:pPr>
      <w:r>
        <w:t xml:space="preserve">Author contributions</w:t>
      </w:r>
    </w:p>
    <w:bookmarkEnd w:id="53"/>
    <w:bookmarkStart w:id="54" w:name="data-and-code-availability"/>
    <w:p>
      <w:pPr>
        <w:pStyle w:val="Heading1"/>
      </w:pPr>
      <w:r>
        <w:t xml:space="preserve">Data and code availability</w:t>
      </w:r>
    </w:p>
    <w:p>
      <w:pPr>
        <w:pStyle w:val="FirstParagraph"/>
      </w:pPr>
      <w:r>
        <w:t xml:space="preserve">All data, analysis scripts, and the rendered manuscript and supplement are available at https://github.com/daniel1noble/tls_model_equivalence.</w:t>
      </w:r>
    </w:p>
    <w:bookmarkEnd w:id="54"/>
    <w:bookmarkStart w:id="55" w:name="conflict-of-interest"/>
    <w:p>
      <w:pPr>
        <w:pStyle w:val="Heading1"/>
      </w:pPr>
      <w:r>
        <w:t xml:space="preserve">Conflict of interest</w:t>
      </w:r>
    </w:p>
    <w:p>
      <w:pPr>
        <w:pStyle w:val="FirstParagraph"/>
      </w:pPr>
      <w:r>
        <w:t xml:space="preserve">The authors declare no competing interests.</w:t>
      </w:r>
    </w:p>
    <w:bookmarkEnd w:id="55"/>
    <w:bookmarkStart w:id="124" w:name="references"/>
    <w:p>
      <w:pPr>
        <w:pStyle w:val="Heading1"/>
      </w:pPr>
      <w:r>
        <w:t xml:space="preserve">References</w:t>
      </w:r>
    </w:p>
    <w:bookmarkStart w:id="123" w:name="refs"/>
    <w:bookmarkStart w:id="57"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6">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57"/>
    <w:bookmarkStart w:id="58"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58"/>
    <w:bookmarkStart w:id="60" w:name="ref-buckley_damage_2025"/>
    <w:p>
      <w:pPr>
        <w:pStyle w:val="Bibliography"/>
      </w:pPr>
      <w:r>
        <w:t xml:space="preserve">Buckley, L.B., Huey, R.B. &amp; Ma, C.-S. (2025).</w:t>
      </w:r>
      <w:r>
        <w:t xml:space="preserve"> </w:t>
      </w:r>
      <w:hyperlink r:id="rId59">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0"/>
    <w:bookmarkStart w:id="62" w:name="ref-burke_ipd_2017"/>
    <w:p>
      <w:pPr>
        <w:pStyle w:val="Bibliography"/>
      </w:pPr>
      <w:r>
        <w:t xml:space="preserve">Burke, D.L., Ensor, J. &amp; Riley, R.D. (2017).</w:t>
      </w:r>
      <w:r>
        <w:t xml:space="preserve"> </w:t>
      </w:r>
      <w:hyperlink r:id="rId61">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2"/>
    <w:bookmarkStart w:id="64" w:name="ref-carroll_measurement_2006"/>
    <w:p>
      <w:pPr>
        <w:pStyle w:val="Bibliography"/>
      </w:pPr>
      <w:r>
        <w:t xml:space="preserve">Carroll, R.J., Ruppert, D., Stefanski, L.A. &amp; Crainiceanu, C.M. (2006).</w:t>
      </w:r>
      <w:r>
        <w:t xml:space="preserve"> </w:t>
      </w:r>
      <w:hyperlink r:id="rId63">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4"/>
    <w:bookmarkStart w:id="66"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65">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66"/>
    <w:bookmarkStart w:id="68" w:name="ref-gelman_priors_2006"/>
    <w:p>
      <w:pPr>
        <w:pStyle w:val="Bibliography"/>
      </w:pPr>
      <w:r>
        <w:t xml:space="preserve">Gelman, A. (2006).</w:t>
      </w:r>
      <w:r>
        <w:t xml:space="preserve"> </w:t>
      </w:r>
      <w:hyperlink r:id="rId67">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68"/>
    <w:bookmarkStart w:id="70" w:name="ref-harrison_olre_2014"/>
    <w:p>
      <w:pPr>
        <w:pStyle w:val="Bibliography"/>
      </w:pPr>
      <w:r>
        <w:t xml:space="preserve">Harrison, X.A. (2014).</w:t>
      </w:r>
      <w:r>
        <w:t xml:space="preserve"> </w:t>
      </w:r>
      <w:hyperlink r:id="rId69">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0"/>
    <w:bookmarkStart w:id="72"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1">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2"/>
    <w:bookmarkStart w:id="74" w:name="ref-jorgensen_drosophila_2019"/>
    <w:p>
      <w:pPr>
        <w:pStyle w:val="Bibliography"/>
      </w:pPr>
      <w:r>
        <w:t xml:space="preserve">Jørgensen, L.B., Malte, H. &amp; Overgaard, J. (2019).</w:t>
      </w:r>
      <w:r>
        <w:t xml:space="preserve"> </w:t>
      </w:r>
      <w:hyperlink r:id="rId73">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4"/>
    <w:bookmarkStart w:id="76" w:name="ref-jorgensen_unifying_2021"/>
    <w:p>
      <w:pPr>
        <w:pStyle w:val="Bibliography"/>
      </w:pPr>
      <w:r>
        <w:t xml:space="preserve">Jørgensen, L.B., Malte, H. &amp; Overgaard, J. (2021).</w:t>
      </w:r>
      <w:r>
        <w:t xml:space="preserve"> </w:t>
      </w:r>
      <w:hyperlink r:id="rId75">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76"/>
    <w:bookmarkStart w:id="78" w:name="ref-jorgensen_nature_2022"/>
    <w:p>
      <w:pPr>
        <w:pStyle w:val="Bibliography"/>
      </w:pPr>
      <w:r>
        <w:t xml:space="preserve">Jørgensen, L.B., Ørsted, M., Malte, H., Wang, T. &amp; Overgaard, J. (2022).</w:t>
      </w:r>
      <w:r>
        <w:t xml:space="preserve"> </w:t>
      </w:r>
      <w:hyperlink r:id="rId77">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78"/>
    <w:bookmarkStart w:id="80"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79">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0"/>
    <w:bookmarkStart w:id="82" w:name="ref-nakagawa_santos_2012"/>
    <w:p>
      <w:pPr>
        <w:pStyle w:val="Bibliography"/>
      </w:pPr>
      <w:r>
        <w:t xml:space="preserve">Nakagawa, S. &amp; Santos, E.S.A. (2012).</w:t>
      </w:r>
      <w:r>
        <w:t xml:space="preserve"> </w:t>
      </w:r>
      <w:hyperlink r:id="rId81">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2"/>
    <w:bookmarkStart w:id="84" w:name="ref-nielsen_nlmm_2004"/>
    <w:p>
      <w:pPr>
        <w:pStyle w:val="Bibliography"/>
      </w:pPr>
      <w:r>
        <w:t xml:space="preserve">Nielsen, O.K., Ritz, C. &amp; Streibig, J.C. (2004).</w:t>
      </w:r>
      <w:r>
        <w:t xml:space="preserve"> </w:t>
      </w:r>
      <w:hyperlink r:id="rId83">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4"/>
    <w:bookmarkStart w:id="86"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85">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86"/>
    <w:bookmarkStart w:id="88" w:name="ref-orsted_finding_2022"/>
    <w:p>
      <w:pPr>
        <w:pStyle w:val="Bibliography"/>
      </w:pPr>
      <w:r>
        <w:t xml:space="preserve">Ørsted, M., Jørgensen, L.B. &amp; Overgaard, J. (2022).</w:t>
      </w:r>
      <w:r>
        <w:t xml:space="preserve"> </w:t>
      </w:r>
      <w:hyperlink r:id="rId87">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88"/>
    <w:bookmarkStart w:id="90" w:name="ref-orsted_suzukii_2024"/>
    <w:p>
      <w:pPr>
        <w:pStyle w:val="Bibliography"/>
      </w:pPr>
      <w:r>
        <w:t xml:space="preserve">Ørsted, M., Willot, Q., Olsen, A.K., Kongsgaard, V. &amp; Overgaard, J. (2024).</w:t>
      </w:r>
      <w:r>
        <w:t xml:space="preserve"> </w:t>
      </w:r>
      <w:hyperlink r:id="rId89">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0"/>
    <w:bookmarkStart w:id="92" w:name="ref-pinsky_marine_2019"/>
    <w:p>
      <w:pPr>
        <w:pStyle w:val="Bibliography"/>
      </w:pPr>
      <w:r>
        <w:t xml:space="preserve">Pinsky, M.L., Eikeset, A.M., McCauley, D.J., Payne, J.L. &amp; Sunday, J.M. (2019).</w:t>
      </w:r>
      <w:r>
        <w:t xml:space="preserve"> </w:t>
      </w:r>
      <w:hyperlink r:id="rId91">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2"/>
    <w:bookmarkStart w:id="94"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3">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4"/>
    <w:bookmarkStart w:id="96" w:name="ref-rezende_drosophila_mortality_2020"/>
    <w:p>
      <w:pPr>
        <w:pStyle w:val="Bibliography"/>
      </w:pPr>
      <w:r>
        <w:t xml:space="preserve">Rezende, E.L., Bozinovic, F., Szilágyi, A. &amp; Santos, M. (2020).</w:t>
      </w:r>
      <w:r>
        <w:t xml:space="preserve"> </w:t>
      </w:r>
      <w:hyperlink r:id="rId95">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96"/>
    <w:bookmarkStart w:id="98" w:name="ref-rezende_landscapes_2014"/>
    <w:p>
      <w:pPr>
        <w:pStyle w:val="Bibliography"/>
      </w:pPr>
      <w:r>
        <w:t xml:space="preserve">Rezende, E.L., Castañeda, L.E. &amp; Santos, M. (2014).</w:t>
      </w:r>
      <w:r>
        <w:t xml:space="preserve"> </w:t>
      </w:r>
      <w:hyperlink r:id="rId97">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98"/>
    <w:bookmarkStart w:id="100" w:name="ref-ritz_ecotox_2010"/>
    <w:p>
      <w:pPr>
        <w:pStyle w:val="Bibliography"/>
      </w:pPr>
      <w:r>
        <w:t xml:space="preserve">Ritz, C. (2010).</w:t>
      </w:r>
      <w:r>
        <w:t xml:space="preserve"> </w:t>
      </w:r>
      <w:hyperlink r:id="rId99">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0"/>
    <w:bookmarkStart w:id="102" w:name="ref-ritz_drc_2015"/>
    <w:p>
      <w:pPr>
        <w:pStyle w:val="Bibliography"/>
      </w:pPr>
      <w:r>
        <w:t xml:space="preserve">Ritz, C., Baty, F., Streibig, J.C. &amp; Gerhard, D. (2015).</w:t>
      </w:r>
      <w:r>
        <w:t xml:space="preserve"> </w:t>
      </w:r>
      <w:hyperlink r:id="rId101">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2"/>
    <w:bookmarkStart w:id="104" w:name="ref-ritz_streibig_2008"/>
    <w:p>
      <w:pPr>
        <w:pStyle w:val="Bibliography"/>
      </w:pPr>
      <w:r>
        <w:t xml:space="preserve">Ritz, C. &amp; Streibig, J.C. (2008).</w:t>
      </w:r>
      <w:r>
        <w:t xml:space="preserve"> </w:t>
      </w:r>
      <w:hyperlink r:id="rId103">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4"/>
    <w:bookmarkStart w:id="106" w:name="ref-rudemo_random_1989"/>
    <w:p>
      <w:pPr>
        <w:pStyle w:val="Bibliography"/>
      </w:pPr>
      <w:r>
        <w:t xml:space="preserve">Rudemo, M., Ruppert, D. &amp; Streibig, J.C. (1989).</w:t>
      </w:r>
      <w:r>
        <w:t xml:space="preserve"> </w:t>
      </w:r>
      <w:hyperlink r:id="rId105">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06"/>
    <w:bookmarkStart w:id="108" w:name="ref-schielzeth_centering_2010"/>
    <w:p>
      <w:pPr>
        <w:pStyle w:val="Bibliography"/>
      </w:pPr>
      <w:r>
        <w:t xml:space="preserve">Schielzeth, H. (2010).</w:t>
      </w:r>
      <w:r>
        <w:t xml:space="preserve"> </w:t>
      </w:r>
      <w:hyperlink r:id="rId107">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08"/>
    <w:bookmarkStart w:id="110"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09">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0"/>
    <w:bookmarkStart w:id="112" w:name="ref-snook_fertility_2026"/>
    <w:p>
      <w:pPr>
        <w:pStyle w:val="Bibliography"/>
      </w:pPr>
      <w:r>
        <w:t xml:space="preserve">Snook, R.R., Bretman, A., Dougherty, L.R. &amp; Fricke, C. (2026).</w:t>
      </w:r>
      <w:r>
        <w:t xml:space="preserve"> </w:t>
      </w:r>
      <w:hyperlink r:id="rId111">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2"/>
    <w:bookmarkStart w:id="114" w:name="ref-sunday_global_2011"/>
    <w:p>
      <w:pPr>
        <w:pStyle w:val="Bibliography"/>
      </w:pPr>
      <w:r>
        <w:t xml:space="preserve">Sunday, J.M., Bates, A.E. &amp; Dulvy, N.K. (2011).</w:t>
      </w:r>
      <w:r>
        <w:t xml:space="preserve"> </w:t>
      </w:r>
      <w:hyperlink r:id="rId113">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4"/>
    <w:bookmarkStart w:id="116" w:name="ref-sunday_redistribution_2012"/>
    <w:p>
      <w:pPr>
        <w:pStyle w:val="Bibliography"/>
      </w:pPr>
      <w:r>
        <w:t xml:space="preserve">Sunday, J.M., Bates, A.E. &amp; Dulvy, N.K. (2012).</w:t>
      </w:r>
      <w:r>
        <w:t xml:space="preserve"> </w:t>
      </w:r>
      <w:hyperlink r:id="rId115">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16"/>
    <w:bookmarkStart w:id="118" w:name="ref-truebano2018"/>
    <w:p>
      <w:pPr>
        <w:pStyle w:val="Bibliography"/>
      </w:pPr>
      <w:r>
        <w:t xml:space="preserve">Truebano, M., Fenner, P., Tills, O., Rundle, S. &amp; Rezende, E. (2018).</w:t>
      </w:r>
      <w:r>
        <w:t xml:space="preserve"> </w:t>
      </w:r>
      <w:hyperlink r:id="rId117">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18"/>
    <w:bookmarkStart w:id="120" w:name="ref-villeneuve_dynamic_2024"/>
    <w:p>
      <w:pPr>
        <w:pStyle w:val="Bibliography"/>
      </w:pPr>
      <w:r>
        <w:t xml:space="preserve">Villeneuve, A.R. &amp; White, E.R. (2024).</w:t>
      </w:r>
      <w:r>
        <w:t xml:space="preserve"> </w:t>
      </w:r>
      <w:hyperlink r:id="rId119">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0"/>
    <w:bookmarkStart w:id="122" w:name="ref-wiens_localextinctions_2016"/>
    <w:p>
      <w:pPr>
        <w:pStyle w:val="Bibliography"/>
      </w:pPr>
      <w:r>
        <w:t xml:space="preserve">Wiens, J.J. (2016).</w:t>
      </w:r>
      <w:r>
        <w:t xml:space="preserve"> </w:t>
      </w:r>
      <w:hyperlink r:id="rId121">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2"/>
    <w:bookmarkEnd w:id="123"/>
    <w:bookmarkEnd w:id="124"/>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9" Target="https://doi.org/10.1002/etc.7" TargetMode="External" /><Relationship Type="http://schemas.openxmlformats.org/officeDocument/2006/relationships/hyperlink" Id="rId61" Target="https://doi.org/10.1002/sim.7141" TargetMode="External" /><Relationship Type="http://schemas.openxmlformats.org/officeDocument/2006/relationships/hyperlink" Id="rId103" Target="https://doi.org/10.1007/978-0-387-09616-2" TargetMode="External" /><Relationship Type="http://schemas.openxmlformats.org/officeDocument/2006/relationships/hyperlink" Id="rId81" Target="https://doi.org/10.1007/s10682-012-9555-5" TargetMode="External" /><Relationship Type="http://schemas.openxmlformats.org/officeDocument/2006/relationships/hyperlink" Id="rId79" Target="https://doi.org/10.1016/j.jtherbio.2023.103583" TargetMode="External" /><Relationship Type="http://schemas.openxmlformats.org/officeDocument/2006/relationships/hyperlink" Id="rId85" Target="https://doi.org/10.1016/j.tree.2026.01.009" TargetMode="External" /><Relationship Type="http://schemas.openxmlformats.org/officeDocument/2006/relationships/hyperlink" Id="rId115" Target="https://doi.org/10.1038/nclimate1539" TargetMode="External" /><Relationship Type="http://schemas.openxmlformats.org/officeDocument/2006/relationships/hyperlink" Id="rId109" Target="https://doi.org/10.1038/s41558-019-0412-1" TargetMode="External" /><Relationship Type="http://schemas.openxmlformats.org/officeDocument/2006/relationships/hyperlink" Id="rId91" Target="https://doi.org/10.1038/s41586-019-1132-4" TargetMode="External" /><Relationship Type="http://schemas.openxmlformats.org/officeDocument/2006/relationships/hyperlink" Id="rId77" Target="https://doi.org/10.1038/s41586-022-05334-4" TargetMode="External" /><Relationship Type="http://schemas.openxmlformats.org/officeDocument/2006/relationships/hyperlink" Id="rId93" Target="https://doi.org/10.1038/s41586-025-08665-0" TargetMode="External" /><Relationship Type="http://schemas.openxmlformats.org/officeDocument/2006/relationships/hyperlink" Id="rId75" Target="https://doi.org/10.1038/s41598-021-92004-6" TargetMode="External" /><Relationship Type="http://schemas.openxmlformats.org/officeDocument/2006/relationships/hyperlink" Id="rId111" Target="https://doi.org/10.1038/s44358-026-00142-4" TargetMode="External" /><Relationship Type="http://schemas.openxmlformats.org/officeDocument/2006/relationships/hyperlink" Id="rId65" Target="https://doi.org/10.1073/pnas.0709472105" TargetMode="External" /><Relationship Type="http://schemas.openxmlformats.org/officeDocument/2006/relationships/hyperlink" Id="rId59" Target="https://doi.org/10.1093/icb/icaf019" TargetMode="External" /><Relationship Type="http://schemas.openxmlformats.org/officeDocument/2006/relationships/hyperlink" Id="rId113" Target="https://doi.org/10.1098/rspb.2010.1295" TargetMode="External" /><Relationship Type="http://schemas.openxmlformats.org/officeDocument/2006/relationships/hyperlink" Id="rId97" Target="https://doi.org/10.1111/1365-2435.12268" TargetMode="External" /><Relationship Type="http://schemas.openxmlformats.org/officeDocument/2006/relationships/hyperlink" Id="rId73" Target="https://doi.org/10.1111/1365-2435.13279" TargetMode="External" /><Relationship Type="http://schemas.openxmlformats.org/officeDocument/2006/relationships/hyperlink" Id="rId119" Target="https://doi.org/10.1111/1365-2656.14120" TargetMode="External" /><Relationship Type="http://schemas.openxmlformats.org/officeDocument/2006/relationships/hyperlink" Id="rId89" Target="https://doi.org/10.1111/ele.14421" TargetMode="External" /><Relationship Type="http://schemas.openxmlformats.org/officeDocument/2006/relationships/hyperlink" Id="rId56" Target="https://doi.org/10.1111/gcb.70315" TargetMode="External" /><Relationship Type="http://schemas.openxmlformats.org/officeDocument/2006/relationships/hyperlink" Id="rId107" Target="https://doi.org/10.1111/j.2041-210X.2010.00012.x" TargetMode="External" /><Relationship Type="http://schemas.openxmlformats.org/officeDocument/2006/relationships/hyperlink" Id="rId95" Target="https://doi.org/10.1126/science.aba9287" TargetMode="External" /><Relationship Type="http://schemas.openxmlformats.org/officeDocument/2006/relationships/hyperlink" Id="rId63" Target="https://doi.org/10.1201/9781420010138" TargetMode="External" /><Relationship Type="http://schemas.openxmlformats.org/officeDocument/2006/relationships/hyperlink" Id="rId67" Target="https://doi.org/10.1214/06-BA117A" TargetMode="External" /><Relationship Type="http://schemas.openxmlformats.org/officeDocument/2006/relationships/hyperlink" Id="rId117" Target="https://doi.org/10.1242/jeb.171629" TargetMode="External" /><Relationship Type="http://schemas.openxmlformats.org/officeDocument/2006/relationships/hyperlink" Id="rId87" Target="https://doi.org/10.1242/jeb.244514" TargetMode="External" /><Relationship Type="http://schemas.openxmlformats.org/officeDocument/2006/relationships/hyperlink" Id="rId121" Target="https://doi.org/10.1371/journal.pbio.2001104" TargetMode="External" /><Relationship Type="http://schemas.openxmlformats.org/officeDocument/2006/relationships/hyperlink" Id="rId101" Target="https://doi.org/10.1371/journal.pone.0146021" TargetMode="External" /><Relationship Type="http://schemas.openxmlformats.org/officeDocument/2006/relationships/hyperlink" Id="rId83" Target="https://doi.org/10.1614/WT-03-070R1" TargetMode="External" /><Relationship Type="http://schemas.openxmlformats.org/officeDocument/2006/relationships/hyperlink" Id="rId105" Target="https://doi.org/10.2307/2531483" TargetMode="External" /><Relationship Type="http://schemas.openxmlformats.org/officeDocument/2006/relationships/hyperlink" Id="rId71" Target="https://doi.org/10.7717/peerj.4794" TargetMode="External" /><Relationship Type="http://schemas.openxmlformats.org/officeDocument/2006/relationships/hyperlink" Id="rId69" Target="https://doi.org/10.7717/peerj.616"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2/etc.7" TargetMode="External" /><Relationship Type="http://schemas.openxmlformats.org/officeDocument/2006/relationships/hyperlink" Id="rId61" Target="https://doi.org/10.1002/sim.7141" TargetMode="External" /><Relationship Type="http://schemas.openxmlformats.org/officeDocument/2006/relationships/hyperlink" Id="rId103" Target="https://doi.org/10.1007/978-0-387-09616-2" TargetMode="External" /><Relationship Type="http://schemas.openxmlformats.org/officeDocument/2006/relationships/hyperlink" Id="rId81" Target="https://doi.org/10.1007/s10682-012-9555-5" TargetMode="External" /><Relationship Type="http://schemas.openxmlformats.org/officeDocument/2006/relationships/hyperlink" Id="rId79" Target="https://doi.org/10.1016/j.jtherbio.2023.103583" TargetMode="External" /><Relationship Type="http://schemas.openxmlformats.org/officeDocument/2006/relationships/hyperlink" Id="rId85" Target="https://doi.org/10.1016/j.tree.2026.01.009" TargetMode="External" /><Relationship Type="http://schemas.openxmlformats.org/officeDocument/2006/relationships/hyperlink" Id="rId115" Target="https://doi.org/10.1038/nclimate1539" TargetMode="External" /><Relationship Type="http://schemas.openxmlformats.org/officeDocument/2006/relationships/hyperlink" Id="rId109" Target="https://doi.org/10.1038/s41558-019-0412-1" TargetMode="External" /><Relationship Type="http://schemas.openxmlformats.org/officeDocument/2006/relationships/hyperlink" Id="rId91" Target="https://doi.org/10.1038/s41586-019-1132-4" TargetMode="External" /><Relationship Type="http://schemas.openxmlformats.org/officeDocument/2006/relationships/hyperlink" Id="rId77" Target="https://doi.org/10.1038/s41586-022-05334-4" TargetMode="External" /><Relationship Type="http://schemas.openxmlformats.org/officeDocument/2006/relationships/hyperlink" Id="rId93" Target="https://doi.org/10.1038/s41586-025-08665-0" TargetMode="External" /><Relationship Type="http://schemas.openxmlformats.org/officeDocument/2006/relationships/hyperlink" Id="rId75" Target="https://doi.org/10.1038/s41598-021-92004-6" TargetMode="External" /><Relationship Type="http://schemas.openxmlformats.org/officeDocument/2006/relationships/hyperlink" Id="rId111" Target="https://doi.org/10.1038/s44358-026-00142-4" TargetMode="External" /><Relationship Type="http://schemas.openxmlformats.org/officeDocument/2006/relationships/hyperlink" Id="rId65" Target="https://doi.org/10.1073/pnas.0709472105" TargetMode="External" /><Relationship Type="http://schemas.openxmlformats.org/officeDocument/2006/relationships/hyperlink" Id="rId59" Target="https://doi.org/10.1093/icb/icaf019" TargetMode="External" /><Relationship Type="http://schemas.openxmlformats.org/officeDocument/2006/relationships/hyperlink" Id="rId113" Target="https://doi.org/10.1098/rspb.2010.1295" TargetMode="External" /><Relationship Type="http://schemas.openxmlformats.org/officeDocument/2006/relationships/hyperlink" Id="rId97" Target="https://doi.org/10.1111/1365-2435.12268" TargetMode="External" /><Relationship Type="http://schemas.openxmlformats.org/officeDocument/2006/relationships/hyperlink" Id="rId73" Target="https://doi.org/10.1111/1365-2435.13279" TargetMode="External" /><Relationship Type="http://schemas.openxmlformats.org/officeDocument/2006/relationships/hyperlink" Id="rId119" Target="https://doi.org/10.1111/1365-2656.14120" TargetMode="External" /><Relationship Type="http://schemas.openxmlformats.org/officeDocument/2006/relationships/hyperlink" Id="rId89" Target="https://doi.org/10.1111/ele.14421" TargetMode="External" /><Relationship Type="http://schemas.openxmlformats.org/officeDocument/2006/relationships/hyperlink" Id="rId56" Target="https://doi.org/10.1111/gcb.70315" TargetMode="External" /><Relationship Type="http://schemas.openxmlformats.org/officeDocument/2006/relationships/hyperlink" Id="rId107" Target="https://doi.org/10.1111/j.2041-210X.2010.00012.x" TargetMode="External" /><Relationship Type="http://schemas.openxmlformats.org/officeDocument/2006/relationships/hyperlink" Id="rId95" Target="https://doi.org/10.1126/science.aba9287" TargetMode="External" /><Relationship Type="http://schemas.openxmlformats.org/officeDocument/2006/relationships/hyperlink" Id="rId63" Target="https://doi.org/10.1201/9781420010138" TargetMode="External" /><Relationship Type="http://schemas.openxmlformats.org/officeDocument/2006/relationships/hyperlink" Id="rId67" Target="https://doi.org/10.1214/06-BA117A" TargetMode="External" /><Relationship Type="http://schemas.openxmlformats.org/officeDocument/2006/relationships/hyperlink" Id="rId117" Target="https://doi.org/10.1242/jeb.171629" TargetMode="External" /><Relationship Type="http://schemas.openxmlformats.org/officeDocument/2006/relationships/hyperlink" Id="rId87" Target="https://doi.org/10.1242/jeb.244514" TargetMode="External" /><Relationship Type="http://schemas.openxmlformats.org/officeDocument/2006/relationships/hyperlink" Id="rId121" Target="https://doi.org/10.1371/journal.pbio.2001104" TargetMode="External" /><Relationship Type="http://schemas.openxmlformats.org/officeDocument/2006/relationships/hyperlink" Id="rId101" Target="https://doi.org/10.1371/journal.pone.0146021" TargetMode="External" /><Relationship Type="http://schemas.openxmlformats.org/officeDocument/2006/relationships/hyperlink" Id="rId83" Target="https://doi.org/10.1614/WT-03-070R1" TargetMode="External" /><Relationship Type="http://schemas.openxmlformats.org/officeDocument/2006/relationships/hyperlink" Id="rId105" Target="https://doi.org/10.2307/2531483" TargetMode="External" /><Relationship Type="http://schemas.openxmlformats.org/officeDocument/2006/relationships/hyperlink" Id="rId71" Target="https://doi.org/10.7717/peerj.4794" TargetMode="External" /><Relationship Type="http://schemas.openxmlformats.org/officeDocument/2006/relationships/hyperlink" Id="rId69" Target="https://doi.org/10.7717/peerj.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death time, tolerance landscape, hierarchical Bayesian model, 4-parameter logistic, heat injury, CTmax, ectotherm</cp:keywords>
  <dcterms:created xsi:type="dcterms:W3CDTF">2026-05-12T15:22:35Z</dcterms:created>
  <dcterms:modified xsi:type="dcterms:W3CDTF">2026-05-12T15:22:35Z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