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22.png" ContentType="image/png"/>
  <Override PartName="/word/media/rId126.png" ContentType="image/png"/>
  <Override PartName="/word/media/rId118.png" ContentType="image/png"/>
  <Override PartName="/word/media/rId107.png" ContentType="image/png"/>
  <Override PartName="/word/media/rId102.png" ContentType="image/png"/>
  <Override PartName="/word/media/rId113.png" ContentType="image/png"/>
  <Override PartName="/word/media/rId82.png" ContentType="image/png"/>
  <Override PartName="/word/media/rId87.png" ContentType="image/png"/>
  <Override PartName="/word/media/rId54.png" ContentType="image/png"/>
  <Override PartName="/word/media/rId38.png" ContentType="image/png"/>
  <Override PartName="/word/media/rId62.png" ContentType="image/png"/>
  <Override PartName="/word/media/rId29.png" ContentType="image/png"/>
  <Override PartName="/word/media/rId7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2026-05-12</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bookmarkStart w:id="26" w:name="introduction"/>
    <w:p>
      <w:pPr>
        <w:pStyle w:val="Heading1"/>
      </w:pPr>
      <w:r>
        <w:t xml:space="preserve">1. Introduction</w:t>
      </w:r>
    </w:p>
    <w:p>
      <w:pPr>
        <w:pStyle w:val="FirstParagraph"/>
      </w:pPr>
      <w:r>
        <w:t xml:space="preserve">This supplement walks through the joint Bayesian 4-parameter logistic (4PL) framework described in the main manuscript. We provide a set of functions that allow you to apply the full workflow allowing the 4PL models to be fit and TLS parameters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to be extracted and also providing opportunities to integrate these TLS parameters to predict Heat Injury (</w:t>
      </w:r>
      <m:oMath>
        <m:r>
          <m:t>H</m:t>
        </m:r>
        <m:r>
          <m:t>I</m:t>
        </m:r>
      </m:oMath>
      <w:r>
        <w:t xml:space="preserve">) and survival fraction. These can also be combined with a repair model to allow damage (and therefore reductions in survival) to be repaired through a temperature time series. The functions are located in the</w:t>
      </w:r>
      <w:r>
        <w:t xml:space="preserve"> </w:t>
      </w:r>
      <w:r>
        <w:rPr>
          <w:rStyle w:val="VerbatimChar"/>
        </w:rPr>
        <w:t xml:space="preserve">R/</w:t>
      </w:r>
      <w:r>
        <w:t xml:space="preserve"> </w:t>
      </w:r>
      <w:r>
        <w:t xml:space="preserve">directory of the project repository — there is no package to install. Sourcing the files at the top of an analysis (see below) makes every function available to call.</w:t>
      </w:r>
    </w:p>
    <w:p>
      <w:pPr>
        <w:pStyle w:val="BodyText"/>
      </w:pPr>
      <w:r>
        <w:t xml:space="preserve">The functions are designed to be integrated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function ensures that the naming of columns is consistent to make it easier for downstream processing of models.</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w:r>
        <w:t xml:space="preserve">the classical TDT quantities — thermal sensitivity (</w:t>
      </w:r>
      <m:oMath>
        <m:r>
          <m:t>z</m:t>
        </m:r>
      </m:oMath>
      <w:r>
        <w:t xml:space="preserve">), critical thermal limit at one hour (</w:t>
      </w:r>
      <m:oMath>
        <m:r>
          <m:t>C</m:t>
        </m:r>
        <m:sSub>
          <m:e>
            <m:r>
              <m:t>T</m:t>
            </m:r>
          </m:e>
          <m:sub>
            <m:r>
              <m:t>m</m:t>
            </m:r>
            <m:r>
              <m:t>a</m:t>
            </m:r>
            <m:sSub>
              <m:e>
                <m:r>
                  <m:t>x</m:t>
                </m:r>
              </m:e>
              <m:sub>
                <m:r>
                  <m:t>1</m:t>
                </m:r>
                <m:r>
                  <m:t>h</m:t>
                </m:r>
                <m:r>
                  <m:t>r</m:t>
                </m:r>
              </m:sub>
            </m:sSub>
          </m:sub>
        </m:sSub>
      </m:oMath>
      <w:r>
        <w:t xml:space="preserve">), and the critical-injury threshold temperature (</w:t>
      </w:r>
      <m:oMath>
        <m:sSub>
          <m:e>
            <m:r>
              <m:t>T</m:t>
            </m:r>
          </m:e>
          <m:sub>
            <m:r>
              <m:t>c</m:t>
            </m:r>
            <m:r>
              <m:t>r</m:t>
            </m:r>
            <m:r>
              <m:t>i</m:t>
            </m:r>
            <m:r>
              <m:t>t</m:t>
            </m:r>
          </m:sub>
        </m:sSub>
      </m:oMath>
      <w:r>
        <w:t xml:space="preserve">) — all with full posterior uncertainty.</w:t>
      </w:r>
    </w:p>
    <w:p>
      <w:pPr>
        <w:pStyle w:val="Compact"/>
        <w:numPr>
          <w:ilvl w:val="0"/>
          <w:numId w:val="1001"/>
        </w:numPr>
      </w:pPr>
      <w:r>
        <w:rPr>
          <w:b/>
          <w:bCs/>
        </w:rPr>
        <w:t xml:space="preserve">Predict</w:t>
      </w:r>
      <w:r>
        <w:t xml:space="preserve"> </w:t>
      </w:r>
      <w:r>
        <w:t xml:space="preserve">survival under fluctuating field temperature traces, including heat-injury accumulation with optional Sharpe-Schoolfield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The remainder of the supplement walks the pipeline through a controlled simulation where the truth is known (§ A Tutorial with Simulations), then applies the same machinery end-to-end to a real lethal-TDT dataset on brown shrimp (§ Case Study 1: Shrimp data).</w:t>
      </w:r>
    </w:p>
    <w:bookmarkStart w:id="21" w:name="sec-load-library"/>
    <w:p>
      <w:pPr>
        <w:pStyle w:val="Heading2"/>
      </w:pPr>
      <w:r>
        <w:t xml:space="preserve">1.1 Loading the function library</w:t>
      </w:r>
    </w:p>
    <w:p>
      <w:pPr>
        <w:pStyle w:val="FirstParagraph"/>
      </w:pPr>
      <w:r>
        <w:t xml:space="preserve">The supplement assumes the project repository is the current working directory, so</w:t>
      </w:r>
      <w:r>
        <w:t xml:space="preserve"> </w:t>
      </w:r>
      <w:hyperlink r:id="rId20">
        <w:r>
          <w:rPr>
            <w:rStyle w:val="VerbatimChar"/>
          </w:rPr>
          <w:t xml:space="preserve">here::here()</w:t>
        </w:r>
      </w:hyperlink>
      <w:r>
        <w:t xml:space="preserve"> </w:t>
      </w:r>
      <w:r>
        <w:t xml:space="preserve">can resolve paths to</w:t>
      </w:r>
      <w:r>
        <w:t xml:space="preserve"> </w:t>
      </w:r>
      <w:r>
        <w:rPr>
          <w:rStyle w:val="VerbatimChar"/>
        </w:rPr>
        <w:t xml:space="preserve">R/</w:t>
      </w:r>
      <w:r>
        <w:t xml:space="preserve">. The chunk below loads required packages and sources every file in the function library.</w:t>
      </w:r>
    </w:p>
    <w:p>
      <w:pPr>
        <w:pStyle w:val="SourceCode"/>
      </w:pPr>
      <w:r>
        <w:rPr>
          <w:rStyle w:val="CommentTok"/>
        </w:rPr>
        <w:t xml:space="preserve"># Source the project function library (12 thematic files under R/).</w:t>
      </w:r>
      <w:r>
        <w:br/>
      </w:r>
      <w:r>
        <w:rPr>
          <w:rStyle w:val="NormalTok"/>
        </w:rPr>
        <w:t xml:space="preserve">tdt_lib_files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"utils.R"</w:t>
      </w:r>
      <w:r>
        <w:rPr>
          <w:rStyle w:val="NormalTok"/>
        </w:rPr>
        <w:t xml:space="preserve">, </w:t>
      </w:r>
      <w:r>
        <w:rPr>
          <w:rStyle w:val="StringTok"/>
        </w:rPr>
        <w:t xml:space="preserve">"standardize_data.R"</w:t>
      </w:r>
      <w:r>
        <w:rPr>
          <w:rStyle w:val="NormalTok"/>
        </w:rPr>
        <w:t xml:space="preserve">, </w:t>
      </w:r>
      <w:r>
        <w:rPr>
          <w:rStyle w:val="StringTok"/>
        </w:rPr>
        <w:t xml:space="preserve">"priors.R"</w:t>
      </w:r>
      <w:r>
        <w:rPr>
          <w:rStyle w:val="NormalTok"/>
        </w:rPr>
        <w:t xml:space="preserve">, </w:t>
      </w:r>
      <w:r>
        <w:rPr>
          <w:rStyle w:val="StringTok"/>
        </w:rPr>
        <w:t xml:space="preserve">"fit_4pl.R"</w:t>
      </w:r>
      <w:r>
        <w:rPr>
          <w:rStyle w:val="NormalTok"/>
        </w:rPr>
        <w:t xml:space="preserve">,</w:t>
      </w:r>
      <w:r>
        <w:br/>
      </w:r>
      <w:r>
        <w:rPr>
          <w:rStyle w:val="NormalTok"/>
        </w:rPr>
        <w:t xml:space="preserve">  </w:t>
      </w:r>
      <w:r>
        <w:rPr>
          <w:rStyle w:val="StringTok"/>
        </w:rPr>
        <w:t xml:space="preserve">"predict_survival_curves.R"</w:t>
      </w:r>
      <w:r>
        <w:rPr>
          <w:rStyle w:val="NormalTok"/>
        </w:rPr>
        <w:t xml:space="preserve">, </w:t>
      </w:r>
      <w:r>
        <w:rPr>
          <w:rStyle w:val="StringTok"/>
        </w:rPr>
        <w:t xml:space="preserve">"extract_tdt.R"</w:t>
      </w:r>
      <w:r>
        <w:rPr>
          <w:rStyle w:val="NormalTok"/>
        </w:rPr>
        <w:t xml:space="preserve">, </w:t>
      </w:r>
      <w:r>
        <w:rPr>
          <w:rStyle w:val="StringTok"/>
        </w:rPr>
        <w:t xml:space="preserve">"tdt_landscape.R"</w:t>
      </w:r>
      <w:r>
        <w:rPr>
          <w:rStyle w:val="NormalTok"/>
        </w:rPr>
        <w:t xml:space="preserve">,</w:t>
      </w:r>
      <w:r>
        <w:br/>
      </w:r>
      <w:r>
        <w:rPr>
          <w:rStyle w:val="NormalTok"/>
        </w:rPr>
        <w:t xml:space="preserve">  </w:t>
      </w:r>
      <w:r>
        <w:rPr>
          <w:rStyle w:val="StringTok"/>
        </w:rPr>
        <w:t xml:space="preserve">"repair.R"</w:t>
      </w:r>
      <w:r>
        <w:rPr>
          <w:rStyle w:val="NormalTok"/>
        </w:rPr>
        <w:t xml:space="preserve">, </w:t>
      </w:r>
      <w:r>
        <w:rPr>
          <w:rStyle w:val="StringTok"/>
        </w:rPr>
        <w:t xml:space="preserve">"temperature_scenarios.R"</w:t>
      </w:r>
      <w:r>
        <w:rPr>
          <w:rStyle w:val="NormalTok"/>
        </w:rPr>
        <w:t xml:space="preserve">, </w:t>
      </w:r>
      <w:r>
        <w:rPr>
          <w:rStyle w:val="StringTok"/>
        </w:rPr>
        <w:t xml:space="preserve">"predict_heat_injury.R"</w:t>
      </w:r>
      <w:r>
        <w:rPr>
          <w:rStyle w:val="NormalTok"/>
        </w:rPr>
        <w:t xml:space="preserve">,</w:t>
      </w:r>
      <w:r>
        <w:br/>
      </w:r>
      <w:r>
        <w:rPr>
          <w:rStyle w:val="NormalTok"/>
        </w:rPr>
        <w:t xml:space="preserve">  </w:t>
      </w:r>
      <w:r>
        <w:rPr>
          <w:rStyle w:val="StringTok"/>
        </w:rPr>
        <w:t xml:space="preserve">"plotting.R"</w:t>
      </w:r>
      <w:r>
        <w:rPr>
          <w:rStyle w:val="NormalTok"/>
        </w:rPr>
        <w:t xml:space="preserve">, </w:t>
      </w:r>
      <w:r>
        <w:rPr>
          <w:rStyle w:val="StringTok"/>
        </w:rPr>
        <w:t xml:space="preserve">"diagnostics.R"</w:t>
      </w:r>
      <w:r>
        <w:br/>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tdt_lib_files) </w:t>
      </w:r>
      <w:r>
        <w:rPr>
          <w:rStyle w:val="FunctionTok"/>
        </w:rPr>
        <w:t xml:space="preserve">source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w:t>
      </w:r>
      <w:r>
        <w:rPr>
          <w:rStyle w:val="NormalTok"/>
        </w:rPr>
        <w:t xml:space="preserve">, f))</w:t>
      </w:r>
    </w:p>
    <w:bookmarkEnd w:id="21"/>
    <w:bookmarkStart w:id="23" w:name="sec-function-tour"/>
    <w:p>
      <w:pPr>
        <w:pStyle w:val="Heading2"/>
      </w:pPr>
      <w:r>
        <w:t xml:space="preserve">1.2 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tbl>
      <w:tblPr>
        <w:tblStyle w:val="Table"/>
        <w:tblW w:type="pct" w:w="5000"/>
        <w:tblLayout w:type="fixed"/>
        <w:tblLook w:firstRow="0" w:lastRow="0" w:firstColumn="0" w:lastColumn="0" w:noHBand="0" w:noVBand="0" w:val="0000"/>
      </w:tblPr>
      <w:tblGrid>
        <w:gridCol w:w="7920"/>
      </w:tblGrid>
      <w:tr>
        <w:tc>
          <w:tcPr/>
          <w:bookmarkStart w:id="22"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62"/>
              <w:tblLayout w:type="fixed"/>
              <w:tblLook w:firstRow="1" w:lastRow="0" w:firstColumn="0" w:lastColumn="0" w:noHBand="0" w:noVBand="0" w:val="0020"/>
            </w:tblPr>
            <w:tblGrid>
              <w:gridCol w:w="1020"/>
              <w:gridCol w:w="2160"/>
              <w:gridCol w:w="4680"/>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 tdt_4pl_workflow object.</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derive_ltx_curve()</w:t>
                  </w:r>
                </w:p>
              </w:tc>
              <w:tc>
                <w:tcPr/>
                <w:p>
                  <w:pPr>
                    <w:pStyle w:val="Compact"/>
                    <w:jc w:val="center"/>
                  </w:pPr>
                  <w:r>
                    <w:t xml:space="preserve">Time-to-x-survival across temperature (per-draw inversion).</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survival = X for a fixed exposure duration.</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CTmax, T_crit posteriors in one call.</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plot_ltx_curve()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2"/>
          <w:p/>
        </w:tc>
      </w:tr>
    </w:tbl>
    <w:bookmarkEnd w:id="23"/>
    <w:bookmarkStart w:id="25" w:name="sec-library-tested"/>
    <w:p>
      <w:pPr>
        <w:pStyle w:val="Heading2"/>
      </w:pPr>
      <w:r>
        <w:t xml:space="preserve">1.3 Testing</w:t>
      </w:r>
    </w:p>
    <w:p>
      <w:pPr>
        <w:pStyle w:val="FirstParagraph"/>
      </w:pPr>
      <w:r>
        <w:t xml:space="preserve">Every function has matching unit tests under</w:t>
      </w:r>
      <w:r>
        <w:t xml:space="preserve"> </w:t>
      </w:r>
      <w:hyperlink r:id="rId24">
        <w:r>
          <w:rPr>
            <w:rStyle w:val="Hyperlink"/>
          </w:rPr>
          <w:t xml:space="preserve">tests/testthat/</w:t>
        </w:r>
      </w:hyperlink>
      <w:r>
        <w:t xml:space="preserve">. Fast tests (data manipulation, formula construction, prior structure, plus the pure-math 4PL inversion and planted-dose math) run in seconds via</w:t>
      </w:r>
      <w:r>
        <w:t xml:space="preserve"> </w:t>
      </w:r>
      <w:r>
        <w:rPr>
          <w:rStyle w:val="VerbatimChar"/>
        </w:rPr>
        <w:t xml:space="preserve">testthat::test_dir("tests/testthat")</w:t>
      </w:r>
      <w:r>
        <w:t xml:space="preserve">. A small set of brms-fitting integration tests is gated behind</w:t>
      </w:r>
      <w:r>
        <w:t xml:space="preserve"> </w:t>
      </w:r>
      <w:r>
        <w:rPr>
          <w:rStyle w:val="VerbatimChar"/>
        </w:rPr>
        <w:t xml:space="preserve">RUN_BRMS_TESTS=true</w:t>
      </w:r>
      <w:r>
        <w:t xml:space="preserve">: those build a small cached fixture fit and assert that</w:t>
      </w:r>
      <w:r>
        <w:t xml:space="preserve"> </w:t>
      </w:r>
      <w:r>
        <w:rPr>
          <w:rStyle w:val="VerbatimChar"/>
        </w:rPr>
        <w:t xml:space="preserve">extract_tdt()</w:t>
      </w:r>
      <w:r>
        <w:t xml:space="preserve"> </w:t>
      </w:r>
      <w:r>
        <w:t xml:space="preserve">and</w:t>
      </w:r>
      <w:r>
        <w:t xml:space="preserve"> </w:t>
      </w:r>
      <w:r>
        <w:rPr>
          <w:rStyle w:val="VerbatimChar"/>
        </w:rPr>
        <w:t xml:space="preserve">predict_heat_injury()</w:t>
      </w:r>
      <w:r>
        <w:t xml:space="preserve"> </w:t>
      </w:r>
      <w:r>
        <w:t xml:space="preserve">recover known simulation truths within their credible intervals.</w:t>
      </w:r>
    </w:p>
    <w:bookmarkEnd w:id="25"/>
    <w:bookmarkEnd w:id="26"/>
    <w:bookmarkStart w:id="94"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5" w:name="simulating-data"/>
    <w:p>
      <w:pPr>
        <w:pStyle w:val="Heading3"/>
      </w:pPr>
      <w:r>
        <w:t xml:space="preserve">2.0.1</w:t>
      </w:r>
      <w:r>
        <w:t xml:space="preserve"> </w:t>
      </w:r>
      <w:r>
        <w:rPr>
          <w:i/>
          <w:iCs/>
        </w:rPr>
        <w:t xml:space="preserve">Simulating Data</w:t>
      </w:r>
    </w:p>
    <w:bookmarkStart w:id="27"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7"/>
    <w:bookmarkStart w:id="28"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8"/>
    <w:bookmarkStart w:id="33"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2" w:name="fig-true-surface"/>
          <w:p>
            <w:pPr>
              <w:jc w:val="center"/>
            </w:pPr>
            <w:r>
              <w:drawing>
                <wp:inline>
                  <wp:extent cx="5943600" cy="3396342"/>
                  <wp:effectExtent b="0" l="0" r="0" t="0"/>
                  <wp:docPr descr="" title="" id="30" name="Picture"/>
                  <a:graphic>
                    <a:graphicData uri="http://schemas.openxmlformats.org/drawingml/2006/picture">
                      <pic:pic>
                        <pic:nvPicPr>
                          <pic:cNvPr descr="supplement_files/figure-docx/plot-true-surface-1.png" id="31" name="Picture"/>
                          <pic:cNvPicPr>
                            <a:picLocks noChangeArrowheads="1" noChangeAspect="1"/>
                          </pic:cNvPicPr>
                        </pic:nvPicPr>
                        <pic:blipFill>
                          <a:blip r:embed="rId29"/>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32"/>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33"/>
    <w:bookmarkStart w:id="34"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4"/>
    <w:bookmarkEnd w:id="35"/>
    <w:bookmarkStart w:id="46"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7"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36"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36"/>
          <w:p/>
        </w:tc>
      </w:tr>
    </w:tbl>
    <w:p>
      <w:pPr>
        <w:pStyle w:val="BodyText"/>
      </w:pPr>
      <w:r>
        <w:t xml:space="preserve">With the simulation’s true asymptotes near 0 and 1, the 2PL’s forced-asymptote constraint introduces negligible bias here, so each Stage-1 estimate sits close to the simulation truth.</w:t>
      </w:r>
    </w:p>
    <w:bookmarkEnd w:id="37"/>
    <w:bookmarkStart w:id="45"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1" w:name="fig-stage2-regression"/>
          <w:p>
            <w:pPr>
              <w:jc w:val="center"/>
            </w:pPr>
            <w:r>
              <w:drawing>
                <wp:inline>
                  <wp:extent cx="5943600" cy="3820885"/>
                  <wp:effectExtent b="0" l="0" r="0" t="0"/>
                  <wp:docPr descr="" title="" id="39" name="Picture"/>
                  <a:graphic>
                    <a:graphicData uri="http://schemas.openxmlformats.org/drawingml/2006/picture">
                      <pic:pic>
                        <pic:nvPicPr>
                          <pic:cNvPr descr="supplement_files/figure-docx/plot-stage2-regression-1.png" id="40" name="Picture"/>
                          <pic:cNvPicPr>
                            <a:picLocks noChangeArrowheads="1" noChangeAspect="1"/>
                          </pic:cNvPicPr>
                        </pic:nvPicPr>
                        <pic:blipFill>
                          <a:blip r:embed="rId38"/>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1"/>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5"/>
    <w:bookmarkEnd w:id="46"/>
    <w:bookmarkStart w:id="59"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51"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7"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7"/>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8"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8"/>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w:t>
      </w:r>
      <w:hyperlink w:anchor="sec-load-library">
        <w:r>
          <w:rPr>
            <w:rStyle w:val="Hyperlink"/>
          </w:rPr>
          <w:t xml:space="preserve">Loading the function library</w:t>
        </w:r>
      </w:hyperlink>
      <w:r>
        <w:t xml:space="preserve"> </w:t>
      </w:r>
      <w:r>
        <w:t xml:space="preserve">—</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51"/>
    <w:bookmarkStart w:id="52"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br/>
      </w: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52"/>
    <w:bookmarkStart w:id="58"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53"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0.0289</w:t>
                  </w:r>
                </w:p>
              </w:tc>
              <w:tc>
                <w:tcPr/>
                <w:p>
                  <w:pPr>
                    <w:pStyle w:val="Compact"/>
                    <w:jc w:val="center"/>
                  </w:pPr>
                  <w:r>
                    <w:t xml:space="preserve">0.0243</w:t>
                  </w:r>
                </w:p>
              </w:tc>
              <w:tc>
                <w:tcPr/>
                <w:p>
                  <w:pPr>
                    <w:pStyle w:val="Compact"/>
                    <w:jc w:val="center"/>
                  </w:pPr>
                  <w:r>
                    <w:t xml:space="preserve">0.0334</w:t>
                  </w:r>
                </w:p>
              </w:tc>
              <w:tc>
                <w:tcPr/>
                <w:p>
                  <w:pPr>
                    <w:pStyle w:val="Compact"/>
                    <w:jc w:val="center"/>
                  </w:pPr>
                  <w:r>
                    <w:t xml:space="preserve">0.0242</w:t>
                  </w:r>
                </w:p>
              </w:tc>
              <w:tc>
                <w:tcPr/>
                <w:p>
                  <w:pPr>
                    <w:pStyle w:val="Compact"/>
                    <w:jc w:val="center"/>
                  </w:pPr>
                  <w:r>
                    <w:t xml:space="preserve">0.0138</w:t>
                  </w:r>
                </w:p>
              </w:tc>
              <w:tc>
                <w:tcPr/>
                <w:p>
                  <w:pPr>
                    <w:pStyle w:val="Compact"/>
                    <w:jc w:val="center"/>
                  </w:pPr>
                  <w:r>
                    <w:t xml:space="preserve">0.0346</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0.9671</w:t>
                  </w:r>
                </w:p>
              </w:tc>
              <w:tc>
                <w:tcPr/>
                <w:p>
                  <w:pPr>
                    <w:pStyle w:val="Compact"/>
                    <w:jc w:val="center"/>
                  </w:pPr>
                  <w:r>
                    <w:t xml:space="preserve">0.9629</w:t>
                  </w:r>
                </w:p>
              </w:tc>
              <w:tc>
                <w:tcPr/>
                <w:p>
                  <w:pPr>
                    <w:pStyle w:val="Compact"/>
                    <w:jc w:val="center"/>
                  </w:pPr>
                  <w:r>
                    <w:t xml:space="preserve">0.9709</w:t>
                  </w:r>
                </w:p>
              </w:tc>
              <w:tc>
                <w:tcPr/>
                <w:p>
                  <w:pPr>
                    <w:pStyle w:val="Compact"/>
                    <w:jc w:val="center"/>
                  </w:pPr>
                  <w:r>
                    <w:t xml:space="preserve">0.97</w:t>
                  </w:r>
                </w:p>
              </w:tc>
              <w:tc>
                <w:tcPr/>
                <w:p>
                  <w:pPr>
                    <w:pStyle w:val="Compact"/>
                    <w:jc w:val="center"/>
                  </w:pPr>
                  <w:r>
                    <w:t xml:space="preserve">0.9619</w:t>
                  </w:r>
                </w:p>
              </w:tc>
              <w:tc>
                <w:tcPr/>
                <w:p>
                  <w:pPr>
                    <w:pStyle w:val="Compact"/>
                    <w:jc w:val="center"/>
                  </w:pPr>
                  <w:r>
                    <w:t xml:space="preserve">0.977</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8.3117</w:t>
                  </w:r>
                </w:p>
              </w:tc>
              <w:tc>
                <w:tcPr/>
                <w:p>
                  <w:pPr>
                    <w:pStyle w:val="Compact"/>
                    <w:jc w:val="center"/>
                  </w:pPr>
                  <w:r>
                    <w:t xml:space="preserve">7.886</w:t>
                  </w:r>
                </w:p>
              </w:tc>
              <w:tc>
                <w:tcPr/>
                <w:p>
                  <w:pPr>
                    <w:pStyle w:val="Compact"/>
                    <w:jc w:val="center"/>
                  </w:pPr>
                  <w:r>
                    <w:t xml:space="preserve">8.7684</w:t>
                  </w:r>
                </w:p>
              </w:tc>
              <w:tc>
                <w:tcPr/>
                <w:p>
                  <w:pPr>
                    <w:pStyle w:val="Compact"/>
                    <w:jc w:val="center"/>
                  </w:pPr>
                  <w:r>
                    <w:t xml:space="preserve">7.3327</w:t>
                  </w:r>
                </w:p>
              </w:tc>
              <w:tc>
                <w:tcPr/>
                <w:p>
                  <w:pPr>
                    <w:pStyle w:val="Compact"/>
                    <w:jc w:val="center"/>
                  </w:pPr>
                  <w:r>
                    <w:t xml:space="preserve">6.6161</w:t>
                  </w:r>
                </w:p>
              </w:tc>
              <w:tc>
                <w:tcPr/>
                <w:p>
                  <w:pPr>
                    <w:pStyle w:val="Compact"/>
                    <w:jc w:val="center"/>
                  </w:pPr>
                  <w:r>
                    <w:t xml:space="preserve">8.1562</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1.5013</w:t>
                  </w:r>
                </w:p>
              </w:tc>
              <w:tc>
                <w:tcPr/>
                <w:p>
                  <w:pPr>
                    <w:pStyle w:val="Compact"/>
                    <w:jc w:val="center"/>
                  </w:pPr>
                  <w:r>
                    <w:t xml:space="preserve">1.4925</w:t>
                  </w:r>
                </w:p>
              </w:tc>
              <w:tc>
                <w:tcPr/>
                <w:p>
                  <w:pPr>
                    <w:pStyle w:val="Compact"/>
                    <w:jc w:val="center"/>
                  </w:pPr>
                  <w:r>
                    <w:t xml:space="preserve">1.5097</w:t>
                  </w:r>
                </w:p>
              </w:tc>
              <w:tc>
                <w:tcPr/>
                <w:p>
                  <w:pPr>
                    <w:pStyle w:val="Compact"/>
                    <w:jc w:val="center"/>
                  </w:pPr>
                  <w:r>
                    <w:t xml:space="preserve">1.5173</w:t>
                  </w:r>
                </w:p>
              </w:tc>
              <w:tc>
                <w:tcPr/>
                <w:p>
                  <w:pPr>
                    <w:pStyle w:val="Compact"/>
                    <w:jc w:val="center"/>
                  </w:pPr>
                  <w:r>
                    <w:t xml:space="preserve">1.4966</w:t>
                  </w:r>
                </w:p>
              </w:tc>
              <w:tc>
                <w:tcPr/>
                <w:p>
                  <w:pPr>
                    <w:pStyle w:val="Compact"/>
                    <w:jc w:val="center"/>
                  </w:pPr>
                  <w:r>
                    <w:t xml:space="preserve">1.5378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-0.1495</w:t>
                  </w:r>
                </w:p>
              </w:tc>
              <w:tc>
                <w:tcPr/>
                <w:p>
                  <w:pPr>
                    <w:pStyle w:val="Compact"/>
                    <w:jc w:val="center"/>
                  </w:pPr>
                  <w:r>
                    <w:t xml:space="preserve">-0.1525</w:t>
                  </w:r>
                </w:p>
              </w:tc>
              <w:tc>
                <w:tcPr/>
                <w:p>
                  <w:pPr>
                    <w:pStyle w:val="Compact"/>
                    <w:jc w:val="center"/>
                  </w:pPr>
                  <w:r>
                    <w:t xml:space="preserve">-0.1464</w:t>
                  </w:r>
                </w:p>
              </w:tc>
              <w:tc>
                <w:tcPr/>
                <w:p>
                  <w:pPr>
                    <w:pStyle w:val="Compact"/>
                    <w:jc w:val="center"/>
                  </w:pPr>
                  <w:r>
                    <w:t xml:space="preserve">-0.1495</w:t>
                  </w:r>
                </w:p>
              </w:tc>
              <w:tc>
                <w:tcPr/>
                <w:p>
                  <w:pPr>
                    <w:pStyle w:val="Compact"/>
                    <w:jc w:val="center"/>
                  </w:pPr>
                  <w:r>
                    <w:t xml:space="preserve">-0.1571</w:t>
                  </w:r>
                </w:p>
              </w:tc>
              <w:tc>
                <w:tcPr/>
                <w:p>
                  <w:pPr>
                    <w:pStyle w:val="Compact"/>
                    <w:jc w:val="center"/>
                  </w:pPr>
                  <w:r>
                    <w:t xml:space="preserve">-0.142</w:t>
                  </w:r>
                </w:p>
              </w:tc>
            </w:tr>
          </w:tbl>
          <w:bookmarkEnd w:id="53"/>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7" w:name="fig-recovery-fit"/>
          <w:p>
            <w:pPr>
              <w:jc w:val="center"/>
            </w:pPr>
            <w:r>
              <w:drawing>
                <wp:inline>
                  <wp:extent cx="5943600" cy="3714750"/>
                  <wp:effectExtent b="0" l="0" r="0" t="0"/>
                  <wp:docPr descr="" title="" id="55" name="Picture"/>
                  <a:graphic>
                    <a:graphicData uri="http://schemas.openxmlformats.org/drawingml/2006/picture">
                      <pic:pic>
                        <pic:nvPicPr>
                          <pic:cNvPr descr="supplement_files/figure-docx/plot-recovery-fit-1.png" id="56" name="Picture"/>
                          <pic:cNvPicPr>
                            <a:picLocks noChangeArrowheads="1" noChangeAspect="1"/>
                          </pic:cNvPicPr>
                        </pic:nvPicPr>
                        <pic:blipFill>
                          <a:blip r:embed="rId54"/>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7"/>
        </w:tc>
      </w:tr>
    </w:tbl>
    <w:bookmarkEnd w:id="58"/>
    <w:bookmarkEnd w:id="59"/>
    <w:bookmarkStart w:id="69"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bundles three of them:</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r>
          <m:rPr>
            <m:nor/>
            <m:sty m:val="p"/>
          </m:rPr>
          <m:t>LT50</m:t>
        </m:r>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50% survival after 1 hour exposure, obtained by inverting the fitted 4PL at the reference time, per posterior draw.</w:t>
      </w:r>
    </w:p>
    <w:p>
      <w:pPr>
        <w:pStyle w:val="Compact"/>
        <w:numPr>
          <w:ilvl w:val="0"/>
          <w:numId w:val="1003"/>
        </w:numPr>
      </w:pPr>
      <m:oMath>
        <m:sSub>
          <m:e>
            <m:r>
              <m:t>T</m:t>
            </m:r>
          </m:e>
          <m:sub>
            <m:r>
              <m:t>c</m:t>
            </m:r>
            <m:r>
              <m:t>r</m:t>
            </m:r>
            <m:r>
              <m:t>i</m:t>
            </m:r>
            <m:r>
              <m:t>t</m:t>
            </m:r>
          </m:sub>
        </m:sSub>
      </m:oMath>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0"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0"/>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w:t>
      </w:r>
      <w:r>
        <w:t xml:space="preserve"> </w:t>
      </w:r>
      <w:r>
        <w:rPr>
          <w:b/>
          <w:bCs/>
        </w:rPr>
        <w:t xml:space="preserve">havro_faber_2023</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p>
      <w:pPr>
        <w:pStyle w:val="BodyText"/>
      </w:pPr>
      <w:r>
        <w:t xml:space="preserve">All three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w:t>
      </w:r>
    </w:p>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T_crit uses the</w:t>
      </w:r>
      <w:r>
        <w:br/>
      </w:r>
      <w:r>
        <w:rPr>
          <w:rStyle w:val="CommentTok"/>
        </w:rPr>
        <w:t xml:space="preserve"># rate-multiplier integration; default TC_rate_range = c(0.1, 1) % HI per hour.</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6.82</w:t>
                  </w:r>
                </w:p>
              </w:tc>
              <w:tc>
                <w:tcPr/>
                <w:p>
                  <w:pPr>
                    <w:pStyle w:val="Compact"/>
                    <w:jc w:val="center"/>
                  </w:pPr>
                  <w:r>
                    <w:t xml:space="preserve">6.72</w:t>
                  </w:r>
                </w:p>
              </w:tc>
              <w:tc>
                <w:tcPr/>
                <w:p>
                  <w:pPr>
                    <w:pStyle w:val="Compact"/>
                    <w:jc w:val="center"/>
                  </w:pPr>
                  <w:r>
                    <w:t xml:space="preserve">6.42</w:t>
                  </w:r>
                </w:p>
              </w:tc>
              <w:tc>
                <w:tcPr/>
                <w:p>
                  <w:pPr>
                    <w:pStyle w:val="Compact"/>
                    <w:jc w:val="center"/>
                  </w:pPr>
                  <w:r>
                    <w:t xml:space="preserve">7.08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32.08</w:t>
                  </w:r>
                </w:p>
              </w:tc>
              <w:tc>
                <w:tcPr/>
                <w:p>
                  <w:pPr>
                    <w:pStyle w:val="Compact"/>
                    <w:jc w:val="center"/>
                  </w:pPr>
                  <w:r>
                    <w:t xml:space="preserve">32.21</w:t>
                  </w:r>
                </w:p>
              </w:tc>
              <w:tc>
                <w:tcPr/>
                <w:p>
                  <w:pPr>
                    <w:pStyle w:val="Compact"/>
                    <w:jc w:val="center"/>
                  </w:pPr>
                  <w:r>
                    <w:t xml:space="preserve">32.23</w:t>
                  </w:r>
                </w:p>
              </w:tc>
              <w:tc>
                <w:tcPr/>
                <w:p>
                  <w:pPr>
                    <w:pStyle w:val="Compact"/>
                    <w:jc w:val="center"/>
                  </w:pPr>
                  <w:r>
                    <w:t xml:space="preserve">32.07</w:t>
                  </w:r>
                </w:p>
              </w:tc>
              <w:tc>
                <w:tcPr/>
                <w:p>
                  <w:pPr>
                    <w:pStyle w:val="Compact"/>
                    <w:jc w:val="center"/>
                  </w:pPr>
                  <w:r>
                    <w:t xml:space="preserve">32.39</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15.5</w:t>
                  </w:r>
                </w:p>
              </w:tc>
              <w:tc>
                <w:tcPr/>
                <w:p>
                  <w:pPr>
                    <w:pStyle w:val="Compact"/>
                    <w:jc w:val="center"/>
                  </w:pPr>
                  <w:r>
                    <w:t xml:space="preserve">12.27</w:t>
                  </w:r>
                </w:p>
              </w:tc>
              <w:tc>
                <w:tcPr/>
                <w:p>
                  <w:pPr>
                    <w:pStyle w:val="Compact"/>
                    <w:jc w:val="center"/>
                  </w:pPr>
                  <w:r>
                    <w:t xml:space="preserve">18.61</w:t>
                  </w:r>
                </w:p>
              </w:tc>
              <w:tc>
                <w:tcPr/>
                <w:p>
                  <w:pPr>
                    <w:pStyle w:val="Compact"/>
                    <w:jc w:val="center"/>
                  </w:pPr>
                  <w:r>
                    <w:t xml:space="preserve">15.4</w:t>
                  </w:r>
                </w:p>
              </w:tc>
              <w:tc>
                <w:tcPr/>
                <w:p>
                  <w:pPr>
                    <w:pStyle w:val="Compact"/>
                    <w:jc w:val="center"/>
                  </w:pPr>
                  <w:r>
                    <w:t xml:space="preserve">12.1</w:t>
                  </w:r>
                </w:p>
              </w:tc>
              <w:tc>
                <w:tcPr/>
                <w:p>
                  <w:pPr>
                    <w:pStyle w:val="Compact"/>
                    <w:jc w:val="center"/>
                  </w:pPr>
                  <w:r>
                    <w:t xml:space="preserve">18.69</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fig-tls-recovery"/>
          <w:p>
            <w:pPr>
              <w:jc w:val="center"/>
            </w:pPr>
            <w:r>
              <w:drawing>
                <wp:inline>
                  <wp:extent cx="5943600" cy="2311400"/>
                  <wp:effectExtent b="0" l="0" r="0" t="0"/>
                  <wp:docPr descr="" title="" id="63" name="Picture"/>
                  <a:graphic>
                    <a:graphicData uri="http://schemas.openxmlformats.org/drawingml/2006/picture">
                      <pic:pic>
                        <pic:nvPicPr>
                          <pic:cNvPr descr="supplement_files/figure-docx/plot-tls-recovery-1.png" id="64" name="Picture"/>
                          <pic:cNvPicPr>
                            <a:picLocks noChangeArrowheads="1" noChangeAspect="1"/>
                          </pic:cNvPicPr>
                        </pic:nvPicPr>
                        <pic:blipFill>
                          <a:blip r:embed="rId62"/>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5"/>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6.68</w:t>
                  </w:r>
                </w:p>
              </w:tc>
              <w:tc>
                <w:tcPr/>
                <w:p>
                  <w:pPr>
                    <w:pStyle w:val="Compact"/>
                    <w:jc w:val="center"/>
                  </w:pPr>
                  <w:r>
                    <w:t xml:space="preserve">0.0657</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6.82</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32.14</w:t>
                  </w:r>
                </w:p>
              </w:tc>
              <w:tc>
                <w:tcPr/>
                <w:p>
                  <w:pPr>
                    <w:pStyle w:val="Compact"/>
                    <w:jc w:val="center"/>
                  </w:pPr>
                  <w:r>
                    <w:t xml:space="preserve">0.0339</w:t>
                  </w:r>
                </w:p>
              </w:tc>
              <w:tc>
                <w:tcPr/>
                <w:p>
                  <w:pPr>
                    <w:pStyle w:val="Compact"/>
                    <w:jc w:val="center"/>
                  </w:pPr>
                  <w:r>
                    <w:t xml:space="preserve">32.14</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15.42</w:t>
                  </w:r>
                </w:p>
              </w:tc>
              <w:tc>
                <w:tcPr/>
                <w:p>
                  <w:pPr>
                    <w:pStyle w:val="Compact"/>
                    <w:jc w:val="center"/>
                  </w:pPr>
                  <w:r>
                    <w:t xml:space="preserve">1.8996</w:t>
                  </w:r>
                </w:p>
              </w:tc>
              <w:tc>
                <w:tcPr/>
                <w:p>
                  <w:pPr>
                    <w:pStyle w:val="Compact"/>
                    <w:jc w:val="center"/>
                  </w:pPr>
                  <w:r>
                    <w:t xml:space="preserve">15.5</w:t>
                  </w:r>
                </w:p>
              </w:tc>
              <w:tc>
                <w:tcPr/>
                <w:p>
                  <w:pPr>
                    <w:pStyle w:val="Compact"/>
                    <w:jc w:val="center"/>
                  </w:pPr>
                  <w:r>
                    <w:t xml:space="preserve">12.27</w:t>
                  </w:r>
                </w:p>
              </w:tc>
              <w:tc>
                <w:tcPr/>
                <w:p>
                  <w:pPr>
                    <w:pStyle w:val="Compact"/>
                    <w:jc w:val="center"/>
                  </w:pPr>
                  <w:r>
                    <w:t xml:space="preserve">18.61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6.73</w:t>
                  </w:r>
                </w:p>
              </w:tc>
              <w:tc>
                <w:tcPr/>
                <w:p>
                  <w:pPr>
                    <w:pStyle w:val="Compact"/>
                    <w:jc w:val="center"/>
                  </w:pPr>
                  <w:r>
                    <w:t xml:space="preserve">0.1647</w:t>
                  </w:r>
                </w:p>
              </w:tc>
              <w:tc>
                <w:tcPr/>
                <w:p>
                  <w:pPr>
                    <w:pStyle w:val="Compact"/>
                    <w:jc w:val="center"/>
                  </w:pPr>
                  <w:r>
                    <w:t xml:space="preserve">6.72</w:t>
                  </w:r>
                </w:p>
              </w:tc>
              <w:tc>
                <w:tcPr/>
                <w:p>
                  <w:pPr>
                    <w:pStyle w:val="Compact"/>
                    <w:jc w:val="center"/>
                  </w:pPr>
                  <w:r>
                    <w:t xml:space="preserve">6.42</w:t>
                  </w:r>
                </w:p>
              </w:tc>
              <w:tc>
                <w:tcPr/>
                <w:p>
                  <w:pPr>
                    <w:pStyle w:val="Compact"/>
                    <w:jc w:val="center"/>
                  </w:pPr>
                  <w:r>
                    <w:t xml:space="preserve">7.08</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32.23</w:t>
                  </w:r>
                </w:p>
              </w:tc>
              <w:tc>
                <w:tcPr/>
                <w:p>
                  <w:pPr>
                    <w:pStyle w:val="Compact"/>
                    <w:jc w:val="center"/>
                  </w:pPr>
                  <w:r>
                    <w:t xml:space="preserve">0.0788</w:t>
                  </w:r>
                </w:p>
              </w:tc>
              <w:tc>
                <w:tcPr/>
                <w:p>
                  <w:pPr>
                    <w:pStyle w:val="Compact"/>
                    <w:jc w:val="center"/>
                  </w:pPr>
                  <w:r>
                    <w:t xml:space="preserve">32.23</w:t>
                  </w:r>
                </w:p>
              </w:tc>
              <w:tc>
                <w:tcPr/>
                <w:p>
                  <w:pPr>
                    <w:pStyle w:val="Compact"/>
                    <w:jc w:val="center"/>
                  </w:pPr>
                  <w:r>
                    <w:t xml:space="preserve">32.07</w:t>
                  </w:r>
                </w:p>
              </w:tc>
              <w:tc>
                <w:tcPr/>
                <w:p>
                  <w:pPr>
                    <w:pStyle w:val="Compact"/>
                    <w:jc w:val="center"/>
                  </w:pPr>
                  <w:r>
                    <w:t xml:space="preserve">32.39</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15.42</w:t>
                  </w:r>
                </w:p>
              </w:tc>
              <w:tc>
                <w:tcPr/>
                <w:p>
                  <w:pPr>
                    <w:pStyle w:val="Compact"/>
                    <w:jc w:val="center"/>
                  </w:pPr>
                  <w:r>
                    <w:t xml:space="preserve">1.9954</w:t>
                  </w:r>
                </w:p>
              </w:tc>
              <w:tc>
                <w:tcPr/>
                <w:p>
                  <w:pPr>
                    <w:pStyle w:val="Compact"/>
                    <w:jc w:val="center"/>
                  </w:pPr>
                  <w:r>
                    <w:t xml:space="preserve">15.4</w:t>
                  </w:r>
                </w:p>
              </w:tc>
              <w:tc>
                <w:tcPr/>
                <w:p>
                  <w:pPr>
                    <w:pStyle w:val="Compact"/>
                    <w:jc w:val="center"/>
                  </w:pPr>
                  <w:r>
                    <w:t xml:space="preserve">12.1</w:t>
                  </w:r>
                </w:p>
              </w:tc>
              <w:tc>
                <w:tcPr/>
                <w:p>
                  <w:pPr>
                    <w:pStyle w:val="Compact"/>
                    <w:jc w:val="center"/>
                  </w:pPr>
                  <w:r>
                    <w:t xml:space="preserve">18.69</w:t>
                  </w:r>
                </w:p>
              </w:tc>
            </w:tr>
          </w:tbl>
          <w:bookmarkEnd w:id="66"/>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0.07 °C with a 95% credible interval 0.26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0.13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9"/>
    <w:bookmarkStart w:id="72" w:name="sec-compare"/>
    <w:p>
      <w:pPr>
        <w:pStyle w:val="Heading3"/>
      </w:pPr>
      <w:r>
        <w:t xml:space="preserve">2.0.5</w:t>
      </w:r>
      <w:r>
        <w:t xml:space="preserve"> </w:t>
      </w:r>
      <w:r>
        <w:rPr>
          <w:i/>
          <w:iCs/>
        </w:rPr>
        <w:t xml:space="preserve">Comparing the two pipelines</w:t>
      </w:r>
    </w:p>
    <w:bookmarkStart w:id="71"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70"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6.69</w:t>
                  </w:r>
                </w:p>
              </w:tc>
              <w:tc>
                <w:tcPr/>
                <w:p>
                  <w:pPr>
                    <w:pStyle w:val="Compact"/>
                    <w:jc w:val="center"/>
                  </w:pPr>
                  <w:r>
                    <w:t xml:space="preserve">6.99</w:t>
                  </w:r>
                </w:p>
              </w:tc>
              <w:tc>
                <w:tcPr/>
                <w:p>
                  <w:pPr>
                    <w:pStyle w:val="Compact"/>
                    <w:jc w:val="center"/>
                  </w:pPr>
                  <w:r>
                    <w:t xml:space="preserve">6.72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32.14</w:t>
                  </w:r>
                </w:p>
              </w:tc>
              <w:tc>
                <w:tcPr/>
                <w:p>
                  <w:pPr>
                    <w:pStyle w:val="Compact"/>
                    <w:jc w:val="center"/>
                  </w:pPr>
                  <w:r>
                    <w:t xml:space="preserve">32.14</w:t>
                  </w:r>
                </w:p>
              </w:tc>
              <w:tc>
                <w:tcPr/>
                <w:p>
                  <w:pPr>
                    <w:pStyle w:val="Compact"/>
                    <w:jc w:val="center"/>
                  </w:pPr>
                  <w:r>
                    <w:t xml:space="preserve">32.23</w:t>
                  </w:r>
                </w:p>
              </w:tc>
            </w:tr>
          </w:tbl>
          <w:bookmarkEnd w:id="70"/>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1"/>
    <w:bookmarkEnd w:id="72"/>
    <w:bookmarkStart w:id="81" w:name="sec-joint-extend"/>
    <w:p>
      <w:pPr>
        <w:pStyle w:val="Heading3"/>
      </w:pPr>
      <w:r>
        <w:t xml:space="preserve">2.0.6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4"/>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4"/>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4"/>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73"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73"/>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5"/>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5"/>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74" w:name="sec-joint-extend-recipe"/>
    <w:p>
      <w:pPr>
        <w:pStyle w:val="Heading4"/>
      </w:pPr>
      <w:r>
        <w:t xml:space="preserve">2.0.6.1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2.0.4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2.0.4</w:t>
        </w:r>
      </w:hyperlink>
      <w:r>
        <w:t xml:space="preserve">.</w:t>
      </w:r>
    </w:p>
    <w:bookmarkEnd w:id="74"/>
    <w:bookmarkStart w:id="80" w:name="sec-joint-extend-example"/>
    <w:p>
      <w:pPr>
        <w:pStyle w:val="Heading4"/>
      </w:pPr>
      <w:r>
        <w:t xml:space="preserve">2.0.6.2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true-surface-ext"/>
          <w:p>
            <w:pPr>
              <w:jc w:val="center"/>
            </w:pPr>
            <w:r>
              <w:drawing>
                <wp:inline>
                  <wp:extent cx="5943600" cy="3714750"/>
                  <wp:effectExtent b="0" l="0" r="0" t="0"/>
                  <wp:docPr descr="" title="" id="76" name="Picture"/>
                  <a:graphic>
                    <a:graphicData uri="http://schemas.openxmlformats.org/drawingml/2006/picture">
                      <pic:pic>
                        <pic:nvPicPr>
                          <pic:cNvPr descr="supplement_files/figure-docx/plot-true-surface-ext-1.png" id="77" name="Picture"/>
                          <pic:cNvPicPr>
                            <a:picLocks noChangeArrowheads="1" noChangeAspect="1"/>
                          </pic:cNvPicPr>
                        </pic:nvPicPr>
                        <pic:blipFill>
                          <a:blip r:embed="rId7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78"/>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79" w:name="tbl-ext-recovery"/>
          <w:p>
            <w:pPr>
              <w:jc w:val="center"/>
            </w:pPr>
            <w:pPr>
              <w:jc w:val="start"/>
              <w:spacing w:before="200"/>
              <w:pStyle w:val="ImageCaption"/>
            </w:pPr>
            <w:r>
              <w:t xml:space="preserve">Table S7: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79"/>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2.0.4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80"/>
    <w:bookmarkEnd w:id="81"/>
    <w:bookmarkStart w:id="92"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86"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85" w:name="fig-hi-trace"/>
          <w:p>
            <w:pPr>
              <w:jc w:val="center"/>
            </w:pPr>
            <w:r>
              <w:drawing>
                <wp:inline>
                  <wp:extent cx="5943600" cy="2122714"/>
                  <wp:effectExtent b="0" l="0" r="0" t="0"/>
                  <wp:docPr descr="" title="" id="83" name="Picture"/>
                  <a:graphic>
                    <a:graphicData uri="http://schemas.openxmlformats.org/drawingml/2006/picture">
                      <pic:pic>
                        <pic:nvPicPr>
                          <pic:cNvPr descr="supplement_files/figure-docx/plot-hi-trace-1.png" id="84" name="Picture"/>
                          <pic:cNvPicPr>
                            <a:picLocks noChangeArrowheads="1" noChangeAspect="1"/>
                          </pic:cNvPicPr>
                        </pic:nvPicPr>
                        <pic:blipFill>
                          <a:blip r:embed="rId82"/>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85"/>
        </w:tc>
      </w:tr>
    </w:tbl>
    <w:bookmarkEnd w:id="86"/>
    <w:bookmarkStart w:id="91"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0" w:name="fig-hi-trajectory"/>
          <w:p>
            <w:pPr>
              <w:jc w:val="center"/>
            </w:pPr>
            <w:r>
              <w:drawing>
                <wp:inline>
                  <wp:extent cx="5943600" cy="4669971"/>
                  <wp:effectExtent b="0" l="0" r="0" t="0"/>
                  <wp:docPr descr="" title="" id="88" name="Picture"/>
                  <a:graphic>
                    <a:graphicData uri="http://schemas.openxmlformats.org/drawingml/2006/picture">
                      <pic:pic>
                        <pic:nvPicPr>
                          <pic:cNvPr descr="supplement_files/figure-docx/plot-hi-trajectory-1.png" id="89" name="Picture"/>
                          <pic:cNvPicPr>
                            <a:picLocks noChangeArrowheads="1" noChangeAspect="1"/>
                          </pic:cNvPicPr>
                        </pic:nvPicPr>
                        <pic:blipFill>
                          <a:blip r:embed="rId87"/>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0"/>
        </w:tc>
      </w:tr>
    </w:tbl>
    <w:p>
      <w:pPr>
        <w:pStyle w:val="BodyText"/>
      </w:pPr>
      <w:r>
        <w:t xml:space="preserve">By the end of day 5 the posterior median HI is 181% (95% CI: 147% to 216%), and median predicted survival is 0.15 (95% CI: 0.09 to 0.24).</w:t>
      </w:r>
    </w:p>
    <w:bookmarkEnd w:id="91"/>
    <w:bookmarkEnd w:id="92"/>
    <w:bookmarkStart w:id="93"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63</w:t>
            </w:r>
          </w:p>
        </w:tc>
        <w:tc>
          <w:tcPr/>
          <w:p>
            <w:pPr>
              <w:pStyle w:val="Compact"/>
            </w:pPr>
            <w:r>
              <w:t xml:space="preserve">77</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93"/>
    <w:bookmarkEnd w:id="94"/>
    <w:bookmarkStart w:id="132" w:name="sec-shrimp"/>
    <w:p>
      <w:pPr>
        <w:pStyle w:val="Heading1"/>
      </w:pPr>
      <w:r>
        <w:t xml:space="preserve">3.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96" w:name="sec-shrimp-data"/>
    <w:p>
      <w:pPr>
        <w:pStyle w:val="Heading2"/>
      </w:pPr>
      <w:r>
        <w:t xml:space="preserve">3.1 Data and standardisation</w:t>
      </w:r>
    </w:p>
    <w:p>
      <w:pPr>
        <w:pStyle w:val="SourceCode"/>
      </w:pPr>
      <w:r>
        <w:rPr>
          <w:rStyle w:val="NormalTok"/>
        </w:rPr>
        <w:t xml:space="preserve">shrimp_raw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"Data_Shrimp_TDT_CTmax_experiment.xlsx"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"LETHAL_TDT"</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5" w:name="tbl-shrimp-summary"/>
          <w:p>
            <w:pPr>
              <w:jc w:val="center"/>
            </w:pPr>
            <w:pPr>
              <w:jc w:val="start"/>
              <w:spacing w:before="200"/>
              <w:pStyle w:val="ImageCaption"/>
            </w:pPr>
            <w:r>
              <w:t xml:space="preserve">Table S8: Summary of the shrimp lethal-TDT dataset after standardisation. Temperature centre is the grand mean used by the model for</w:t>
            </w:r>
            <w:r>
              <w:t xml:space="preserve"> </w:t>
            </w:r>
            <w:r>
              <w:rPr>
                <w:rStyle w:val="VerbatimChar"/>
              </w:rPr>
              <w:t xml:space="preserve">temp_c</w:t>
            </w:r>
            <w:r>
              <w:t xml:space="preserv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95"/>
          <w:p/>
        </w:tc>
      </w:tr>
    </w:tbl>
    <w:bookmarkEnd w:id="96"/>
    <w:bookmarkStart w:id="101" w:name="sec-shrimp-fit"/>
    <w:p>
      <w:pPr>
        <w:pStyle w:val="Heading2"/>
      </w:pPr>
      <w:r>
        <w:t xml:space="preserve">3.2 Fitting the joint Bayesian 4PL</w:t>
      </w:r>
    </w:p>
    <w:p>
      <w:pPr>
        <w:pStyle w:val="FirstParagraph"/>
      </w:pPr>
      <w:r>
        <w:t xml:space="preserve">We fit the default</w:t>
      </w:r>
      <w:r>
        <w:t xml:space="preserve"> </w:t>
      </w:r>
      <w:r>
        <w:rPr>
          <w:rStyle w:val="VerbatimChar"/>
        </w:rPr>
        <w:t xml:space="preserve">fit_4pl()</w:t>
      </w:r>
      <w:r>
        <w:t xml:space="preserve"> </w:t>
      </w:r>
      <w:r>
        <w:t xml:space="preserve">model — beta-binomial likelihood, identity link, the disjoint-bounds asymptote reparameterisation, and</w:t>
      </w:r>
      <w:r>
        <w:t xml:space="preserve"> </w:t>
      </w:r>
      <w:r>
        <w:rPr>
          <w:rStyle w:val="VerbatimChar"/>
        </w:rPr>
        <w:t xml:space="preserve">temp_c</w:t>
      </w:r>
      <w:r>
        <w:t xml:space="preserve"> </w:t>
      </w:r>
      <w:r>
        <w:t xml:space="preserve">slopes on all four 4PL sub-parameters — with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The fit takes a few minutes on first render; subsequent renders reload it from disk because</w:t>
      </w:r>
      <w:r>
        <w:t xml:space="preserve"> </w:t>
      </w:r>
      <w:r>
        <w:rPr>
          <w:rStyle w:val="VerbatimChar"/>
        </w:rPr>
        <w:t xml:space="preserve">file_refit = "on_change"</w:t>
      </w:r>
      <w:r>
        <w:t xml:space="preserv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p>
    <w:bookmarkStart w:id="98" w:name="sampling-diagnostics"/>
    <w:p>
      <w:pPr>
        <w:pStyle w:val="Heading3"/>
      </w:pPr>
      <w:r>
        <w:t xml:space="preserve">3.2.1 Sampling diagnostics</w:t>
      </w:r>
    </w:p>
    <w:tbl>
      <w:tblPr>
        <w:tblStyle w:val="Table"/>
        <w:tblW w:type="pct" w:w="5000"/>
        <w:tblLayout w:type="fixed"/>
        <w:tblLook w:firstRow="0" w:lastRow="0" w:firstColumn="0" w:lastColumn="0" w:noHBand="0" w:noVBand="0" w:val="0000"/>
      </w:tblPr>
      <w:tblGrid>
        <w:gridCol w:w="7920"/>
      </w:tblGrid>
      <w:tr>
        <w:tc>
          <w:tcPr/>
          <w:bookmarkStart w:id="97" w:name="tbl-shrimp-diagnostics"/>
          <w:p>
            <w:pPr>
              <w:jc w:val="center"/>
            </w:pPr>
            <w:pPr>
              <w:jc w:val="start"/>
              <w:spacing w:before="200"/>
              <w:pStyle w:val="ImageCaption"/>
            </w:pPr>
            <w:r>
              <w:t xml:space="preserve">Table S9: Sampling diagnostics for the shrimp 4PL fit.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1468</w:t>
                  </w:r>
                </w:p>
              </w:tc>
              <w:tc>
                <w:tcPr/>
                <w:p>
                  <w:pPr>
                    <w:pStyle w:val="Compact"/>
                    <w:jc w:val="center"/>
                  </w:pPr>
                  <w:r>
                    <w:t xml:space="preserve">2374</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97"/>
          <w:p/>
        </w:tc>
      </w:tr>
    </w:tbl>
    <w:bookmarkEnd w:id="98"/>
    <w:bookmarkStart w:id="100" w:name="X413ad0641805f27ec2195aa549ca42eaa465ca1"/>
    <w:p>
      <w:pPr>
        <w:pStyle w:val="Heading3"/>
      </w:pPr>
      <w:r>
        <w:t xml:space="preserve">3.2.2 Posterior parameters on the natural scale</w:t>
      </w:r>
    </w:p>
    <w:tbl>
      <w:tblPr>
        <w:tblStyle w:val="Table"/>
        <w:tblW w:type="pct" w:w="5000"/>
        <w:tblLayout w:type="fixed"/>
        <w:tblLook w:firstRow="0" w:lastRow="0" w:firstColumn="0" w:lastColumn="0" w:noHBand="0" w:noVBand="0" w:val="0000"/>
      </w:tblPr>
      <w:tblGrid>
        <w:gridCol w:w="7920"/>
      </w:tblGrid>
      <w:tr>
        <w:tc>
          <w:tcPr/>
          <w:bookmarkStart w:id="99" w:name="tbl-shrimp-parameters"/>
          <w:p>
            <w:pPr>
              <w:jc w:val="center"/>
            </w:pPr>
            <w:pPr>
              <w:jc w:val="start"/>
              <w:spacing w:before="200"/>
              <w:pStyle w:val="ImageCaption"/>
            </w:pPr>
            <w:r>
              <w:t xml:space="preserve">Table S10: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0.00692</w:t>
                  </w:r>
                </w:p>
              </w:tc>
              <w:tc>
                <w:tcPr/>
                <w:p>
                  <w:pPr>
                    <w:pStyle w:val="Compact"/>
                    <w:jc w:val="center"/>
                  </w:pPr>
                  <w:r>
                    <w:t xml:space="preserve">0.00228</w:t>
                  </w:r>
                </w:p>
              </w:tc>
              <w:tc>
                <w:tcPr/>
                <w:p>
                  <w:pPr>
                    <w:pStyle w:val="Compact"/>
                    <w:jc w:val="center"/>
                  </w:pPr>
                  <w:r>
                    <w:t xml:space="preserve">0.0222</w:t>
                  </w:r>
                </w:p>
              </w:tc>
            </w:tr>
            <w:tr>
              <w:tc>
                <w:tcPr/>
                <w:p>
                  <w:pPr>
                    <w:pStyle w:val="Compact"/>
                    <w:jc w:val="center"/>
                  </w:pPr>
                  <w:r>
                    <w:t xml:space="preserve">up (upper asymptote)</w:t>
                  </w:r>
                </w:p>
              </w:tc>
              <w:tc>
                <w:tcPr/>
                <w:p>
                  <w:pPr>
                    <w:pStyle w:val="Compact"/>
                    <w:jc w:val="center"/>
                  </w:pPr>
                  <w:r>
                    <w:t xml:space="preserve">0.95174</w:t>
                  </w:r>
                </w:p>
              </w:tc>
              <w:tc>
                <w:tcPr/>
                <w:p>
                  <w:pPr>
                    <w:pStyle w:val="Compact"/>
                    <w:jc w:val="center"/>
                  </w:pPr>
                  <w:r>
                    <w:t xml:space="preserve">0.89351</w:t>
                  </w:r>
                </w:p>
              </w:tc>
              <w:tc>
                <w:tcPr/>
                <w:p>
                  <w:pPr>
                    <w:pStyle w:val="Compact"/>
                    <w:jc w:val="center"/>
                  </w:pPr>
                  <w:r>
                    <w:t xml:space="preserve">0.9928</w:t>
                  </w:r>
                </w:p>
              </w:tc>
            </w:tr>
            <w:tr>
              <w:tc>
                <w:tcPr/>
                <w:p>
                  <w:pPr>
                    <w:pStyle w:val="Compact"/>
                    <w:jc w:val="center"/>
                  </w:pPr>
                  <w:r>
                    <w:t xml:space="preserve">k (slope)</w:t>
                  </w:r>
                </w:p>
              </w:tc>
              <w:tc>
                <w:tcPr/>
                <w:p>
                  <w:pPr>
                    <w:pStyle w:val="Compact"/>
                    <w:jc w:val="center"/>
                  </w:pPr>
                  <w:r>
                    <w:t xml:space="preserve">5.82927</w:t>
                  </w:r>
                </w:p>
              </w:tc>
              <w:tc>
                <w:tcPr/>
                <w:p>
                  <w:pPr>
                    <w:pStyle w:val="Compact"/>
                    <w:jc w:val="center"/>
                  </w:pPr>
                  <w:r>
                    <w:t xml:space="preserve">4.68871</w:t>
                  </w:r>
                </w:p>
              </w:tc>
              <w:tc>
                <w:tcPr/>
                <w:p>
                  <w:pPr>
                    <w:pStyle w:val="Compact"/>
                    <w:jc w:val="center"/>
                  </w:pPr>
                  <w:r>
                    <w:t xml:space="preserve">7.4851</w:t>
                  </w:r>
                </w:p>
              </w:tc>
            </w:tr>
            <w:tr>
              <w:tc>
                <w:tcPr/>
                <w:p>
                  <w:pPr>
                    <w:pStyle w:val="Compact"/>
                    <w:jc w:val="center"/>
                  </w:pPr>
                  <w:r>
                    <w:t xml:space="preserve">mid intercept (at T_bar)</w:t>
                  </w:r>
                </w:p>
              </w:tc>
              <w:tc>
                <w:tcPr/>
                <w:p>
                  <w:pPr>
                    <w:pStyle w:val="Compact"/>
                    <w:jc w:val="center"/>
                  </w:pPr>
                  <w:r>
                    <w:t xml:space="preserve">0.05697</w:t>
                  </w:r>
                </w:p>
              </w:tc>
              <w:tc>
                <w:tcPr/>
                <w:p>
                  <w:pPr>
                    <w:pStyle w:val="Compact"/>
                    <w:jc w:val="center"/>
                  </w:pPr>
                  <w:r>
                    <w:t xml:space="preserve">-0.30812</w:t>
                  </w:r>
                </w:p>
              </w:tc>
              <w:tc>
                <w:tcPr/>
                <w:p>
                  <w:pPr>
                    <w:pStyle w:val="Compact"/>
                    <w:jc w:val="center"/>
                  </w:pPr>
                  <w:r>
                    <w:t xml:space="preserve">0.4094</w:t>
                  </w:r>
                </w:p>
              </w:tc>
            </w:tr>
            <w:tr>
              <w:tc>
                <w:tcPr/>
                <w:p>
                  <w:pPr>
                    <w:pStyle w:val="Compact"/>
                    <w:jc w:val="center"/>
                  </w:pPr>
                  <w:r>
                    <w:t xml:space="preserve">mid temp_c slope</w:t>
                  </w:r>
                </w:p>
              </w:tc>
              <w:tc>
                <w:tcPr/>
                <w:p>
                  <w:pPr>
                    <w:pStyle w:val="Compact"/>
                    <w:jc w:val="center"/>
                  </w:pPr>
                  <w:r>
                    <w:t xml:space="preserve">-0.36949</w:t>
                  </w:r>
                </w:p>
              </w:tc>
              <w:tc>
                <w:tcPr/>
                <w:p>
                  <w:pPr>
                    <w:pStyle w:val="Compact"/>
                    <w:jc w:val="center"/>
                  </w:pPr>
                  <w:r>
                    <w:t xml:space="preserve">-0.42841</w:t>
                  </w:r>
                </w:p>
              </w:tc>
              <w:tc>
                <w:tcPr/>
                <w:p>
                  <w:pPr>
                    <w:pStyle w:val="Compact"/>
                    <w:jc w:val="center"/>
                  </w:pPr>
                  <w:r>
                    <w:t xml:space="preserve">-0.3109</w:t>
                  </w:r>
                </w:p>
              </w:tc>
            </w:tr>
            <w:tr>
              <w:tc>
                <w:tcPr/>
                <w:p>
                  <w:pPr>
                    <w:pStyle w:val="Compact"/>
                    <w:jc w:val="center"/>
                  </w:pPr>
                  <w:r>
                    <w:t xml:space="preserve">z (°C)</w:t>
                  </w:r>
                </w:p>
              </w:tc>
              <w:tc>
                <w:tcPr/>
                <w:p>
                  <w:pPr>
                    <w:pStyle w:val="Compact"/>
                    <w:jc w:val="center"/>
                  </w:pPr>
                  <w:r>
                    <w:t xml:space="preserve">2.70643</w:t>
                  </w:r>
                </w:p>
              </w:tc>
              <w:tc>
                <w:tcPr/>
                <w:p>
                  <w:pPr>
                    <w:pStyle w:val="Compact"/>
                    <w:jc w:val="center"/>
                  </w:pPr>
                  <w:r>
                    <w:t xml:space="preserve">2.33424</w:t>
                  </w:r>
                </w:p>
              </w:tc>
              <w:tc>
                <w:tcPr/>
                <w:p>
                  <w:pPr>
                    <w:pStyle w:val="Compact"/>
                    <w:jc w:val="center"/>
                  </w:pPr>
                  <w:r>
                    <w:t xml:space="preserve">3.2163</w:t>
                  </w:r>
                </w:p>
              </w:tc>
            </w:tr>
          </w:tbl>
          <w:bookmarkEnd w:id="99"/>
          <w:p/>
        </w:tc>
      </w:tr>
    </w:tbl>
    <w:bookmarkEnd w:id="100"/>
    <w:bookmarkEnd w:id="101"/>
    <w:bookmarkStart w:id="106" w:name="sec-shrimp-survival-curves"/>
    <w:p>
      <w:pPr>
        <w:pStyle w:val="Heading2"/>
      </w:pPr>
      <w:r>
        <w:t xml:space="preserve">3.3 Survival curves with observed overlay</w:t>
      </w:r>
    </w:p>
    <w:p>
      <w:pPr>
        <w:pStyle w:val="FirstParagraph"/>
      </w:pPr>
      <w:r>
        <w:t xml:space="preserve">We predict survival probability across the observed temperature × duration grid and overlay the observed proportions per replicate. The fitted curves should track the observed clouds at every temperature.</w:t>
      </w:r>
    </w:p>
    <w:tbl>
      <w:tblPr>
        <w:tblStyle w:val="Table"/>
        <w:tblW w:type="pct" w:w="5000"/>
        <w:tblLayout w:type="fixed"/>
        <w:tblLook w:firstRow="0" w:lastRow="0" w:firstColumn="0" w:lastColumn="0" w:noHBand="0" w:noVBand="0" w:val="0000"/>
      </w:tblPr>
      <w:tblGrid>
        <w:gridCol w:w="7920"/>
      </w:tblGrid>
      <w:tr>
        <w:tc>
          <w:tcPr/>
          <w:bookmarkStart w:id="105" w:name="fig-shrimp-survival-curves"/>
          <w:p>
            <w:pPr>
              <w:pStyle w:val="Compact"/>
              <w:jc w:val="center"/>
            </w:pPr>
            <w:r>
              <w:drawing>
                <wp:inline>
                  <wp:extent cx="5943600" cy="3714750"/>
                  <wp:effectExtent b="0" l="0" r="0" t="0"/>
                  <wp:docPr descr="" title="" id="103" name="Picture"/>
                  <a:graphic>
                    <a:graphicData uri="http://schemas.openxmlformats.org/drawingml/2006/picture">
                      <pic:pic>
                        <pic:nvPicPr>
                          <pic:cNvPr descr="supplement_files/figure-docx/fig-shrimp-survival-curves-1.png" id="104" name="Picture"/>
                          <pic:cNvPicPr>
                            <a:picLocks noChangeArrowheads="1" noChangeAspect="1"/>
                          </pic:cNvPicPr>
                        </pic:nvPicPr>
                        <pic:blipFill>
                          <a:blip r:embed="rId10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Posterior survival curves for brown shrimp at each assayed temperature, with 95% credible bands. Coloured points are observed per-replicate survival proportions. Duration on the log scale; population-level prediction (random effects marginalised).</w:t>
            </w:r>
          </w:p>
          <w:bookmarkEnd w:id="105"/>
        </w:tc>
      </w:tr>
    </w:tbl>
    <w:bookmarkEnd w:id="106"/>
    <w:bookmarkStart w:id="111" w:name="sec-shrimp-landscape"/>
    <w:p>
      <w:pPr>
        <w:pStyle w:val="Heading2"/>
      </w:pPr>
      <w:r>
        <w:t xml:space="preserve">3.4 TDT landscape</w:t>
      </w:r>
    </w:p>
    <w:p>
      <w:pPr>
        <w:pStyle w:val="FirstParagraph"/>
      </w:pPr>
      <w:r>
        <w:t xml:space="preserve">A dense 2-D view of survival across the entire (temperature, duration) plane shows the dose-response surface as a heatmap with overlaid contours at 25, 50, and 75% survival.</w:t>
      </w:r>
    </w:p>
    <w:tbl>
      <w:tblPr>
        <w:tblStyle w:val="Table"/>
        <w:tblW w:type="pct" w:w="5000"/>
        <w:tblLayout w:type="fixed"/>
        <w:tblLook w:firstRow="0" w:lastRow="0" w:firstColumn="0" w:lastColumn="0" w:noHBand="0" w:noVBand="0" w:val="0000"/>
      </w:tblPr>
      <w:tblGrid>
        <w:gridCol w:w="7920"/>
      </w:tblGrid>
      <w:tr>
        <w:tc>
          <w:tcPr/>
          <w:bookmarkStart w:id="110" w:name="fig-shrimp-landscape"/>
          <w:p>
            <w:pPr>
              <w:pStyle w:val="Compact"/>
              <w:jc w:val="center"/>
            </w:pPr>
            <w:r>
              <w:drawing>
                <wp:inline>
                  <wp:extent cx="5943600" cy="4457700"/>
                  <wp:effectExtent b="0" l="0" r="0" t="0"/>
                  <wp:docPr descr="" title="" id="108" name="Picture"/>
                  <a:graphic>
                    <a:graphicData uri="http://schemas.openxmlformats.org/drawingml/2006/picture">
                      <pic:pic>
                        <pic:nvPicPr>
                          <pic:cNvPr descr="supplement_files/figure-docx/fig-shrimp-landscape-1.png" id="109" name="Picture"/>
                          <pic:cNvPicPr>
                            <a:picLocks noChangeArrowheads="1" noChangeAspect="1"/>
                          </pic:cNvPicPr>
                        </pic:nvPicPr>
                        <pic:blipFill>
                          <a:blip r:embed="rId107"/>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TDT landscape for brown shrimp: posterior median predicted survival across a 120 × 120 grid of assay temperatures × durations. White contours mark 25%, 50%, and 75% survival isolines. Overlaid points are raw observed proportions.</w:t>
            </w:r>
          </w:p>
          <w:bookmarkEnd w:id="110"/>
        </w:tc>
      </w:tr>
    </w:tbl>
    <w:bookmarkEnd w:id="111"/>
    <w:bookmarkStart w:id="117" w:name="sec-shrimp-extract"/>
    <w:p>
      <w:pPr>
        <w:pStyle w:val="Heading2"/>
      </w:pPr>
      <w:r>
        <w:t xml:space="preserve">3.5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bundles z (from per-draw log-linear regression of the LT50 curve),</w:t>
      </w:r>
      <w:r>
        <w:t xml:space="preserve"> </w:t>
      </w:r>
      <m:oMath>
        <m:r>
          <m:t>C</m:t>
        </m:r>
        <m:sSub>
          <m:e>
            <m:r>
              <m:t>T</m:t>
            </m:r>
          </m:e>
          <m:sub>
            <m:r>
              <m:t>m</m:t>
            </m:r>
            <m:r>
              <m:t>a</m:t>
            </m:r>
            <m:sSub>
              <m:e>
                <m:r>
                  <m:t>x</m:t>
                </m:r>
              </m:e>
              <m:sub>
                <m:r>
                  <m:t>1</m:t>
                </m:r>
                <m:r>
                  <m:t>h</m:t>
                </m:r>
                <m:r>
                  <m:t>r</m:t>
                </m:r>
              </m:sub>
            </m:sSub>
          </m:sub>
        </m:sSub>
      </m:oMath>
      <w:r>
        <w:t xml:space="preserve"> </w:t>
      </w:r>
      <w:r>
        <w:t xml:space="preserve">(4PL inversion at the 60-minute reference for 50% survival), and</w:t>
      </w:r>
      <w:r>
        <w:t xml:space="preserve"> </w:t>
      </w:r>
      <m:oMath>
        <m:sSub>
          <m:e>
            <m:r>
              <m:t>T</m:t>
            </m:r>
          </m:e>
          <m:sub>
            <m:r>
              <m:t>c</m:t>
            </m:r>
            <m:r>
              <m:t>r</m:t>
            </m:r>
            <m:r>
              <m:t>i</m:t>
            </m:r>
            <m:r>
              <m:t>t</m:t>
            </m:r>
          </m:sub>
        </m:sSub>
      </m:oMath>
      <w:r>
        <w:t xml:space="preserve"> </w:t>
      </w:r>
      <w:r>
        <w:t xml:space="preserve">(the rate-multiplier damage-threshold,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 see</w:t>
      </w:r>
      <w:r>
        <w:t xml:space="preserve"> </w:t>
      </w:r>
      <w:hyperlink w:anchor="eq-tcrit">
        <w:r>
          <w:rPr>
            <w:rStyle w:val="Hyperlink"/>
          </w:rPr>
          <w:t xml:space="preserve">Equation S3</w:t>
        </w:r>
      </w:hyperlink>
      <w:r>
        <w:t xml:space="preserve">) in a single call. Every output inherits the model’s posterior, so all three quantities come with calibrated credible intervals.</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CommentTok"/>
        </w:rPr>
        <w:t xml:space="preserve"># CTmax defined at 1-hour exposure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CommentTok"/>
        </w:rPr>
        <w:t xml:space="preserve"># T_crit integrated over r* in % HI/hr</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tbl-shrimp-extract"/>
          <w:p>
            <w:pPr>
              <w:jc w:val="center"/>
            </w:pPr>
            <w:pPr>
              <w:jc w:val="start"/>
              <w:spacing w:before="200"/>
              <w:pStyle w:val="ImageCaption"/>
            </w:pPr>
            <w:r>
              <w:t xml:space="preserve">Table S11: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decade of time)</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w:t>
                  </w:r>
                </w:p>
              </w:tc>
            </w:tr>
            <w:tr>
              <w:tc>
                <w:tcPr/>
                <w:p>
                  <w:pPr>
                    <w:pStyle w:val="Compact"/>
                    <w:jc w:val="center"/>
                  </w:pPr>
                  <w:r>
                    <w:t xml:space="preserve">CTmax_1hr (°C)</w:t>
                  </w:r>
                </w:p>
              </w:tc>
              <w:tc>
                <w:tcPr/>
                <w:p>
                  <w:pPr>
                    <w:pStyle w:val="Compact"/>
                    <w:jc w:val="center"/>
                  </w:pPr>
                  <w:r>
                    <w:t xml:space="preserve">31.6</w:t>
                  </w:r>
                </w:p>
              </w:tc>
              <w:tc>
                <w:tcPr/>
                <w:p>
                  <w:pPr>
                    <w:pStyle w:val="Compact"/>
                    <w:jc w:val="center"/>
                  </w:pPr>
                  <w:r>
                    <w:t xml:space="preserve">30.7</w:t>
                  </w:r>
                </w:p>
              </w:tc>
              <w:tc>
                <w:tcPr/>
                <w:p>
                  <w:pPr>
                    <w:pStyle w:val="Compact"/>
                    <w:jc w:val="center"/>
                  </w:pPr>
                  <w:r>
                    <w:t xml:space="preserve">33</w:t>
                  </w:r>
                </w:p>
              </w:tc>
            </w:tr>
            <w:tr>
              <w:tc>
                <w:tcPr/>
                <w:p>
                  <w:pPr>
                    <w:pStyle w:val="Compact"/>
                    <w:jc w:val="center"/>
                  </w:pPr>
                  <w:r>
                    <w:t xml:space="preserve">T_crit (°C, r* in [0.1, 1] per hour)</w:t>
                  </w:r>
                </w:p>
              </w:tc>
              <w:tc>
                <w:tcPr/>
                <w:p>
                  <w:pPr>
                    <w:pStyle w:val="Compact"/>
                    <w:jc w:val="center"/>
                  </w:pPr>
                  <w:r>
                    <w:t xml:space="preserve">25.1</w:t>
                  </w:r>
                </w:p>
              </w:tc>
              <w:tc>
                <w:tcPr/>
                <w:p>
                  <w:pPr>
                    <w:pStyle w:val="Compact"/>
                    <w:jc w:val="center"/>
                  </w:pPr>
                  <w:r>
                    <w:t xml:space="preserve">22.9</w:t>
                  </w:r>
                </w:p>
              </w:tc>
              <w:tc>
                <w:tcPr/>
                <w:p>
                  <w:pPr>
                    <w:pStyle w:val="Compact"/>
                    <w:jc w:val="center"/>
                  </w:pPr>
                  <w:r>
                    <w:t xml:space="preserve">27</w:t>
                  </w:r>
                </w:p>
              </w:tc>
            </w:tr>
          </w:tbl>
          <w:bookmarkEnd w:id="112"/>
          <w:p/>
        </w:tc>
      </w:tr>
    </w:tbl>
    <w:tbl>
      <w:tblPr>
        <w:tblStyle w:val="Table"/>
        <w:tblW w:type="pct" w:w="5000"/>
        <w:tblLayout w:type="fixed"/>
        <w:tblLook w:firstRow="0" w:lastRow="0" w:firstColumn="0" w:lastColumn="0" w:noHBand="0" w:noVBand="0" w:val="0000"/>
      </w:tblPr>
      <w:tblGrid>
        <w:gridCol w:w="7920"/>
      </w:tblGrid>
      <w:tr>
        <w:tc>
          <w:tcPr/>
          <w:bookmarkStart w:id="116" w:name="fig-shrimp-tcrit-ctmax"/>
          <w:p>
            <w:pPr>
              <w:pStyle w:val="Compact"/>
              <w:jc w:val="center"/>
            </w:pPr>
            <w:r>
              <w:drawing>
                <wp:inline>
                  <wp:extent cx="5943600" cy="2600325"/>
                  <wp:effectExtent b="0" l="0" r="0" t="0"/>
                  <wp:docPr descr="" title="" id="114" name="Picture"/>
                  <a:graphic>
                    <a:graphicData uri="http://schemas.openxmlformats.org/drawingml/2006/picture">
                      <pic:pic>
                        <pic:nvPicPr>
                          <pic:cNvPr descr="supplement_files/figure-docx/fig-shrimp-tcrit-ctmax-1.png" id="115" name="Picture"/>
                          <pic:cNvPicPr>
                            <a:picLocks noChangeArrowheads="1" noChangeAspect="1"/>
                          </pic:cNvPicPr>
                        </pic:nvPicPr>
                        <pic:blipFill>
                          <a:blip r:embed="rId113"/>
                          <a:stretch>
                            <a:fillRect/>
                          </a:stretch>
                        </pic:blipFill>
                        <pic:spPr bwMode="auto">
                          <a:xfrm>
                            <a:off x="0" y="0"/>
                            <a:ext cx="5943600" cy="26003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densities of</w:t>
            </w:r>
            <w:r>
              <w:t xml:space="preserve"> </w:t>
            </w:r>
            <m:oMath>
              <m:r>
                <m:t>C</m:t>
              </m:r>
              <m:sSub>
                <m:e>
                  <m:r>
                    <m:t>T</m:t>
                  </m:r>
                </m:e>
                <m:sub>
                  <m:r>
                    <m:t>m</m:t>
                  </m:r>
                  <m:r>
                    <m:t>a</m:t>
                  </m:r>
                  <m:sSub>
                    <m:e>
                      <m:r>
                        <m:t>x</m:t>
                      </m:r>
                    </m:e>
                    <m:sub>
                      <m:r>
                        <m:t>1</m:t>
                      </m:r>
                      <m:r>
                        <m:t>h</m:t>
                      </m:r>
                      <m:r>
                        <m:t>r</m:t>
                      </m:r>
                    </m:sub>
                  </m:sSub>
                </m:sub>
              </m:sSub>
            </m:oMath>
            <w:r>
              <w:t xml:space="preserve"> </w:t>
            </w:r>
            <w:r>
              <w:t xml:space="preserve">(left)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5–6 °C gap between the two quantities represents the sub-lethal window between the onset of detectable injury and the LT50 limit.</w:t>
            </w:r>
          </w:p>
          <w:bookmarkEnd w:id="116"/>
        </w:tc>
      </w:tr>
    </w:tbl>
    <w:bookmarkEnd w:id="117"/>
    <w:bookmarkStart w:id="131" w:name="sec-shrimp-hi"/>
    <w:p>
      <w:pPr>
        <w:pStyle w:val="Heading2"/>
      </w:pPr>
      <w:r>
        <w:t xml:space="preserve">3.6 Heat injury under three reference traces</w:t>
      </w:r>
    </w:p>
    <w:p>
      <w:pPr>
        <w:pStyle w:val="FirstParagraph"/>
      </w:pPr>
      <w:r>
        <w:t xml:space="preserve">We now project the fitted shrimp model under the same three-scenario harness used in the simulation validation above (§</w:t>
      </w:r>
      <w:hyperlink w:anchor="sec-hi-validation">
        <w:r>
          <w:rPr>
            <w:rStyle w:val="Hyperlink"/>
          </w:rPr>
          <w:t xml:space="preserve">Validation: recovering known planted doses</w:t>
        </w:r>
      </w:hyperlink>
      <w:r>
        <w:t xml:space="preserve">). The traces are calibrated to shrimp ecology and the posterior of the fitted model: 17 °C is the natural holding temperature, 30 °C is a heat-stress spike that sits between</w:t>
      </w:r>
      <w:r>
        <w:t xml:space="preserve"> </w:t>
      </w:r>
      <m:oMath>
        <m:sSub>
          <m:e>
            <m:r>
              <m:t>T</m:t>
            </m:r>
          </m:e>
          <m:sub>
            <m:r>
              <m:t>c</m:t>
            </m:r>
            <m:r>
              <m:t>r</m:t>
            </m:r>
            <m:r>
              <m:t>i</m:t>
            </m:r>
            <m:r>
              <m:t>t</m:t>
            </m:r>
          </m:sub>
        </m:sSub>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the damage threshold passed to</w:t>
      </w:r>
      <w:r>
        <w:t xml:space="preserve"> </w:t>
      </w:r>
      <w:r>
        <w:rPr>
          <w:rStyle w:val="VerbatimChar"/>
        </w:rPr>
        <w:t xml:space="preserve">predict_heat_injury()</w:t>
      </w:r>
      <w:r>
        <w:t xml:space="preserve"> </w:t>
      </w:r>
      <w:r>
        <w:t xml:space="preserve">is the posterior median of</w:t>
      </w:r>
      <w:r>
        <w:t xml:space="preserve"> </w:t>
      </w:r>
      <m:oMath>
        <m:sSub>
          <m:e>
            <m:r>
              <m:t>T</m:t>
            </m:r>
          </m:e>
          <m:sub>
            <m:r>
              <m:t>c</m:t>
            </m:r>
            <m:r>
              <m:t>r</m:t>
            </m:r>
            <m:r>
              <m:t>i</m:t>
            </m:r>
            <m:r>
              <m:t>t</m:t>
            </m:r>
          </m:sub>
        </m:sSub>
      </m:oMath>
      <w:r>
        <w:t xml:space="preserve"> </w:t>
      </w:r>
      <w:r>
        <w:t xml:space="preserve">from</w:t>
      </w:r>
      <w:r>
        <w:t xml:space="preserve"> </w:t>
      </w:r>
      <w:r>
        <w:rPr>
          <w:rStyle w:val="VerbatimChar"/>
        </w:rPr>
        <w:t xml:space="preserve">extract_tdt()</w:t>
      </w:r>
      <w:r>
        <w:t xml:space="preserve"> </w:t>
      </w:r>
      <w:r>
        <w:t xml:space="preserve">— model-derived rather than hand-picked.</w:t>
      </w:r>
    </w:p>
    <w:p>
      <w:pPr>
        <w:pStyle w:val="SourceCode"/>
      </w:pPr>
      <w:r>
        <w:rPr>
          <w:rStyle w:val="CommentTok"/>
        </w:rPr>
        <w:t xml:space="preserve"># Damage threshold = posterior median of T_crit from the fit. Model-derived.</w:t>
      </w:r>
      <w:r>
        <w:br/>
      </w: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30</w:t>
      </w:r>
      <w:r>
        <w:rPr>
          <w:rStyle w:val="NormalTok"/>
        </w:rPr>
        <w:t xml:space="preserve">,    </w:t>
      </w:r>
      <w:r>
        <w:rPr>
          <w:rStyle w:val="CommentTok"/>
        </w:rPr>
        <w:t xml:space="preserve"># between T_crit and CTmax_1hr — clearly stressful</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br/>
      </w:r>
      <w:r>
        <w:rPr>
          <w:rStyle w:val="CommentTok"/>
        </w:rPr>
        <w:t xml:space="preserve"># Predict HI + survival under each scenario, without repair.</w:t>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  )</w:t>
      </w:r>
      <w:r>
        <w:br/>
      </w:r>
      <w:r>
        <w:rPr>
          <w:rStyle w:val="NormalTok"/>
        </w:rPr>
        <w:t xml:space="preserve">})</w:t>
      </w:r>
      <w:r>
        <w:br/>
      </w:r>
      <w:r>
        <w:br/>
      </w:r>
      <w:r>
        <w:rPr>
          <w:rStyle w:val="CommentTok"/>
        </w:rPr>
        <w:t xml:space="preserve"># Sharpe-Schoolfield repair parameters tuned to shrimp: optimum ~17 °C, modest</w:t>
      </w:r>
      <w:r>
        <w:br/>
      </w:r>
      <w:r>
        <w:rPr>
          <w:rStyle w:val="CommentTok"/>
        </w:rPr>
        <w:t xml:space="preserve"># repair capacity. r_ref is in (doses per hour) because the model time unit</w:t>
      </w:r>
      <w:r>
        <w:br/>
      </w:r>
      <w:r>
        <w:rPr>
          <w:rStyle w:val="CommentTok"/>
        </w:rPr>
        <w:t xml:space="preserve"># for the shrimp fit is hours.</w:t>
      </w:r>
      <w:r>
        <w:br/>
      </w: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w:t>
      </w:r>
      <w:r>
        <w:br/>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    </w:t>
      </w:r>
      <w:r>
        <w:rPr>
          <w:rStyle w:val="CommentTok"/>
        </w:rPr>
        <w:t xml:space="preserve"># 0.5% LT50-dose repaired per hour at TREF</w:t>
      </w:r>
      <w:r>
        <w:br/>
      </w:r>
      <w:r>
        <w:rPr>
          <w:rStyle w:val="NormalTok"/>
        </w:rPr>
        <w:t xml:space="preserve">)</w:t>
      </w:r>
      <w:r>
        <w:br/>
      </w:r>
      <w:r>
        <w:br/>
      </w:r>
      <w:r>
        <w:rPr>
          <w:rStyle w:val="CommentTok"/>
        </w:rPr>
        <w:t xml:space="preserve"># Re-run with repair on the multi-spike scenario to show the offsetting effect.</w:t>
      </w:r>
      <w:r>
        <w:br/>
      </w:r>
      <w:r>
        <w:rPr>
          <w:rStyle w:val="NormalTok"/>
        </w:rPr>
        <w:t xml:space="preserve">shrimp_hi_repair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shrimp_scens</w:t>
      </w:r>
      <w:r>
        <w:rPr>
          <w:rStyle w:val="SpecialCharTok"/>
        </w:rPr>
        <w:t xml:space="preserve">$</w:t>
      </w:r>
      <w:r>
        <w:rPr>
          <w:rStyle w:val="NormalTok"/>
        </w:rPr>
        <w:t xml:space="preserve">multi_spike,</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1" w:name="fig-shrimp-hi-traces"/>
          <w:p>
            <w:pPr>
              <w:pStyle w:val="Compact"/>
              <w:jc w:val="center"/>
            </w:pPr>
            <w:r>
              <w:drawing>
                <wp:inline>
                  <wp:extent cx="5943600" cy="3396342"/>
                  <wp:effectExtent b="0" l="0" r="0" t="0"/>
                  <wp:docPr descr="" title="" id="119" name="Picture"/>
                  <a:graphic>
                    <a:graphicData uri="http://schemas.openxmlformats.org/drawingml/2006/picture">
                      <pic:pic>
                        <pic:nvPicPr>
                          <pic:cNvPr descr="supplement_files/figure-docx/fig-shrimp-hi-traces-1.png" id="120" name="Picture"/>
                          <pic:cNvPicPr>
                            <a:picLocks noChangeArrowheads="1" noChangeAspect="1"/>
                          </pic:cNvPicPr>
                        </pic:nvPicPr>
                        <pic:blipFill>
                          <a:blip r:embed="rId11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The three reference temperature traces used for the shrimp heat-injury prediction. Baseline 17 °C (shrimp natural holding temperature); 1-hour spikes at 28 °C; the dashed line marks the damage threshold T_c set at the lower 95% credible bound of T_crit.</w:t>
            </w:r>
          </w:p>
          <w:bookmarkEnd w:id="121"/>
        </w:tc>
      </w:tr>
    </w:tbl>
    <w:tbl>
      <w:tblPr>
        <w:tblStyle w:val="Table"/>
        <w:tblW w:type="pct" w:w="5000"/>
        <w:tblLayout w:type="fixed"/>
        <w:tblLook w:firstRow="0" w:lastRow="0" w:firstColumn="0" w:lastColumn="0" w:noHBand="0" w:noVBand="0" w:val="0000"/>
      </w:tblPr>
      <w:tblGrid>
        <w:gridCol w:w="7920"/>
      </w:tblGrid>
      <w:tr>
        <w:tc>
          <w:tcPr/>
          <w:bookmarkStart w:id="125" w:name="fig-shrimp-hi-multi-norep"/>
          <w:p>
            <w:pPr>
              <w:pStyle w:val="Compact"/>
              <w:jc w:val="center"/>
            </w:pPr>
            <w:r>
              <w:drawing>
                <wp:inline>
                  <wp:extent cx="5943600" cy="4245428"/>
                  <wp:effectExtent b="0" l="0" r="0" t="0"/>
                  <wp:docPr descr="" title="" id="123" name="Picture"/>
                  <a:graphic>
                    <a:graphicData uri="http://schemas.openxmlformats.org/drawingml/2006/picture">
                      <pic:pic>
                        <pic:nvPicPr>
                          <pic:cNvPr descr="supplement_files/figure-docx/fig-shrimp-hi-multi-norep-1.png" id="124" name="Picture"/>
                          <pic:cNvPicPr>
                            <a:picLocks noChangeArrowheads="1" noChangeAspect="1"/>
                          </pic:cNvPicPr>
                        </pic:nvPicPr>
                        <pic:blipFill>
                          <a:blip r:embed="rId1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Cumulative heat injury (top) and predicted survival (bottom) for brown shrimp under the multi-spike trace,</w:t>
            </w:r>
            <w:r>
              <w:t xml:space="preserve"> </w:t>
            </w:r>
            <w:r>
              <w:rPr>
                <w:b/>
                <w:bCs/>
              </w:rPr>
              <w:t xml:space="preserve">no repair</w:t>
            </w:r>
            <w:r>
              <w:t xml:space="preserve">. Posterior median lines and 95% credible bands.</w:t>
            </w:r>
          </w:p>
          <w:bookmarkEnd w:id="125"/>
        </w:tc>
      </w:tr>
    </w:tbl>
    <w:tbl>
      <w:tblPr>
        <w:tblStyle w:val="Table"/>
        <w:tblW w:type="pct" w:w="5000"/>
        <w:tblLayout w:type="fixed"/>
        <w:tblLook w:firstRow="0" w:lastRow="0" w:firstColumn="0" w:lastColumn="0" w:noHBand="0" w:noVBand="0" w:val="0000"/>
      </w:tblPr>
      <w:tblGrid>
        <w:gridCol w:w="7920"/>
      </w:tblGrid>
      <w:tr>
        <w:tc>
          <w:tcPr/>
          <w:bookmarkStart w:id="129" w:name="fig-shrimp-hi-multi-rep"/>
          <w:p>
            <w:pPr>
              <w:pStyle w:val="Compact"/>
              <w:jc w:val="center"/>
            </w:pPr>
            <w:r>
              <w:drawing>
                <wp:inline>
                  <wp:extent cx="5943600" cy="4245428"/>
                  <wp:effectExtent b="0" l="0" r="0" t="0"/>
                  <wp:docPr descr="" title="" id="127" name="Picture"/>
                  <a:graphic>
                    <a:graphicData uri="http://schemas.openxmlformats.org/drawingml/2006/picture">
                      <pic:pic>
                        <pic:nvPicPr>
                          <pic:cNvPr descr="supplement_files/figure-docx/fig-shrimp-hi-multi-rep-1.png" id="128" name="Picture"/>
                          <pic:cNvPicPr>
                            <a:picLocks noChangeArrowheads="1" noChangeAspect="1"/>
                          </pic:cNvPicPr>
                        </pic:nvPicPr>
                        <pic:blipFill>
                          <a:blip r:embed="rId1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Same multi-spike trace as above, this time</w:t>
            </w:r>
            <w:r>
              <w:t xml:space="preserve"> </w:t>
            </w:r>
            <w:r>
              <w:rPr>
                <w:b/>
                <w:bCs/>
              </w:rPr>
              <w:t xml:space="preserve">with Sharpe-Schoolfield repair</w:t>
            </w:r>
            <w:r>
              <w:t xml:space="preserve"> </w:t>
            </w:r>
            <w:r>
              <w:t xml:space="preserve">active (</w:t>
            </w:r>
            <w:r>
              <w:rPr>
                <w:rStyle w:val="VerbatimChar"/>
              </w:rPr>
              <w:t xml:space="preserve">r_ref = 0.005</w:t>
            </w:r>
            <w:r>
              <w:t xml:space="preserve"> </w:t>
            </w:r>
            <w:r>
              <w:t xml:space="preserve">doses per hour at 17 °C). Repair fully offsets the spike damage at sub-T_c baseline.</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tbl-shrimp-hi-summary"/>
          <w:p>
            <w:pPr>
              <w:jc w:val="center"/>
            </w:pPr>
            <w:pPr>
              <w:jc w:val="start"/>
              <w:spacing w:before="200"/>
              <w:pStyle w:val="ImageCaption"/>
            </w:pPr>
            <w:r>
              <w:t xml:space="preserve">Table S12: Final cumulative HI and predicted survival under each scenario for brown shrimp, posterior medians with 95% credible intervals.</w:t>
            </w:r>
          </w:p>
          <w:tbl>
            <w:tblPr>
              <w:tblStyle w:val="Table"/>
              <w:tblW w:type="pct" w:w="4773"/>
              <w:tblLayout w:type="fixed"/>
              <w:tblLook w:firstRow="1" w:lastRow="0" w:firstColumn="0" w:lastColumn="0" w:noHBand="0" w:noVBand="0" w:val="0020"/>
            </w:tblPr>
            <w:tblGrid>
              <w:gridCol w:w="900"/>
              <w:gridCol w:w="1260"/>
              <w:gridCol w:w="960"/>
              <w:gridCol w:w="660"/>
              <w:gridCol w:w="660"/>
              <w:gridCol w:w="1080"/>
              <w:gridCol w:w="1020"/>
              <w:gridCol w:w="102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0.895</w:t>
                  </w:r>
                </w:p>
              </w:tc>
              <w:tc>
                <w:tcPr/>
                <w:p>
                  <w:pPr>
                    <w:pStyle w:val="Compact"/>
                    <w:jc w:val="center"/>
                  </w:pPr>
                  <w:r>
                    <w:t xml:space="preserve">0.992</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25.4</w:t>
                  </w:r>
                </w:p>
              </w:tc>
              <w:tc>
                <w:tcPr/>
                <w:p>
                  <w:pPr>
                    <w:pStyle w:val="Compact"/>
                    <w:jc w:val="center"/>
                  </w:pPr>
                  <w:r>
                    <w:t xml:space="preserve">12.1</w:t>
                  </w:r>
                </w:p>
              </w:tc>
              <w:tc>
                <w:tcPr/>
                <w:p>
                  <w:pPr>
                    <w:pStyle w:val="Compact"/>
                    <w:jc w:val="center"/>
                  </w:pPr>
                  <w:r>
                    <w:t xml:space="preserve">50.3</w:t>
                  </w:r>
                </w:p>
              </w:tc>
              <w:tc>
                <w:tcPr/>
                <w:p>
                  <w:pPr>
                    <w:pStyle w:val="Compact"/>
                    <w:jc w:val="center"/>
                  </w:pPr>
                  <w:r>
                    <w:t xml:space="preserve">0.920</w:t>
                  </w:r>
                </w:p>
              </w:tc>
              <w:tc>
                <w:tcPr/>
                <w:p>
                  <w:pPr>
                    <w:pStyle w:val="Compact"/>
                    <w:jc w:val="center"/>
                  </w:pPr>
                  <w:r>
                    <w:t xml:space="preserve">0.816</w:t>
                  </w:r>
                </w:p>
              </w:tc>
              <w:tc>
                <w:tcPr/>
                <w:p>
                  <w:pPr>
                    <w:pStyle w:val="Compact"/>
                    <w:jc w:val="center"/>
                  </w:pPr>
                  <w:r>
                    <w:t xml:space="preserve">0.971</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77.2</w:t>
                  </w:r>
                </w:p>
              </w:tc>
              <w:tc>
                <w:tcPr/>
                <w:p>
                  <w:pPr>
                    <w:pStyle w:val="Compact"/>
                    <w:jc w:val="center"/>
                  </w:pPr>
                  <w:r>
                    <w:t xml:space="preserve">34.5</w:t>
                  </w:r>
                </w:p>
              </w:tc>
              <w:tc>
                <w:tcPr/>
                <w:p>
                  <w:pPr>
                    <w:pStyle w:val="Compact"/>
                    <w:jc w:val="center"/>
                  </w:pPr>
                  <w:r>
                    <w:t xml:space="preserve">168.8</w:t>
                  </w:r>
                </w:p>
              </w:tc>
              <w:tc>
                <w:tcPr/>
                <w:p>
                  <w:pPr>
                    <w:pStyle w:val="Compact"/>
                    <w:jc w:val="center"/>
                  </w:pPr>
                  <w:r>
                    <w:t xml:space="preserve">0.642</w:t>
                  </w:r>
                </w:p>
              </w:tc>
              <w:tc>
                <w:tcPr/>
                <w:p>
                  <w:pPr>
                    <w:pStyle w:val="Compact"/>
                    <w:jc w:val="center"/>
                  </w:pPr>
                  <w:r>
                    <w:t xml:space="preserve">0.205</w:t>
                  </w:r>
                </w:p>
              </w:tc>
              <w:tc>
                <w:tcPr/>
                <w:p>
                  <w:pPr>
                    <w:pStyle w:val="Compact"/>
                    <w:jc w:val="center"/>
                  </w:pPr>
                  <w:r>
                    <w:t xml:space="preserve">0.898</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44.6</w:t>
                  </w:r>
                </w:p>
              </w:tc>
              <w:tc>
                <w:tcPr/>
                <w:p>
                  <w:pPr>
                    <w:pStyle w:val="Compact"/>
                    <w:jc w:val="center"/>
                  </w:pPr>
                  <w:r>
                    <w:t xml:space="preserve">0.0</w:t>
                  </w:r>
                </w:p>
              </w:tc>
              <w:tc>
                <w:tcPr/>
                <w:p>
                  <w:pPr>
                    <w:pStyle w:val="Compact"/>
                    <w:jc w:val="center"/>
                  </w:pPr>
                  <w:r>
                    <w:t xml:space="preserve">165.3</w:t>
                  </w:r>
                </w:p>
              </w:tc>
              <w:tc>
                <w:tcPr/>
                <w:p>
                  <w:pPr>
                    <w:pStyle w:val="Compact"/>
                    <w:jc w:val="center"/>
                  </w:pPr>
                  <w:r>
                    <w:t xml:space="preserve">0.799</w:t>
                  </w:r>
                </w:p>
              </w:tc>
              <w:tc>
                <w:tcPr/>
                <w:p>
                  <w:pPr>
                    <w:pStyle w:val="Compact"/>
                    <w:jc w:val="center"/>
                  </w:pPr>
                  <w:r>
                    <w:t xml:space="preserve">0.224</w:t>
                  </w:r>
                </w:p>
              </w:tc>
              <w:tc>
                <w:tcPr/>
                <w:p>
                  <w:pPr>
                    <w:pStyle w:val="Compact"/>
                    <w:jc w:val="center"/>
                  </w:pPr>
                  <w:r>
                    <w:t xml:space="preserve">0.962</w:t>
                  </w:r>
                </w:p>
              </w:tc>
            </w:tr>
          </w:tbl>
          <w:bookmarkEnd w:id="130"/>
          <w:p/>
        </w:tc>
      </w:tr>
    </w:tbl>
    <w:p>
      <w:pPr>
        <w:pStyle w:val="BodyText"/>
      </w:pPr>
      <w:r>
        <w:t xml:space="preserve">The shrimp case study shows the complete loop: raw counts → fitted model → classical TDT quantities (with credible intervals on every one of them) → heat-injury predictions under fluctuating field traces (with and without repair). Every quantity reported here inherits the joint posterior of the single 4PL fit — there is no second-stage regression, no point-estimate-then-bootstrap, no separate ramping-rate experiment. The same machinery applies to any TDT-style proportion dataset by changing only</w:t>
      </w:r>
      <w:r>
        <w:t xml:space="preserve"> </w:t>
      </w:r>
      <w:r>
        <w:rPr>
          <w:rStyle w:val="VerbatimChar"/>
        </w:rPr>
        <w:t xml:space="preserve">standardize_data()</w:t>
      </w:r>
      <w:r>
        <w:t xml:space="preserve">’s column-name arguments.</w:t>
      </w:r>
    </w:p>
    <w:bookmarkEnd w:id="131"/>
    <w:bookmarkEnd w:id="132"/>
    <w:bookmarkStart w:id="148" w:name="references"/>
    <w:p>
      <w:pPr>
        <w:pStyle w:val="Heading1"/>
      </w:pPr>
      <w:r>
        <w:t xml:space="preserve">4. </w:t>
      </w:r>
      <w:r>
        <w:rPr>
          <w:b/>
          <w:bCs/>
        </w:rPr>
        <w:t xml:space="preserve">References</w:t>
      </w:r>
    </w:p>
    <w:bookmarkStart w:id="147" w:name="refs"/>
    <w:bookmarkStart w:id="134"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133">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134"/>
    <w:bookmarkStart w:id="136" w:name="ref-jorgensen_unifying_2021"/>
    <w:p>
      <w:pPr>
        <w:pStyle w:val="Bibliography"/>
      </w:pPr>
      <w:r>
        <w:t xml:space="preserve">Jørgensen, L.B., Malte, H. &amp; Overgaard, J. (2021).</w:t>
      </w:r>
      <w:r>
        <w:t xml:space="preserve"> </w:t>
      </w:r>
      <w:hyperlink r:id="rId135">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36"/>
    <w:bookmarkStart w:id="138" w:name="ref-kingsolver_umbanhowar_2018"/>
    <w:p>
      <w:pPr>
        <w:pStyle w:val="Bibliography"/>
      </w:pPr>
      <w:r>
        <w:t xml:space="preserve">Kingsolver, J.G. &amp; Umbanhowar, J. (2018).</w:t>
      </w:r>
      <w:r>
        <w:t xml:space="preserve"> </w:t>
      </w:r>
      <w:hyperlink r:id="rId137">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138"/>
    <w:bookmarkStart w:id="140"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39">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40"/>
    <w:bookmarkStart w:id="142" w:name="ref-orsted_finding_2022"/>
    <w:p>
      <w:pPr>
        <w:pStyle w:val="Bibliography"/>
      </w:pPr>
      <w:r>
        <w:t xml:space="preserve">Ørsted, M., Jørgensen, L.B. &amp; Overgaard, J. (2022).</w:t>
      </w:r>
      <w:r>
        <w:t xml:space="preserve"> </w:t>
      </w:r>
      <w:hyperlink r:id="rId141">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42"/>
    <w:bookmarkStart w:id="144" w:name="ref-rezende_drosophila_mortality_2020"/>
    <w:p>
      <w:pPr>
        <w:pStyle w:val="Bibliography"/>
      </w:pPr>
      <w:r>
        <w:t xml:space="preserve">Rezende, E.L., Bozinovic, F., Szilágyi, A. &amp; Santos, M. (2020).</w:t>
      </w:r>
      <w:r>
        <w:t xml:space="preserve"> </w:t>
      </w:r>
      <w:hyperlink r:id="rId14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44"/>
    <w:bookmarkStart w:id="146" w:name="ref-rezende_landscapes_2014"/>
    <w:p>
      <w:pPr>
        <w:pStyle w:val="Bibliography"/>
      </w:pPr>
      <w:r>
        <w:t xml:space="preserve">Rezende, E.L., Castañeda, L.E. &amp; Santos, M. (2014).</w:t>
      </w:r>
      <w:r>
        <w:t xml:space="preserve"> </w:t>
      </w:r>
      <w:hyperlink r:id="rId14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46"/>
    <w:bookmarkEnd w:id="147"/>
    <w:bookmarkEnd w:id="148"/>
    <w:bookmarkStart w:id="149" w:name="session-information"/>
    <w:p>
      <w:pPr>
        <w:pStyle w:val="Heading1"/>
      </w:pPr>
      <w:r>
        <w:t xml:space="preserve">5.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p>
      <w:pPr>
        <w:pStyle w:val="BodyText"/>
      </w:pPr>
      <w:r>
        <w:t xml:space="preserve">:::</w:t>
      </w:r>
    </w:p>
    <w:bookmarkEnd w:id="14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18" Target="media/rId118.png" /><Relationship Type="http://schemas.openxmlformats.org/officeDocument/2006/relationships/image" Id="rId107" Target="media/rId107.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29" Target="media/rId29.png" /><Relationship Type="http://schemas.openxmlformats.org/officeDocument/2006/relationships/image" Id="rId75" Target="media/rId75.png" /><Relationship Type="http://schemas.openxmlformats.org/officeDocument/2006/relationships/hyperlink" Id="rId24" Target="../tests/testthat" TargetMode="External" /><Relationship Type="http://schemas.openxmlformats.org/officeDocument/2006/relationships/hyperlink" Id="rId139" Target="https://doi.org/10.1016/j.tree.2026.01.009" TargetMode="External" /><Relationship Type="http://schemas.openxmlformats.org/officeDocument/2006/relationships/hyperlink" Id="rId135" Target="https://doi.org/10.1038/s41598-021-92004-6" TargetMode="External" /><Relationship Type="http://schemas.openxmlformats.org/officeDocument/2006/relationships/hyperlink" Id="rId145" Target="https://doi.org/10.1111/1365-2435.12268" TargetMode="External" /><Relationship Type="http://schemas.openxmlformats.org/officeDocument/2006/relationships/hyperlink" Id="rId133" Target="https://doi.org/10.1111/gcb.70315" TargetMode="External" /><Relationship Type="http://schemas.openxmlformats.org/officeDocument/2006/relationships/hyperlink" Id="rId143" Target="https://doi.org/10.1126/science.aba9287" TargetMode="External" /><Relationship Type="http://schemas.openxmlformats.org/officeDocument/2006/relationships/hyperlink" Id="rId137" Target="https://doi.org/10.1242/jeb.167858" TargetMode="External" /><Relationship Type="http://schemas.openxmlformats.org/officeDocument/2006/relationships/hyperlink" Id="rId141" Target="https://doi.org/10.1242/jeb.244514" TargetMode="External" /><Relationship Type="http://schemas.openxmlformats.org/officeDocument/2006/relationships/hyperlink" Id="rId20" Target="https://here.r-lib.org" TargetMode="External" /></Relationships>
</file>

<file path=word/_rels/footnotes.xml.rels><?xml version="1.0" encoding="UTF-8"?><Relationships xmlns="http://schemas.openxmlformats.org/package/2006/relationships"><Relationship Type="http://schemas.openxmlformats.org/officeDocument/2006/relationships/hyperlink" Id="rId24" Target="../tests/testthat" TargetMode="External" /><Relationship Type="http://schemas.openxmlformats.org/officeDocument/2006/relationships/hyperlink" Id="rId139" Target="https://doi.org/10.1016/j.tree.2026.01.009" TargetMode="External" /><Relationship Type="http://schemas.openxmlformats.org/officeDocument/2006/relationships/hyperlink" Id="rId135" Target="https://doi.org/10.1038/s41598-021-92004-6" TargetMode="External" /><Relationship Type="http://schemas.openxmlformats.org/officeDocument/2006/relationships/hyperlink" Id="rId145" Target="https://doi.org/10.1111/1365-2435.12268" TargetMode="External" /><Relationship Type="http://schemas.openxmlformats.org/officeDocument/2006/relationships/hyperlink" Id="rId133" Target="https://doi.org/10.1111/gcb.70315" TargetMode="External" /><Relationship Type="http://schemas.openxmlformats.org/officeDocument/2006/relationships/hyperlink" Id="rId143" Target="https://doi.org/10.1126/science.aba9287" TargetMode="External" /><Relationship Type="http://schemas.openxmlformats.org/officeDocument/2006/relationships/hyperlink" Id="rId137" Target="https://doi.org/10.1242/jeb.167858" TargetMode="External" /><Relationship Type="http://schemas.openxmlformats.org/officeDocument/2006/relationships/hyperlink" Id="rId141" Target="https://doi.org/10.1242/jeb.244514" TargetMode="External" /><Relationship Type="http://schemas.openxmlformats.org/officeDocument/2006/relationships/hyperlink" Id="rId20" Target="https://here.r-lib.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2026-05-12T15:36:05Z</dcterms:created>
  <dcterms:modified xsi:type="dcterms:W3CDTF">2026-05-12T15:36:05Z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2026-05-12</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