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Fonti</w:t>
      </w:r>
      <w:r>
        <w:t xml:space="preserve"> </w:t>
      </w:r>
      <w:r>
        <w:t xml:space="preserve">Kar</w:t>
      </w:r>
    </w:p>
    <w:p>
      <w:pPr>
        <w:pStyle w:val="Date"/>
      </w:pPr>
      <w:r>
        <w:t xml:space="preserve">2020-09-10</w:t>
      </w:r>
    </w:p>
    <w:p>
      <w:pPr>
        <w:pStyle w:val="FirstParagraph"/>
      </w:pPr>
      <m:oMathPara>
        <m:oMathParaPr>
          <m:jc m:val="center"/>
        </m:oMathParaPr>
        <m:oMath>
          <m:sSub>
            <m:e>
              <m:r>
                <m:t>I</m:t>
              </m:r>
            </m:e>
            <m:sub>
              <m:r>
                <m:t>t</m:t>
              </m:r>
            </m:sub>
          </m:sSub>
          <m:r>
            <m:t>=</m:t>
          </m:r>
          <m:sSub>
            <m:e>
              <m:r>
                <m:t>V</m:t>
              </m:r>
            </m:e>
            <m:sub>
              <m:r>
                <m:t>I</m:t>
              </m:r>
            </m:sub>
          </m:sSub>
          <m:r>
            <m:t>+</m:t>
          </m:r>
          <m:r>
            <m:t>(</m:t>
          </m:r>
          <m:sSup>
            <m:e>
              <m:r>
                <m:t>t</m:t>
              </m:r>
            </m:e>
            <m:sup>
              <m:r>
                <m:t>2</m:t>
              </m:r>
            </m:sup>
          </m:sSup>
          <m:r>
            <m:t>.</m:t>
          </m:r>
          <m:sSub>
            <m:e>
              <m:r>
                <m:t>V</m:t>
              </m:r>
            </m:e>
            <m:sub>
              <m:r>
                <m:t>S</m:t>
              </m:r>
            </m:sub>
          </m:sSub>
          <m:r>
            <m:t>)</m:t>
          </m:r>
          <m:r>
            <m:t>+</m:t>
          </m:r>
          <m:r>
            <m:t>(</m:t>
          </m:r>
          <m:r>
            <m:t>2</m:t>
          </m:r>
          <m:r>
            <m:t>t</m:t>
          </m:r>
          <m:r>
            <m:t>.</m:t>
          </m:r>
          <m:r>
            <m:t>C</m:t>
          </m:r>
          <m:r>
            <m:t>o</m:t>
          </m:r>
          <m:sSub>
            <m:e>
              <m:r>
                <m:t>v</m:t>
              </m:r>
            </m:e>
            <m:sub>
              <m:r>
                <m:t>I</m:t>
              </m:r>
              <m:r>
                <m:t>,</m:t>
              </m:r>
              <m:r>
                <m:t>S</m:t>
              </m:r>
            </m:sub>
          </m:sSub>
          <m:r>
            <m:t>)</m:t>
          </m:r>
        </m:oMath>
      </m:oMathPara>
    </w:p>
    <w:p>
      <w:pPr>
        <w:pStyle w:val="FirstParagraph"/>
      </w:pPr>
      <w:r>
        <w:t xml:space="preserve">where</w:t>
      </w:r>
      <w:r>
        <w:t xml:space="preserve"> </w:t>
      </w:r>
      <m:oMath>
        <m:sSub>
          <m:e>
            <m:r>
              <m:t>V</m:t>
            </m:r>
          </m:e>
          <m:sub>
            <m:r>
              <m:t>I</m:t>
            </m:r>
          </m:sub>
        </m:sSub>
      </m:oMath>
      <w:r>
        <w:t xml:space="preserve"> </w:t>
      </w:r>
      <w:r>
        <w:t xml:space="preserve">is the among individual variance in intercepts,</w:t>
      </w:r>
      <w:r>
        <w:t xml:space="preserve"> </w:t>
      </w:r>
      <m:oMath>
        <m:r>
          <m:t>t</m:t>
        </m:r>
      </m:oMath>
      <w:r>
        <w:t xml:space="preserve"> </w:t>
      </w:r>
      <w:r>
        <w:t xml:space="preserve">is the specific temperature at which repeatability is calculated for,</w:t>
      </w:r>
      <w:r>
        <w:t xml:space="preserve"> </w:t>
      </w:r>
      <m:oMath>
        <m:sSub>
          <m:e>
            <m:r>
              <m:t>V</m:t>
            </m:r>
          </m:e>
          <m:sub>
            <m:r>
              <m:t>S</m:t>
            </m:r>
          </m:sub>
        </m:sSub>
      </m:oMath>
      <w:r>
        <w:t xml:space="preserve"> </w:t>
      </w:r>
      <w:r>
        <w:t xml:space="preserve">is the among individual and</w:t>
      </w:r>
      <w:r>
        <w:t xml:space="preserve"> </w:t>
      </w:r>
      <m:oMath>
        <m:r>
          <m:t>C</m:t>
        </m:r>
        <m:r>
          <m:t>O</m:t>
        </m:r>
        <m:sSub>
          <m:e>
            <m:r>
              <m:t>V</m:t>
            </m:r>
          </m:e>
          <m:sub>
            <m:r>
              <m:t>I</m:t>
            </m:r>
            <m:r>
              <m:t>,</m:t>
            </m:r>
            <m:r>
              <m:t>S</m:t>
            </m:r>
          </m:sub>
        </m:sSub>
      </m:oMath>
      <w:r>
        <w:t xml:space="preserve"> </w:t>
      </w:r>
      <w:r>
        <w:t xml:space="preserve">is the covariance between the intercept and slope at the among individual level. Temperature specific repeatability (</w:t>
      </w:r>
      <m:oMath>
        <m:sSub>
          <m:e>
            <m:r>
              <m:t>R</m:t>
            </m:r>
          </m:e>
          <m:sub>
            <m:r>
              <m:t>t</m:t>
            </m:r>
          </m:sub>
        </m:sSub>
      </m:oMath>
      <w:r>
        <w:t xml:space="preserve">) is calculated as follows:</w:t>
      </w:r>
    </w:p>
    <w:p>
      <w:pPr>
        <w:pStyle w:val="BodyText"/>
      </w:pPr>
      <m:oMathPara>
        <m:oMathParaPr>
          <m:jc m:val="center"/>
        </m:oMathParaPr>
        <m:oMath>
          <m:sSub>
            <m:e>
              <m:r>
                <m:t>R</m:t>
              </m:r>
            </m:e>
            <m:sub>
              <m:r>
                <m:t>t</m:t>
              </m:r>
            </m:sub>
          </m:sSub>
          <m:r>
            <m:t>=</m:t>
          </m:r>
          <m:f>
            <m:fPr>
              <m:type m:val="bar"/>
            </m:fPr>
            <m:num>
              <m:sSub>
                <m:e>
                  <m:r>
                    <m:t>I</m:t>
                  </m:r>
                </m:e>
                <m:sub>
                  <m:r>
                    <m:t>t</m:t>
                  </m:r>
                </m:sub>
              </m:sSub>
            </m:num>
            <m:den>
              <m:r>
                <m:t>(</m:t>
              </m:r>
              <m:sSub>
                <m:e>
                  <m:r>
                    <m:t>I</m:t>
                  </m:r>
                </m:e>
                <m:sub>
                  <m:r>
                    <m:t>t</m:t>
                  </m:r>
                </m:sub>
              </m:sSub>
              <m:r>
                <m:t>+</m:t>
              </m:r>
              <m:sSub>
                <m:e>
                  <m:r>
                    <m:t>V</m:t>
                  </m:r>
                </m:e>
                <m:sub>
                  <m:r>
                    <m:t>s</m:t>
                  </m:r>
                  <m:r>
                    <m:t>e</m:t>
                  </m:r>
                  <m:r>
                    <m:t>s</m:t>
                  </m:r>
                  <m:r>
                    <m:t>s</m:t>
                  </m:r>
                  <m:r>
                    <m:t>i</m:t>
                  </m:r>
                  <m:r>
                    <m:t>o</m:t>
                  </m:r>
                  <m:r>
                    <m:t>n</m:t>
                  </m:r>
                </m:sub>
              </m:sSub>
              <m:r>
                <m:t>+</m:t>
              </m:r>
              <m:sSub>
                <m:e>
                  <m:r>
                    <m:t>V</m:t>
                  </m:r>
                </m:e>
                <m:sub>
                  <m:r>
                    <m:t>e</m:t>
                  </m:r>
                </m:sub>
              </m:sSub>
              <m:r>
                <m:t>)</m:t>
              </m:r>
            </m:den>
          </m:f>
        </m:oMath>
      </m:oMathPara>
    </w:p>
    <w:p>
      <w:pPr>
        <w:pStyle w:val="FirstParagraph"/>
      </w:pPr>
      <w:r>
        <w:t xml:space="preserve">where:</w:t>
      </w:r>
      <w:r>
        <w:t xml:space="preserve"> </w:t>
      </w:r>
      <m:oMath>
        <m:sSub>
          <m:e>
            <m:r>
              <m:t>I</m:t>
            </m:r>
          </m:e>
          <m:sub>
            <m:r>
              <m:t>t</m:t>
            </m:r>
          </m:sub>
        </m:sSub>
      </m:oMath>
      <w:r>
        <w:t xml:space="preserve"> </w:t>
      </w:r>
      <w:r>
        <w:t xml:space="preserve">is the variance among individuals at a particular temperature,</w:t>
      </w:r>
      <w:r>
        <w:t xml:space="preserve"> </w:t>
      </w:r>
      <m:oMath>
        <m:sSub>
          <m:e>
            <m:r>
              <m:t>V</m:t>
            </m:r>
          </m:e>
          <m:sub>
            <m:r>
              <m:t>s</m:t>
            </m:r>
            <m:r>
              <m:t>e</m:t>
            </m:r>
            <m:r>
              <m:t>s</m:t>
            </m:r>
            <m:r>
              <m:t>s</m:t>
            </m:r>
            <m:r>
              <m:t>i</m:t>
            </m:r>
            <m:r>
              <m:t>o</m:t>
            </m:r>
            <m:r>
              <m:t>n</m:t>
            </m:r>
          </m:sub>
        </m:sSub>
      </m:oMath>
      <w:r>
        <w:t xml:space="preserve"> </w:t>
      </w:r>
      <w:r>
        <w:t xml:space="preserve">is the variance due to sampling session and</w:t>
      </w:r>
      <w:r>
        <w:t xml:space="preserve"> </w:t>
      </w:r>
      <m:oMath>
        <m:sSub>
          <m:e>
            <m:r>
              <m:t>V</m:t>
            </m:r>
          </m:e>
          <m:sub>
            <m:r>
              <m:t>e</m:t>
            </m:r>
          </m:sub>
        </m:sSub>
      </m:oMath>
      <w:r>
        <w:t xml:space="preserve"> </w:t>
      </w:r>
      <w:r>
        <w:t xml:space="preserve">is residual variance.</w:t>
      </w:r>
    </w:p>
    <w:p>
      <w:pPr>
        <w:pStyle w:val="BodyText"/>
      </w:pPr>
      <m:oMathPara>
        <m:oMathParaPr>
          <m:jc m:val="center"/>
        </m:oMathParaPr>
        <m:oMath>
          <m:sSub>
            <m:e>
              <m:r>
                <m:t>R</m:t>
              </m:r>
            </m:e>
            <m:sub>
              <m:r>
                <m:t>s</m:t>
              </m:r>
              <m:r>
                <m:t>l</m:t>
              </m:r>
              <m:r>
                <m:t>o</m:t>
              </m:r>
              <m:r>
                <m:t>p</m:t>
              </m:r>
              <m:r>
                <m:t>e</m:t>
              </m:r>
            </m:sub>
          </m:sSub>
          <m:r>
            <m:t>=</m:t>
          </m:r>
          <m:f>
            <m:fPr>
              <m:type m:val="bar"/>
            </m:fPr>
            <m:num>
              <m:sSub>
                <m:e>
                  <m:r>
                    <m:t>V</m:t>
                  </m:r>
                </m:e>
                <m:sub>
                  <m:r>
                    <m:t>I</m:t>
                  </m:r>
                  <m:r>
                    <m:t>,</m:t>
                  </m:r>
                  <m:r>
                    <m:t>s</m:t>
                  </m:r>
                  <m:r>
                    <m:t>l</m:t>
                  </m:r>
                  <m:r>
                    <m:t>o</m:t>
                  </m:r>
                  <m:r>
                    <m:t>p</m:t>
                  </m:r>
                  <m:r>
                    <m:t>e</m:t>
                  </m:r>
                </m:sub>
              </m:sSub>
            </m:num>
            <m:den>
              <m:r>
                <m:t>(</m:t>
              </m:r>
              <m:sSub>
                <m:e>
                  <m:r>
                    <m:t>V</m:t>
                  </m:r>
                </m:e>
                <m:sub>
                  <m:r>
                    <m:t>I</m:t>
                  </m:r>
                  <m:r>
                    <m:t>,</m:t>
                  </m:r>
                  <m:r>
                    <m:t>s</m:t>
                  </m:r>
                  <m:r>
                    <m:t>l</m:t>
                  </m:r>
                  <m:r>
                    <m:t>o</m:t>
                  </m:r>
                  <m:r>
                    <m:t>p</m:t>
                  </m:r>
                  <m:r>
                    <m:t>e</m:t>
                  </m:r>
                </m:sub>
              </m:sSub>
              <m:r>
                <m:t>+</m:t>
              </m:r>
              <m:sSub>
                <m:e>
                  <m:r>
                    <m:t>V</m:t>
                  </m:r>
                </m:e>
                <m:sub>
                  <m:r>
                    <m:t>s</m:t>
                  </m:r>
                  <m:r>
                    <m:t>e</m:t>
                  </m:r>
                  <m:r>
                    <m:t>r</m:t>
                  </m:r>
                  <m:r>
                    <m:t>i</m:t>
                  </m:r>
                  <m:r>
                    <m:t>e</m:t>
                  </m:r>
                  <m:r>
                    <m:t>s</m:t>
                  </m:r>
                  <m:r>
                    <m:t>,</m:t>
                  </m:r>
                  <m:r>
                    <m:t>s</m:t>
                  </m:r>
                  <m:r>
                    <m:t>l</m:t>
                  </m:r>
                  <m:r>
                    <m:t>o</m:t>
                  </m:r>
                  <m:r>
                    <m:t>p</m:t>
                  </m:r>
                  <m:r>
                    <m:t>e</m:t>
                  </m:r>
                </m:sub>
              </m:sSub>
              <m:r>
                <m:t>)</m:t>
              </m:r>
            </m:den>
          </m:f>
        </m:oMath>
      </m:oMathPara>
    </w:p>
    <w:p>
      <w:pPr>
        <w:pStyle w:val="FirstParagraph"/>
      </w:pPr>
      <w:r>
        <w:t xml:space="preserve">where:</w:t>
      </w:r>
      <w:r>
        <w:t xml:space="preserve"> </w:t>
      </w:r>
      <m:oMath>
        <m:sSub>
          <m:e>
            <m:r>
              <m:t>V</m:t>
            </m:r>
          </m:e>
          <m:sub>
            <m:r>
              <m:t>I</m:t>
            </m:r>
            <m:r>
              <m:t>,</m:t>
            </m:r>
            <m:r>
              <m:t>s</m:t>
            </m:r>
            <m:r>
              <m:t>l</m:t>
            </m:r>
            <m:r>
              <m:t>o</m:t>
            </m:r>
            <m:r>
              <m:t>p</m:t>
            </m:r>
            <m:r>
              <m:t>e</m:t>
            </m:r>
          </m:sub>
        </m:sSub>
      </m:oMath>
      <w:r>
        <w:t xml:space="preserve"> </w:t>
      </w:r>
      <w:r>
        <w:t xml:space="preserve">is the among individual variance in the temperature slope term and the</w:t>
      </w:r>
      <w:r>
        <w:t xml:space="preserve"> </w:t>
      </w:r>
      <m:oMath>
        <m:sSub>
          <m:e>
            <m:r>
              <m:t>V</m:t>
            </m:r>
          </m:e>
          <m:sub>
            <m:r>
              <m:t>s</m:t>
            </m:r>
            <m:r>
              <m:t>e</m:t>
            </m:r>
            <m:r>
              <m:t>r</m:t>
            </m:r>
            <m:r>
              <m:t>i</m:t>
            </m:r>
            <m:r>
              <m:t>e</m:t>
            </m:r>
            <m:r>
              <m:t>s</m:t>
            </m:r>
            <m:r>
              <m:t>,</m:t>
            </m:r>
            <m:r>
              <m:t>s</m:t>
            </m:r>
            <m:r>
              <m:t>l</m:t>
            </m:r>
            <m:r>
              <m:t>o</m:t>
            </m:r>
            <m:r>
              <m:t>p</m:t>
            </m:r>
            <m:r>
              <m:t>e</m:t>
            </m:r>
          </m:sub>
        </m:sSub>
      </m:oMath>
      <w:r>
        <w:t xml:space="preserve"> </w:t>
      </w:r>
      <w:r>
        <w:t xml:space="preserve">is the among sampling session within individual variance in the temperature slope term</w:t>
      </w:r>
    </w:p>
    <w:p>
      <w:pPr>
        <w:pStyle w:val="TableCaption"/>
      </w:pPr>
      <w:r>
        <w:t xml:space="preserve">Table 1 Model coefficients of full model testing whether developmental temperature affects the elevation and slope of the thermal reaction norm of metabolic rate. This model used an imputated dataset, n = 6000</w:t>
      </w:r>
    </w:p>
    <w:tbl>
      <w:tblPr>
        <w:tblStyle w:val="Table"/>
        <w:tblW w:type="pct" w:w="4999.999999999999"/>
        <w:tblLook w:firstRow="1"/>
        <w:tblCaption w:val="Table 1 Model coefficients of full model testing whether developmental temperature affects the elevation and slope of the thermal reaction norm of metabolic rate. This model used an imputated dataset, n = 6000"/>
      </w:tblPr>
      <w:tblGrid>
        <w:gridCol w:w="3960"/>
        <w:gridCol w:w="1320"/>
        <w:gridCol w:w="1320"/>
        <w:gridCol w:w="132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Q2.5</w:t>
            </w:r>
          </w:p>
        </w:tc>
        <w:tc>
          <w:tcPr>
            <w:tcBorders>
              <w:bottom w:val="single"/>
            </w:tcBorders>
            <w:vAlign w:val="bottom"/>
          </w:tcPr>
          <w:p>
            <w:pPr>
              <w:pStyle w:val="Compact"/>
              <w:jc w:val="center"/>
            </w:pPr>
            <w:r>
              <w:t xml:space="preserve">Q97.5</w:t>
            </w:r>
          </w:p>
        </w:tc>
      </w:tr>
      <w:tr>
        <w:tc>
          <w:p>
            <w:pPr>
              <w:pStyle w:val="Compact"/>
              <w:jc w:val="left"/>
            </w:pPr>
            <w:r>
              <w:t xml:space="preserve">b_lnmr_Intercept</w:t>
            </w:r>
          </w:p>
        </w:tc>
        <w:tc>
          <w:p>
            <w:pPr>
              <w:pStyle w:val="Compact"/>
              <w:jc w:val="center"/>
            </w:pPr>
            <w:r>
              <w:t xml:space="preserve">-7.618</w:t>
            </w:r>
          </w:p>
        </w:tc>
        <w:tc>
          <w:p>
            <w:pPr>
              <w:pStyle w:val="Compact"/>
              <w:jc w:val="center"/>
            </w:pPr>
            <w:r>
              <w:t xml:space="preserve">-7.84</w:t>
            </w:r>
          </w:p>
        </w:tc>
        <w:tc>
          <w:p>
            <w:pPr>
              <w:pStyle w:val="Compact"/>
              <w:jc w:val="center"/>
            </w:pPr>
            <w:r>
              <w:t xml:space="preserve">-7.397</w:t>
            </w:r>
          </w:p>
        </w:tc>
      </w:tr>
      <w:tr>
        <w:tc>
          <w:p>
            <w:pPr>
              <w:pStyle w:val="Compact"/>
              <w:jc w:val="left"/>
            </w:pPr>
            <w:r>
              <w:t xml:space="preserve">b_lnmass_Intercept</w:t>
            </w:r>
          </w:p>
        </w:tc>
        <w:tc>
          <w:p>
            <w:pPr>
              <w:pStyle w:val="Compact"/>
              <w:jc w:val="center"/>
            </w:pPr>
            <w:r>
              <w:t xml:space="preserve">-1.442</w:t>
            </w:r>
          </w:p>
        </w:tc>
        <w:tc>
          <w:p>
            <w:pPr>
              <w:pStyle w:val="Compact"/>
              <w:jc w:val="center"/>
            </w:pPr>
            <w:r>
              <w:t xml:space="preserve">-1.449</w:t>
            </w:r>
          </w:p>
        </w:tc>
        <w:tc>
          <w:p>
            <w:pPr>
              <w:pStyle w:val="Compact"/>
              <w:jc w:val="center"/>
            </w:pPr>
            <w:r>
              <w:t xml:space="preserve">-1.436</w:t>
            </w:r>
          </w:p>
        </w:tc>
      </w:tr>
      <w:tr>
        <w:tc>
          <w:p>
            <w:pPr>
              <w:pStyle w:val="Compact"/>
              <w:jc w:val="left"/>
            </w:pPr>
            <w:r>
              <w:t xml:space="preserve">b_lnmr_treatment29</w:t>
            </w:r>
          </w:p>
        </w:tc>
        <w:tc>
          <w:p>
            <w:pPr>
              <w:pStyle w:val="Compact"/>
              <w:jc w:val="center"/>
            </w:pPr>
            <w:r>
              <w:t xml:space="preserve">0.135</w:t>
            </w:r>
          </w:p>
        </w:tc>
        <w:tc>
          <w:p>
            <w:pPr>
              <w:pStyle w:val="Compact"/>
              <w:jc w:val="center"/>
            </w:pPr>
            <w:r>
              <w:t xml:space="preserve">-0.069</w:t>
            </w:r>
          </w:p>
        </w:tc>
        <w:tc>
          <w:p>
            <w:pPr>
              <w:pStyle w:val="Compact"/>
              <w:jc w:val="center"/>
            </w:pPr>
            <w:r>
              <w:t xml:space="preserve">0.344</w:t>
            </w:r>
          </w:p>
        </w:tc>
      </w:tr>
      <w:tr>
        <w:tc>
          <w:p>
            <w:pPr>
              <w:pStyle w:val="Compact"/>
              <w:jc w:val="left"/>
            </w:pPr>
            <w:r>
              <w:t xml:space="preserve">b_lnmr_temp</w:t>
            </w:r>
          </w:p>
        </w:tc>
        <w:tc>
          <w:p>
            <w:pPr>
              <w:pStyle w:val="Compact"/>
              <w:jc w:val="center"/>
            </w:pPr>
            <w:r>
              <w:t xml:space="preserve">0.077</w:t>
            </w:r>
          </w:p>
        </w:tc>
        <w:tc>
          <w:p>
            <w:pPr>
              <w:pStyle w:val="Compact"/>
              <w:jc w:val="center"/>
            </w:pPr>
            <w:r>
              <w:t xml:space="preserve">0.072</w:t>
            </w:r>
          </w:p>
        </w:tc>
        <w:tc>
          <w:p>
            <w:pPr>
              <w:pStyle w:val="Compact"/>
              <w:jc w:val="center"/>
            </w:pPr>
            <w:r>
              <w:t xml:space="preserve">0.081</w:t>
            </w:r>
          </w:p>
        </w:tc>
      </w:tr>
      <w:tr>
        <w:tc>
          <w:p>
            <w:pPr>
              <w:pStyle w:val="Compact"/>
              <w:jc w:val="left"/>
            </w:pPr>
            <w:r>
              <w:t xml:space="preserve">b_lnmr_z_age</w:t>
            </w:r>
          </w:p>
        </w:tc>
        <w:tc>
          <w:p>
            <w:pPr>
              <w:pStyle w:val="Compact"/>
              <w:jc w:val="center"/>
            </w:pPr>
            <w:r>
              <w:t xml:space="preserve">-0.035</w:t>
            </w:r>
          </w:p>
        </w:tc>
        <w:tc>
          <w:p>
            <w:pPr>
              <w:pStyle w:val="Compact"/>
              <w:jc w:val="center"/>
            </w:pPr>
            <w:r>
              <w:t xml:space="preserve">-0.078</w:t>
            </w:r>
          </w:p>
        </w:tc>
        <w:tc>
          <w:p>
            <w:pPr>
              <w:pStyle w:val="Compact"/>
              <w:jc w:val="center"/>
            </w:pPr>
            <w:r>
              <w:t xml:space="preserve">0.009</w:t>
            </w:r>
          </w:p>
        </w:tc>
      </w:tr>
      <w:tr>
        <w:tc>
          <w:p>
            <w:pPr>
              <w:pStyle w:val="Compact"/>
              <w:jc w:val="left"/>
            </w:pPr>
            <w:r>
              <w:t xml:space="preserve">b_lnmr_treatment29:temp</w:t>
            </w:r>
          </w:p>
        </w:tc>
        <w:tc>
          <w:p>
            <w:pPr>
              <w:pStyle w:val="Compact"/>
              <w:jc w:val="center"/>
            </w:pPr>
            <w:r>
              <w:t xml:space="preserve">-0.005</w:t>
            </w:r>
          </w:p>
        </w:tc>
        <w:tc>
          <w:p>
            <w:pPr>
              <w:pStyle w:val="Compact"/>
              <w:jc w:val="center"/>
            </w:pPr>
            <w:r>
              <w:t xml:space="preserve">-0.011</w:t>
            </w:r>
          </w:p>
        </w:tc>
        <w:tc>
          <w:p>
            <w:pPr>
              <w:pStyle w:val="Compact"/>
              <w:jc w:val="center"/>
            </w:pPr>
            <w:r>
              <w:t xml:space="preserve">0.002</w:t>
            </w:r>
          </w:p>
        </w:tc>
      </w:tr>
      <w:tr>
        <w:tc>
          <w:p>
            <w:pPr>
              <w:pStyle w:val="Compact"/>
              <w:jc w:val="left"/>
            </w:pPr>
            <w:r>
              <w:t xml:space="preserve">bsp_lnmr_milnmass</w:t>
            </w:r>
          </w:p>
        </w:tc>
        <w:tc>
          <w:p>
            <w:pPr>
              <w:pStyle w:val="Compact"/>
              <w:jc w:val="center"/>
            </w:pPr>
            <w:r>
              <w:t xml:space="preserve">0.622</w:t>
            </w:r>
          </w:p>
        </w:tc>
        <w:tc>
          <w:p>
            <w:pPr>
              <w:pStyle w:val="Compact"/>
              <w:jc w:val="center"/>
            </w:pPr>
            <w:r>
              <w:t xml:space="preserve">0.507</w:t>
            </w:r>
          </w:p>
        </w:tc>
        <w:tc>
          <w:p>
            <w:pPr>
              <w:pStyle w:val="Compact"/>
              <w:jc w:val="center"/>
            </w:pPr>
            <w:r>
              <w:t xml:space="preserve">0.733</w:t>
            </w:r>
          </w:p>
        </w:tc>
      </w:tr>
      <w:tr>
        <w:tc>
          <w:p>
            <w:pPr>
              <w:pStyle w:val="Compact"/>
              <w:jc w:val="left"/>
            </w:pPr>
            <w:r>
              <w:t xml:space="preserve">var_id__lnmr_Intercept</w:t>
            </w:r>
          </w:p>
        </w:tc>
        <w:tc>
          <w:p>
            <w:pPr>
              <w:pStyle w:val="Compact"/>
              <w:jc w:val="center"/>
            </w:pPr>
            <w:r>
              <w:t xml:space="preserve">0.012</w:t>
            </w:r>
          </w:p>
        </w:tc>
        <w:tc>
          <w:p>
            <w:pPr>
              <w:pStyle w:val="Compact"/>
              <w:jc w:val="center"/>
            </w:pPr>
            <w:r>
              <w:t xml:space="preserve">0.001</w:t>
            </w:r>
          </w:p>
        </w:tc>
        <w:tc>
          <w:p>
            <w:pPr>
              <w:pStyle w:val="Compact"/>
              <w:jc w:val="center"/>
            </w:pPr>
            <w:r>
              <w:t xml:space="preserve">0.038</w:t>
            </w:r>
          </w:p>
        </w:tc>
      </w:tr>
      <w:tr>
        <w:tc>
          <w:p>
            <w:pPr>
              <w:pStyle w:val="Compact"/>
              <w:jc w:val="left"/>
            </w:pPr>
            <w:r>
              <w:t xml:space="preserve">var_id__lnmr_temp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left"/>
            </w:pPr>
            <w:r>
              <w:t xml:space="preserve">var_samp_session__lnmr_Intercept</w:t>
            </w:r>
          </w:p>
        </w:tc>
        <w:tc>
          <w:p>
            <w:pPr>
              <w:pStyle w:val="Compact"/>
              <w:jc w:val="center"/>
            </w:pPr>
            <w:r>
              <w:t xml:space="preserve">0.01</w:t>
            </w:r>
          </w:p>
        </w:tc>
        <w:tc>
          <w:p>
            <w:pPr>
              <w:pStyle w:val="Compact"/>
              <w:jc w:val="center"/>
            </w:pPr>
            <w:r>
              <w:t xml:space="preserve">0.003</w:t>
            </w:r>
          </w:p>
        </w:tc>
        <w:tc>
          <w:p>
            <w:pPr>
              <w:pStyle w:val="Compact"/>
              <w:jc w:val="center"/>
            </w:pPr>
            <w:r>
              <w:t xml:space="preserve">0.029</w:t>
            </w:r>
          </w:p>
        </w:tc>
      </w:tr>
      <w:tr>
        <w:tc>
          <w:p>
            <w:pPr>
              <w:pStyle w:val="Compact"/>
              <w:jc w:val="left"/>
            </w:pPr>
            <w:r>
              <w:t xml:space="preserve">var_series_temp__lnmr_Intercept</w:t>
            </w:r>
          </w:p>
        </w:tc>
        <w:tc>
          <w:p>
            <w:pPr>
              <w:pStyle w:val="Compact"/>
              <w:jc w:val="center"/>
            </w:pPr>
            <w:r>
              <w:t xml:space="preserve">0.044</w:t>
            </w:r>
          </w:p>
        </w:tc>
        <w:tc>
          <w:p>
            <w:pPr>
              <w:pStyle w:val="Compact"/>
              <w:jc w:val="center"/>
            </w:pPr>
            <w:r>
              <w:t xml:space="preserve">0.04</w:t>
            </w:r>
          </w:p>
        </w:tc>
        <w:tc>
          <w:p>
            <w:pPr>
              <w:pStyle w:val="Compact"/>
              <w:jc w:val="center"/>
            </w:pPr>
            <w:r>
              <w:t xml:space="preserve">0.049</w:t>
            </w:r>
          </w:p>
        </w:tc>
      </w:tr>
      <w:tr>
        <w:tc>
          <w:p>
            <w:pPr>
              <w:pStyle w:val="Compact"/>
              <w:jc w:val="left"/>
            </w:pPr>
            <w:r>
              <w:t xml:space="preserve">cov_id__lnmr_Intercept__lnmr_temp</w:t>
            </w:r>
          </w:p>
        </w:tc>
        <w:tc>
          <w:p>
            <w:pPr>
              <w:pStyle w:val="Compact"/>
              <w:jc w:val="center"/>
            </w:pPr>
            <w:r>
              <w:t xml:space="preserve">-0.000115</w:t>
            </w:r>
          </w:p>
        </w:tc>
        <w:tc>
          <w:p>
            <w:pPr>
              <w:pStyle w:val="Compact"/>
              <w:jc w:val="center"/>
            </w:pPr>
            <w:r>
              <w:t xml:space="preserve">-0.000823</w:t>
            </w:r>
          </w:p>
        </w:tc>
        <w:tc>
          <w:p>
            <w:pPr>
              <w:pStyle w:val="Compact"/>
              <w:jc w:val="center"/>
            </w:pPr>
            <w:r>
              <w:t xml:space="preserve">6.63e-05</w:t>
            </w:r>
          </w:p>
        </w:tc>
      </w:tr>
      <w:tr>
        <w:tc>
          <w:p>
            <w:pPr>
              <w:pStyle w:val="Compact"/>
              <w:jc w:val="left"/>
            </w:pPr>
            <w:r>
              <w:t xml:space="preserve">sigma_lnmr</w:t>
            </w:r>
          </w:p>
        </w:tc>
        <w:tc>
          <w:p>
            <w:pPr>
              <w:pStyle w:val="Compact"/>
              <w:jc w:val="center"/>
            </w:pPr>
            <w:r>
              <w:t xml:space="preserve">0.041</w:t>
            </w:r>
          </w:p>
        </w:tc>
        <w:tc>
          <w:p>
            <w:pPr>
              <w:pStyle w:val="Compact"/>
              <w:jc w:val="center"/>
            </w:pPr>
            <w:r>
              <w:t xml:space="preserve">0.038</w:t>
            </w:r>
          </w:p>
        </w:tc>
        <w:tc>
          <w:p>
            <w:pPr>
              <w:pStyle w:val="Compact"/>
              <w:jc w:val="center"/>
            </w:pPr>
            <w:r>
              <w:t xml:space="preserve">0.043</w:t>
            </w:r>
          </w:p>
        </w:tc>
      </w:tr>
      <w:tr>
        <w:tc>
          <w:p>
            <w:pPr>
              <w:pStyle w:val="Compact"/>
              <w:jc w:val="left"/>
            </w:pPr>
            <w:r>
              <w:t xml:space="preserve">sigma_lnmass</w:t>
            </w:r>
          </w:p>
        </w:tc>
        <w:tc>
          <w:p>
            <w:pPr>
              <w:pStyle w:val="Compact"/>
              <w:jc w:val="center"/>
            </w:pPr>
            <w:r>
              <w:t xml:space="preserve">0.043</w:t>
            </w:r>
          </w:p>
        </w:tc>
        <w:tc>
          <w:p>
            <w:pPr>
              <w:pStyle w:val="Compact"/>
              <w:jc w:val="center"/>
            </w:pPr>
            <w:r>
              <w:t xml:space="preserve">0.041</w:t>
            </w:r>
          </w:p>
        </w:tc>
        <w:tc>
          <w:p>
            <w:pPr>
              <w:pStyle w:val="Compact"/>
              <w:jc w:val="center"/>
            </w:pPr>
            <w:r>
              <w:t xml:space="preserve">0.045</w:t>
            </w:r>
          </w:p>
        </w:tc>
      </w:tr>
    </w:tbl>
    <w:p>
      <w:pPr>
        <w:pStyle w:val="BodyText"/>
      </w:pPr>
      <w:r>
        <w:drawing>
          <wp:inline>
            <wp:extent cx="5943600" cy="4190498"/>
            <wp:effectExtent b="0" l="0" r="0" t="0"/>
            <wp:docPr descr="" title="" id="1" name="Picture"/>
            <a:graphic>
              <a:graphicData uri="http://schemas.openxmlformats.org/drawingml/2006/picture">
                <pic:pic>
                  <pic:nvPicPr>
                    <pic:cNvPr descr="Results_files/figure-docx/unnamed-chunk-5-1.png" id="0" name="Picture"/>
                    <pic:cNvPicPr>
                      <a:picLocks noChangeArrowheads="1" noChangeAspect="1"/>
                    </pic:cNvPicPr>
                  </pic:nvPicPr>
                  <pic:blipFill>
                    <a:blip r:embed="rId20"/>
                    <a:stretch>
                      <a:fillRect/>
                    </a:stretch>
                  </pic:blipFill>
                  <pic:spPr bwMode="auto">
                    <a:xfrm>
                      <a:off x="0" y="0"/>
                      <a:ext cx="5943600" cy="4190498"/>
                    </a:xfrm>
                    <a:prstGeom prst="rect">
                      <a:avLst/>
                    </a:prstGeom>
                    <a:noFill/>
                    <a:ln w="9525">
                      <a:noFill/>
                      <a:headEnd/>
                      <a:tailEnd/>
                    </a:ln>
                  </pic:spPr>
                </pic:pic>
              </a:graphicData>
            </a:graphic>
          </wp:inline>
        </w:drawing>
      </w:r>
    </w:p>
    <w:p>
      <w:pPr>
        <w:pStyle w:val="BodyText"/>
      </w:pPr>
      <w:r>
        <w:drawing>
          <wp:inline>
            <wp:extent cx="5943600" cy="4190498"/>
            <wp:effectExtent b="0" l="0" r="0" t="0"/>
            <wp:docPr descr="" title="" id="1" name="Picture"/>
            <a:graphic>
              <a:graphicData uri="http://schemas.openxmlformats.org/drawingml/2006/picture">
                <pic:pic>
                  <pic:nvPicPr>
                    <pic:cNvPr descr="Results_files/figure-docx/unnamed-chunk-8-1.png" id="0" name="Picture"/>
                    <pic:cNvPicPr>
                      <a:picLocks noChangeArrowheads="1" noChangeAspect="1"/>
                    </pic:cNvPicPr>
                  </pic:nvPicPr>
                  <pic:blipFill>
                    <a:blip r:embed="rId21"/>
                    <a:stretch>
                      <a:fillRect/>
                    </a:stretch>
                  </pic:blipFill>
                  <pic:spPr bwMode="auto">
                    <a:xfrm>
                      <a:off x="0" y="0"/>
                      <a:ext cx="5943600" cy="4190498"/>
                    </a:xfrm>
                    <a:prstGeom prst="rect">
                      <a:avLst/>
                    </a:prstGeom>
                    <a:noFill/>
                    <a:ln w="9525">
                      <a:noFill/>
                      <a:headEnd/>
                      <a:tailEnd/>
                    </a:ln>
                  </pic:spPr>
                </pic:pic>
              </a:graphicData>
            </a:graphic>
          </wp:inline>
        </w:drawing>
      </w:r>
    </w:p>
    <w:p>
      <w:pPr>
        <w:pStyle w:val="TableCaption"/>
      </w:pPr>
      <w:r>
        <w:t xml:space="preserve">Table 2 Temeprature specific, adjusted repeatability estimates of log transformed metabolic rate for lizards from two developmental temperatures (n_hot = 25, n_cold = 26). These values were estimated from an imputation analysis, n_obs = 6000</w:t>
      </w:r>
    </w:p>
    <w:tbl>
      <w:tblPr>
        <w:tblStyle w:val="Table"/>
        <w:tblW w:type="pct" w:w="2916.6666666666665"/>
        <w:tblLook w:firstRow="1"/>
        <w:tblCaption w:val="Table 2 Temeprature specific, adjusted repeatability estimates of log transformed metabolic rate for lizards from two developmental temperatures (n_hot = 25, n_cold = 26). These values were estimated from an imputation analysis, n_obs = 6000"/>
      </w:tblPr>
      <w:tblGrid>
        <w:gridCol w:w="1320"/>
        <w:gridCol w:w="770"/>
        <w:gridCol w:w="770"/>
        <w:gridCol w:w="880"/>
        <w:gridCol w:w="880"/>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center"/>
            </w:pPr>
            <w:r>
              <w:t xml:space="preserve">temp</w:t>
            </w:r>
          </w:p>
        </w:tc>
        <w:tc>
          <w:tcPr>
            <w:tcBorders>
              <w:bottom w:val="single"/>
            </w:tcBorders>
            <w:vAlign w:val="bottom"/>
          </w:tcPr>
          <w:p>
            <w:pPr>
              <w:pStyle w:val="Compact"/>
              <w:jc w:val="center"/>
            </w:pPr>
            <w:r>
              <w:t xml:space="preserve">rpt</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pPr>
              <w:pStyle w:val="Compact"/>
              <w:jc w:val="left"/>
            </w:pPr>
            <w:r>
              <w:t xml:space="preserve">cold</w:t>
            </w:r>
          </w:p>
        </w:tc>
        <w:tc>
          <w:p>
            <w:pPr>
              <w:pStyle w:val="Compact"/>
              <w:jc w:val="center"/>
            </w:pPr>
            <w:r>
              <w:t xml:space="preserve">24</w:t>
            </w:r>
          </w:p>
        </w:tc>
        <w:tc>
          <w:p>
            <w:pPr>
              <w:pStyle w:val="Compact"/>
              <w:jc w:val="center"/>
            </w:pPr>
            <w:r>
              <w:t xml:space="preserve">0.22</w:t>
            </w:r>
          </w:p>
        </w:tc>
        <w:tc>
          <w:p>
            <w:pPr>
              <w:pStyle w:val="Compact"/>
              <w:jc w:val="center"/>
            </w:pPr>
            <w:r>
              <w:t xml:space="preserve">0.11</w:t>
            </w:r>
          </w:p>
        </w:tc>
        <w:tc>
          <w:p>
            <w:pPr>
              <w:pStyle w:val="Compact"/>
              <w:jc w:val="center"/>
            </w:pPr>
            <w:r>
              <w:t xml:space="preserve">0.37</w:t>
            </w:r>
          </w:p>
        </w:tc>
      </w:tr>
      <w:tr>
        <w:tc>
          <w:p>
            <w:pPr>
              <w:pStyle w:val="Compact"/>
              <w:jc w:val="left"/>
            </w:pPr>
            <w:r>
              <w:t xml:space="preserve">cold</w:t>
            </w:r>
          </w:p>
        </w:tc>
        <w:tc>
          <w:p>
            <w:pPr>
              <w:pStyle w:val="Compact"/>
              <w:jc w:val="center"/>
            </w:pPr>
            <w:r>
              <w:t xml:space="preserve">26</w:t>
            </w:r>
          </w:p>
        </w:tc>
        <w:tc>
          <w:p>
            <w:pPr>
              <w:pStyle w:val="Compact"/>
              <w:jc w:val="center"/>
            </w:pPr>
            <w:r>
              <w:t xml:space="preserve">0.22</w:t>
            </w:r>
          </w:p>
        </w:tc>
        <w:tc>
          <w:p>
            <w:pPr>
              <w:pStyle w:val="Compact"/>
              <w:jc w:val="center"/>
            </w:pPr>
            <w:r>
              <w:t xml:space="preserve">0.12</w:t>
            </w:r>
          </w:p>
        </w:tc>
        <w:tc>
          <w:p>
            <w:pPr>
              <w:pStyle w:val="Compact"/>
              <w:jc w:val="center"/>
            </w:pPr>
            <w:r>
              <w:t xml:space="preserve">0.37</w:t>
            </w:r>
          </w:p>
        </w:tc>
      </w:tr>
      <w:tr>
        <w:tc>
          <w:p>
            <w:pPr>
              <w:pStyle w:val="Compact"/>
              <w:jc w:val="left"/>
            </w:pPr>
            <w:r>
              <w:t xml:space="preserve">cold</w:t>
            </w:r>
          </w:p>
        </w:tc>
        <w:tc>
          <w:p>
            <w:pPr>
              <w:pStyle w:val="Compact"/>
              <w:jc w:val="center"/>
            </w:pPr>
            <w:r>
              <w:t xml:space="preserve">28</w:t>
            </w:r>
          </w:p>
        </w:tc>
        <w:tc>
          <w:p>
            <w:pPr>
              <w:pStyle w:val="Compact"/>
              <w:jc w:val="center"/>
            </w:pPr>
            <w:r>
              <w:t xml:space="preserve">0.22</w:t>
            </w:r>
          </w:p>
        </w:tc>
        <w:tc>
          <w:p>
            <w:pPr>
              <w:pStyle w:val="Compact"/>
              <w:jc w:val="center"/>
            </w:pPr>
            <w:r>
              <w:t xml:space="preserve">0.11</w:t>
            </w:r>
          </w:p>
        </w:tc>
        <w:tc>
          <w:p>
            <w:pPr>
              <w:pStyle w:val="Compact"/>
              <w:jc w:val="center"/>
            </w:pPr>
            <w:r>
              <w:t xml:space="preserve">0.36</w:t>
            </w:r>
          </w:p>
        </w:tc>
      </w:tr>
      <w:tr>
        <w:tc>
          <w:p>
            <w:pPr>
              <w:pStyle w:val="Compact"/>
              <w:jc w:val="left"/>
            </w:pPr>
            <w:r>
              <w:t xml:space="preserve">cold</w:t>
            </w:r>
          </w:p>
        </w:tc>
        <w:tc>
          <w:p>
            <w:pPr>
              <w:pStyle w:val="Compact"/>
              <w:jc w:val="center"/>
            </w:pPr>
            <w:r>
              <w:t xml:space="preserve">30</w:t>
            </w:r>
          </w:p>
        </w:tc>
        <w:tc>
          <w:p>
            <w:pPr>
              <w:pStyle w:val="Compact"/>
              <w:jc w:val="center"/>
            </w:pPr>
            <w:r>
              <w:t xml:space="preserve">0.22</w:t>
            </w:r>
          </w:p>
        </w:tc>
        <w:tc>
          <w:p>
            <w:pPr>
              <w:pStyle w:val="Compact"/>
              <w:jc w:val="center"/>
            </w:pPr>
            <w:r>
              <w:t xml:space="preserve">0.12</w:t>
            </w:r>
          </w:p>
        </w:tc>
        <w:tc>
          <w:p>
            <w:pPr>
              <w:pStyle w:val="Compact"/>
              <w:jc w:val="center"/>
            </w:pPr>
            <w:r>
              <w:t xml:space="preserve">0.36</w:t>
            </w:r>
          </w:p>
        </w:tc>
      </w:tr>
      <w:tr>
        <w:tc>
          <w:p>
            <w:pPr>
              <w:pStyle w:val="Compact"/>
              <w:jc w:val="left"/>
            </w:pPr>
            <w:r>
              <w:t xml:space="preserve">cold</w:t>
            </w:r>
          </w:p>
        </w:tc>
        <w:tc>
          <w:p>
            <w:pPr>
              <w:pStyle w:val="Compact"/>
              <w:jc w:val="center"/>
            </w:pPr>
            <w:r>
              <w:t xml:space="preserve">32</w:t>
            </w:r>
          </w:p>
        </w:tc>
        <w:tc>
          <w:p>
            <w:pPr>
              <w:pStyle w:val="Compact"/>
              <w:jc w:val="center"/>
            </w:pPr>
            <w:r>
              <w:t xml:space="preserve">0.22</w:t>
            </w:r>
          </w:p>
        </w:tc>
        <w:tc>
          <w:p>
            <w:pPr>
              <w:pStyle w:val="Compact"/>
              <w:jc w:val="center"/>
            </w:pPr>
            <w:r>
              <w:t xml:space="preserve">0.11</w:t>
            </w:r>
          </w:p>
        </w:tc>
        <w:tc>
          <w:p>
            <w:pPr>
              <w:pStyle w:val="Compact"/>
              <w:jc w:val="center"/>
            </w:pPr>
            <w:r>
              <w:t xml:space="preserve">0.36</w:t>
            </w:r>
          </w:p>
        </w:tc>
      </w:tr>
      <w:tr>
        <w:tc>
          <w:p>
            <w:pPr>
              <w:pStyle w:val="Compact"/>
              <w:jc w:val="left"/>
            </w:pPr>
            <w:r>
              <w:t xml:space="preserve">cold</w:t>
            </w:r>
          </w:p>
        </w:tc>
        <w:tc>
          <w:p>
            <w:pPr>
              <w:pStyle w:val="Compact"/>
              <w:jc w:val="center"/>
            </w:pPr>
            <w:r>
              <w:t xml:space="preserve">34</w:t>
            </w:r>
          </w:p>
        </w:tc>
        <w:tc>
          <w:p>
            <w:pPr>
              <w:pStyle w:val="Compact"/>
              <w:jc w:val="center"/>
            </w:pPr>
            <w:r>
              <w:t xml:space="preserve">0.22</w:t>
            </w:r>
          </w:p>
        </w:tc>
        <w:tc>
          <w:p>
            <w:pPr>
              <w:pStyle w:val="Compact"/>
              <w:jc w:val="center"/>
            </w:pPr>
            <w:r>
              <w:t xml:space="preserve">0.11</w:t>
            </w:r>
          </w:p>
        </w:tc>
        <w:tc>
          <w:p>
            <w:pPr>
              <w:pStyle w:val="Compact"/>
              <w:jc w:val="center"/>
            </w:pPr>
            <w:r>
              <w:t xml:space="preserve">0.37</w:t>
            </w:r>
          </w:p>
        </w:tc>
      </w:tr>
      <w:tr>
        <w:tc>
          <w:p>
            <w:pPr>
              <w:pStyle w:val="Compact"/>
              <w:jc w:val="left"/>
            </w:pPr>
            <w:r>
              <w:t xml:space="preserve">hot</w:t>
            </w:r>
          </w:p>
        </w:tc>
        <w:tc>
          <w:p>
            <w:pPr>
              <w:pStyle w:val="Compact"/>
              <w:jc w:val="center"/>
            </w:pPr>
            <w:r>
              <w:t xml:space="preserve">24</w:t>
            </w:r>
          </w:p>
        </w:tc>
        <w:tc>
          <w:p>
            <w:pPr>
              <w:pStyle w:val="Compact"/>
              <w:jc w:val="center"/>
            </w:pPr>
            <w:r>
              <w:t xml:space="preserve">0.09</w:t>
            </w:r>
          </w:p>
        </w:tc>
        <w:tc>
          <w:p>
            <w:pPr>
              <w:pStyle w:val="Compact"/>
              <w:jc w:val="center"/>
            </w:pPr>
            <w:r>
              <w:t xml:space="preserve">0.03</w:t>
            </w:r>
          </w:p>
        </w:tc>
        <w:tc>
          <w:p>
            <w:pPr>
              <w:pStyle w:val="Compact"/>
              <w:jc w:val="center"/>
            </w:pPr>
            <w:r>
              <w:t xml:space="preserve">0.18</w:t>
            </w:r>
          </w:p>
        </w:tc>
      </w:tr>
      <w:tr>
        <w:tc>
          <w:p>
            <w:pPr>
              <w:pStyle w:val="Compact"/>
              <w:jc w:val="left"/>
            </w:pPr>
            <w:r>
              <w:t xml:space="preserve">hot</w:t>
            </w:r>
          </w:p>
        </w:tc>
        <w:tc>
          <w:p>
            <w:pPr>
              <w:pStyle w:val="Compact"/>
              <w:jc w:val="center"/>
            </w:pPr>
            <w:r>
              <w:t xml:space="preserve">26</w:t>
            </w:r>
          </w:p>
        </w:tc>
        <w:tc>
          <w:p>
            <w:pPr>
              <w:pStyle w:val="Compact"/>
              <w:jc w:val="center"/>
            </w:pPr>
            <w:r>
              <w:t xml:space="preserve">0.09</w:t>
            </w:r>
          </w:p>
        </w:tc>
        <w:tc>
          <w:p>
            <w:pPr>
              <w:pStyle w:val="Compact"/>
              <w:jc w:val="center"/>
            </w:pPr>
            <w:r>
              <w:t xml:space="preserve">0.03</w:t>
            </w:r>
          </w:p>
        </w:tc>
        <w:tc>
          <w:p>
            <w:pPr>
              <w:pStyle w:val="Compact"/>
              <w:jc w:val="center"/>
            </w:pPr>
            <w:r>
              <w:t xml:space="preserve">0.19</w:t>
            </w:r>
          </w:p>
        </w:tc>
      </w:tr>
      <w:tr>
        <w:tc>
          <w:p>
            <w:pPr>
              <w:pStyle w:val="Compact"/>
              <w:jc w:val="left"/>
            </w:pPr>
            <w:r>
              <w:t xml:space="preserve">hot</w:t>
            </w:r>
          </w:p>
        </w:tc>
        <w:tc>
          <w:p>
            <w:pPr>
              <w:pStyle w:val="Compact"/>
              <w:jc w:val="center"/>
            </w:pPr>
            <w:r>
              <w:t xml:space="preserve">28</w:t>
            </w:r>
          </w:p>
        </w:tc>
        <w:tc>
          <w:p>
            <w:pPr>
              <w:pStyle w:val="Compact"/>
              <w:jc w:val="center"/>
            </w:pPr>
            <w:r>
              <w:t xml:space="preserve">0.1</w:t>
            </w:r>
          </w:p>
        </w:tc>
        <w:tc>
          <w:p>
            <w:pPr>
              <w:pStyle w:val="Compact"/>
              <w:jc w:val="center"/>
            </w:pPr>
            <w:r>
              <w:t xml:space="preserve">0.04</w:t>
            </w:r>
          </w:p>
        </w:tc>
        <w:tc>
          <w:p>
            <w:pPr>
              <w:pStyle w:val="Compact"/>
              <w:jc w:val="center"/>
            </w:pPr>
            <w:r>
              <w:t xml:space="preserve">0.2</w:t>
            </w:r>
          </w:p>
        </w:tc>
      </w:tr>
      <w:tr>
        <w:tc>
          <w:p>
            <w:pPr>
              <w:pStyle w:val="Compact"/>
              <w:jc w:val="left"/>
            </w:pPr>
            <w:r>
              <w:t xml:space="preserve">hot</w:t>
            </w:r>
          </w:p>
        </w:tc>
        <w:tc>
          <w:p>
            <w:pPr>
              <w:pStyle w:val="Compact"/>
              <w:jc w:val="center"/>
            </w:pPr>
            <w:r>
              <w:t xml:space="preserve">30</w:t>
            </w:r>
          </w:p>
        </w:tc>
        <w:tc>
          <w:p>
            <w:pPr>
              <w:pStyle w:val="Compact"/>
              <w:jc w:val="center"/>
            </w:pPr>
            <w:r>
              <w:t xml:space="preserve">0.11</w:t>
            </w:r>
          </w:p>
        </w:tc>
        <w:tc>
          <w:p>
            <w:pPr>
              <w:pStyle w:val="Compact"/>
              <w:jc w:val="center"/>
            </w:pPr>
            <w:r>
              <w:t xml:space="preserve">0.04</w:t>
            </w:r>
          </w:p>
        </w:tc>
        <w:tc>
          <w:p>
            <w:pPr>
              <w:pStyle w:val="Compact"/>
              <w:jc w:val="center"/>
            </w:pPr>
            <w:r>
              <w:t xml:space="preserve">0.21</w:t>
            </w:r>
          </w:p>
        </w:tc>
      </w:tr>
      <w:tr>
        <w:tc>
          <w:p>
            <w:pPr>
              <w:pStyle w:val="Compact"/>
              <w:jc w:val="left"/>
            </w:pPr>
            <w:r>
              <w:t xml:space="preserve">hot</w:t>
            </w:r>
          </w:p>
        </w:tc>
        <w:tc>
          <w:p>
            <w:pPr>
              <w:pStyle w:val="Compact"/>
              <w:jc w:val="center"/>
            </w:pPr>
            <w:r>
              <w:t xml:space="preserve">32</w:t>
            </w:r>
          </w:p>
        </w:tc>
        <w:tc>
          <w:p>
            <w:pPr>
              <w:pStyle w:val="Compact"/>
              <w:jc w:val="center"/>
            </w:pPr>
            <w:r>
              <w:t xml:space="preserve">0.12</w:t>
            </w:r>
          </w:p>
        </w:tc>
        <w:tc>
          <w:p>
            <w:pPr>
              <w:pStyle w:val="Compact"/>
              <w:jc w:val="center"/>
            </w:pPr>
            <w:r>
              <w:t xml:space="preserve">0.04</w:t>
            </w:r>
          </w:p>
        </w:tc>
        <w:tc>
          <w:p>
            <w:pPr>
              <w:pStyle w:val="Compact"/>
              <w:jc w:val="center"/>
            </w:pPr>
            <w:r>
              <w:t xml:space="preserve">0.23</w:t>
            </w:r>
          </w:p>
        </w:tc>
      </w:tr>
      <w:tr>
        <w:tc>
          <w:p>
            <w:pPr>
              <w:pStyle w:val="Compact"/>
              <w:jc w:val="left"/>
            </w:pPr>
            <w:r>
              <w:t xml:space="preserve">hot</w:t>
            </w:r>
          </w:p>
        </w:tc>
        <w:tc>
          <w:p>
            <w:pPr>
              <w:pStyle w:val="Compact"/>
              <w:jc w:val="center"/>
            </w:pPr>
            <w:r>
              <w:t xml:space="preserve">34</w:t>
            </w:r>
          </w:p>
        </w:tc>
        <w:tc>
          <w:p>
            <w:pPr>
              <w:pStyle w:val="Compact"/>
              <w:jc w:val="center"/>
            </w:pPr>
            <w:r>
              <w:t xml:space="preserve">0.13</w:t>
            </w:r>
          </w:p>
        </w:tc>
        <w:tc>
          <w:p>
            <w:pPr>
              <w:pStyle w:val="Compact"/>
              <w:jc w:val="center"/>
            </w:pPr>
            <w:r>
              <w:t xml:space="preserve">0.05</w:t>
            </w:r>
          </w:p>
        </w:tc>
        <w:tc>
          <w:p>
            <w:pPr>
              <w:pStyle w:val="Compact"/>
              <w:jc w:val="center"/>
            </w:pPr>
            <w:r>
              <w:t xml:space="preserve">0.25</w:t>
            </w:r>
          </w:p>
        </w:tc>
      </w:tr>
    </w:tbl>
    <w:p>
      <w:pPr>
        <w:pStyle w:val="Heading2"/>
      </w:pPr>
      <w:bookmarkStart w:id="22" w:name="how-does-developmental-temperature-affect-temperature-specific-repeatability"/>
      <w:r>
        <w:t xml:space="preserve">How does developmental temperature affect temperature specific repeatability</w:t>
      </w:r>
      <w:bookmarkEnd w:id="22"/>
    </w:p>
    <w:p>
      <w:pPr>
        <w:pStyle w:val="FirstParagraph"/>
      </w:pPr>
      <w:r>
        <w:t xml:space="preserve">Across both treatment grounts, repeatability did not change across acute temperatures (Fig.2, Table XX). There were no differences in repeatability between developmental temperatures (Fig. 2, Table XX). Although in the complete case analysis there was a trend for the cold developmental temperatures to have on higher repeatabilty compared to the hot developmental temeprature however credible intervals overlapped partially (Fig. XX, Table XX) and this result was not reflected in the more conservative imputation analysis. The slope of the thermal reaction norm was repeatable in both treatment groups, however there were no treatment differences (Fig. XX and). This result should be interpretted with caution as repeatability of the slope was estimated with a large degree of uncertainty (95% CI)</w:t>
      </w:r>
    </w:p>
    <w:sectPr w:rsidR="00CD79F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E21F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9EF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54AA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40D7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FEA7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0B9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F83E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981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4F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A690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Words>
  <Characters>71</Characters>
  <Application>Microsoft Office Word</Application>
  <DocSecurity>0</DocSecurity>
  <Lines>1</Lines>
  <Paragraphs>1</Paragraphs>
  <ScaleCrop>false</ScaleCrop>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Fonti Kar</dc:creator>
  <cp:keywords/>
  <dcterms:created xsi:type="dcterms:W3CDTF">2020-09-10T04:25:34Z</dcterms:created>
  <dcterms:modified xsi:type="dcterms:W3CDTF">2020-09-10T04:25:34Z</dcterms:modified>
</cp:coreProperties>
</file>