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analysis</w:t>
      </w:r>
      <w:r>
        <w:t xml:space="preserve"> </w:t>
      </w:r>
      <w:r>
        <w:t xml:space="preserve">(SMR),</w:t>
      </w:r>
      <w:r>
        <w:t xml:space="preserve"> </w:t>
      </w:r>
      <w:r>
        <w:t xml:space="preserve">Tables</w:t>
      </w:r>
      <w:r>
        <w:t xml:space="preserve"> </w:t>
      </w:r>
      <w:r>
        <w:t xml:space="preserve">and</w:t>
      </w:r>
      <w:r>
        <w:t xml:space="preserve"> </w:t>
      </w:r>
      <w:r>
        <w:t xml:space="preserve">Figures</w:t>
      </w:r>
    </w:p>
    <w:p>
      <w:pPr>
        <w:pStyle w:val="Author"/>
      </w:pPr>
      <w:r>
        <w:t xml:space="preserve">Kristoffer</w:t>
      </w:r>
      <w:r>
        <w:t xml:space="preserve"> </w:t>
      </w:r>
      <w:r>
        <w:t xml:space="preserve">Wild</w:t>
      </w:r>
    </w:p>
    <w:p>
      <w:pPr>
        <w:pStyle w:val="Date"/>
      </w:pPr>
      <w:r>
        <w:t xml:space="preserve">2023-01-28</w:t>
      </w:r>
    </w:p>
    <w:bookmarkStart w:id="20" w:name="results"/>
    <w:p>
      <w:pPr>
        <w:pStyle w:val="Heading1"/>
      </w:pPr>
      <w:r>
        <w:t xml:space="preserve">Results</w:t>
      </w:r>
    </w:p>
    <w:p>
      <w:pPr>
        <w:pStyle w:val="FirstParagraph"/>
      </w:pPr>
      <w:r>
        <w:rPr>
          <w:iCs/>
          <w:i/>
        </w:rPr>
        <w:t xml:space="preserve">Supplementary Analysis</w:t>
      </w:r>
      <w:r>
        <w:t xml:space="preserve"> </w:t>
      </w:r>
      <w:r>
        <w:t xml:space="preserve">We defined standard metabolic rate (SMR) as the the lowest 10% of values of oxygen consumption rate during our overnight trials. Once these data were removed we had a total of 83 measurements for 40 individuals (male</w:t>
      </w:r>
      <m:oMath>
        <m:sSub>
          <m:e>
            <m:r>
              <m:t>​</m:t>
            </m:r>
          </m:e>
          <m:sub>
            <m:r>
              <m:t>S</m:t>
            </m:r>
            <m:r>
              <m:t>R</m:t>
            </m:r>
          </m:sub>
        </m:sSub>
      </m:oMath>
      <w:r>
        <w:t xml:space="preserve"> </w:t>
      </w:r>
      <w:r>
        <w:t xml:space="preserve">XX:</w:t>
      </w:r>
      <w:r>
        <w:t xml:space="preserve"> </w:t>
      </w:r>
      <w:r>
        <w:rPr>
          <w:iCs/>
          <w:i/>
        </w:rPr>
        <w:t xml:space="preserve">n = 13</w:t>
      </w:r>
      <w:r>
        <w:t xml:space="preserve">, female XX:</w:t>
      </w:r>
      <w:r>
        <w:t xml:space="preserve"> </w:t>
      </w:r>
      <w:r>
        <w:rPr>
          <w:iCs/>
          <w:i/>
        </w:rPr>
        <w:t xml:space="preserve">n = 15</w:t>
      </w:r>
      <w:r>
        <w:t xml:space="preserve">, male XY:</w:t>
      </w:r>
      <w:r>
        <w:t xml:space="preserve"> </w:t>
      </w:r>
      <w:r>
        <w:rPr>
          <w:iCs/>
          <w:i/>
        </w:rPr>
        <w:t xml:space="preserve">n = 12</w:t>
      </w:r>
      <w:r>
        <w:t xml:space="preserve">) were recorded. There was a strong scaling relationship between log metabolic rate and log mass (Table S1). Sex-reversed male XX</w:t>
      </w:r>
      <w:r>
        <w:t xml:space="preserve"> </w:t>
      </w:r>
      <w:r>
        <w:rPr>
          <w:iCs/>
          <w:i/>
        </w:rPr>
        <w:t xml:space="preserve">B. duperreyi</w:t>
      </w:r>
      <w:r>
        <w:t xml:space="preserve"> </w:t>
      </w:r>
      <w:r>
        <w:t xml:space="preserve">had a scaling relationship that was most like their phenotypic counterparts (male XY - male</w:t>
      </w:r>
      <m:oMath>
        <m:sSub>
          <m:e>
            <m:r>
              <m:t>​</m:t>
            </m:r>
          </m:e>
          <m:sub>
            <m:r>
              <m:t>S</m:t>
            </m:r>
            <m:r>
              <m:t>R</m:t>
            </m:r>
          </m:sub>
        </m:sSub>
      </m:oMath>
      <w:r>
        <w:t xml:space="preserve"> </w:t>
      </w:r>
      <w:r>
        <w:t xml:space="preserve">XX; pMCMC = 0.26; Table S1) and lower than their genotypic counterparts (female XX - male</w:t>
      </w:r>
      <m:oMath>
        <m:sSub>
          <m:e>
            <m:r>
              <m:t>​</m:t>
            </m:r>
          </m:e>
          <m:sub>
            <m:r>
              <m:t>S</m:t>
            </m:r>
            <m:r>
              <m:t>R</m:t>
            </m:r>
          </m:sub>
        </m:sSub>
      </m:oMath>
      <w:r>
        <w:t xml:space="preserve"> </w:t>
      </w:r>
      <w:r>
        <w:t xml:space="preserve">XX; pMCMC = 0.07). For phenotypic males (male</w:t>
      </w:r>
      <m:oMath>
        <m:sSub>
          <m:e>
            <m:r>
              <m:t>​</m:t>
            </m:r>
          </m:e>
          <m:sub>
            <m:r>
              <m:t>S</m:t>
            </m:r>
            <m:r>
              <m:t>R</m:t>
            </m:r>
          </m:sub>
        </m:sSub>
      </m:oMath>
      <w:r>
        <w:t xml:space="preserve"> </w:t>
      </w:r>
      <w:r>
        <w:t xml:space="preserve">XX &amp; male XX), this scaling relationship between logmass and metabolism changed similarly across differently sized individuals (Fig. S1). The homogeneous variance model was the most parsimonious ([heteroscedastic model – homoscedastic model] loo: -1.31, SE = 2), accounting for 0.73% (95% CI:0.63 - 0.8) of the variation in metabolic rate.</w:t>
      </w:r>
    </w:p>
    <w:p>
      <w:pPr>
        <w:pStyle w:val="BodyText"/>
      </w:pPr>
      <w:r>
        <w:rPr>
          <w:iCs/>
          <w:i/>
        </w:rPr>
        <w:t xml:space="preserve">Pogona vitticeps</w:t>
      </w:r>
      <w:r>
        <w:t xml:space="preserve"> </w:t>
      </w:r>
      <w:r>
        <w:t xml:space="preserve">- Once SMR data (lowest 10%) were filtered we had a total of total of 146 measurements for 96 individuals (female</w:t>
      </w:r>
      <m:oMath>
        <m:sSub>
          <m:e>
            <m:r>
              <m:t>​</m:t>
            </m:r>
          </m:e>
          <m:sub>
            <m:r>
              <m:t>S</m:t>
            </m:r>
            <m:r>
              <m:t>R</m:t>
            </m:r>
          </m:sub>
        </m:sSub>
      </m:oMath>
      <w:r>
        <w:t xml:space="preserve"> </w:t>
      </w:r>
      <w:r>
        <w:t xml:space="preserve">ZZ:</w:t>
      </w:r>
      <w:r>
        <w:t xml:space="preserve"> </w:t>
      </w:r>
      <w:r>
        <w:rPr>
          <w:iCs/>
          <w:i/>
        </w:rPr>
        <w:t xml:space="preserve">n = 28</w:t>
      </w:r>
      <w:r>
        <w:t xml:space="preserve">, female ZW:</w:t>
      </w:r>
      <w:r>
        <w:t xml:space="preserve"> </w:t>
      </w:r>
      <w:r>
        <w:rPr>
          <w:iCs/>
          <w:i/>
        </w:rPr>
        <w:t xml:space="preserve">n = 30</w:t>
      </w:r>
      <w:r>
        <w:t xml:space="preserve">, male ZZ:</w:t>
      </w:r>
      <w:r>
        <w:t xml:space="preserve"> </w:t>
      </w:r>
      <w:r>
        <w:rPr>
          <w:iCs/>
          <w:i/>
        </w:rPr>
        <w:t xml:space="preserve">n = 38</w:t>
      </w:r>
      <w:r>
        <w:t xml:space="preserve">) were recorded. There was a strong scaling relationship between log metabolic rate and log mass (Table S2). Sex-reversed female</w:t>
      </w:r>
      <w:r>
        <w:t xml:space="preserve"> </w:t>
      </w:r>
      <w:r>
        <w:rPr>
          <w:iCs/>
          <w:i/>
        </w:rPr>
        <w:t xml:space="preserve">P. vitticeps</w:t>
      </w:r>
      <w:r>
        <w:t xml:space="preserve"> </w:t>
      </w:r>
      <w:r>
        <w:t xml:space="preserve">(female</w:t>
      </w:r>
      <m:oMath>
        <m:sSub>
          <m:e>
            <m:r>
              <m:t>​</m:t>
            </m:r>
          </m:e>
          <m:sub>
            <m:r>
              <m:t>S</m:t>
            </m:r>
            <m:r>
              <m:t>R</m:t>
            </m:r>
          </m:sub>
        </m:sSub>
      </m:oMath>
      <w:r>
        <w:t xml:space="preserve"> </w:t>
      </w:r>
      <w:r>
        <w:t xml:space="preserve">ZZ) had a scaling relationship that was overall higher than their genotypic counterparts (male ZZ - female</w:t>
      </w:r>
      <m:oMath>
        <m:sSub>
          <m:e>
            <m:r>
              <m:t>​</m:t>
            </m:r>
          </m:e>
          <m:sub>
            <m:r>
              <m:t>S</m:t>
            </m:r>
            <m:r>
              <m:t>R</m:t>
            </m:r>
          </m:sub>
        </m:sSub>
      </m:oMath>
      <w:r>
        <w:t xml:space="preserve"> </w:t>
      </w:r>
      <w:r>
        <w:t xml:space="preserve">ZZ; pMCMC = 0.61), but lower than their phenotypic counterparts (female ZW - female</w:t>
      </w:r>
      <m:oMath>
        <m:sSub>
          <m:e>
            <m:r>
              <m:t>​</m:t>
            </m:r>
          </m:e>
          <m:sub>
            <m:r>
              <m:t>S</m:t>
            </m:r>
            <m:r>
              <m:t>R</m:t>
            </m:r>
          </m:sub>
        </m:sSub>
      </m:oMath>
      <w:r>
        <w:t xml:space="preserve"> </w:t>
      </w:r>
      <w:r>
        <w:t xml:space="preserve">ZZ; pMCMC = 0.64; Table 2).The heteroscedasticity variance model was the most parsimonious ([heteroscedastic model – homoscedastic model] loo: -16.4, SE = 5.03), accounting for 0.86% (95% CI:0.79 - 0.92) of the variation in metabolic rate.</w:t>
      </w:r>
    </w:p>
    <w:p>
      <w:r>
        <w:br w:type="page"/>
      </w:r>
    </w:p>
    <w:bookmarkEnd w:id="20"/>
    <w:bookmarkStart w:id="21" w:name="tables-figures"/>
    <w:p>
      <w:pPr>
        <w:pStyle w:val="Heading1"/>
      </w:pPr>
      <w:r>
        <w:t xml:space="preserve">Tables &amp; Figures</w:t>
      </w:r>
    </w:p>
    <w:p>
      <w:pPr>
        <w:pStyle w:val="FirstParagraph"/>
      </w:pPr>
      <w:r>
        <w:t xml:space="preserve">Table S1. Model coefficients for testing whether sex affects the slope of standard metabolic rate for</w:t>
      </w:r>
      <w:r>
        <w:t xml:space="preserve"> </w:t>
      </w:r>
      <w:r>
        <w:rPr>
          <w:iCs/>
          <w:i/>
        </w:rPr>
        <w:t xml:space="preserve">Bassiana duperreyi</w:t>
      </w:r>
      <w:r>
        <w:t xml:space="preserve">, where the intercept is concordant females. Metabolic rate and mass were log transformed and time was z-transformed. Columns l-95% CI and u-95% CI, are the lower and upper bound of the 95% credible interval for each parameter, estimated from the posterior distribution..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1"/>
        <w:gridCol w:w="1266"/>
        <w:gridCol w:w="1279"/>
        <w:gridCol w:w="1254"/>
        <w:gridCol w:w="1328"/>
      </w:tblGrid>
      <w:tr>
        <w:trPr>
          <w:cantSplit/>
          <w:trHeight w:val="577"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Covariate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Est.Error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u-95% CI</w:t>
            </w:r>
          </w:p>
        </w:tc>
      </w:tr>
      <w:tr>
        <w:trPr>
          <w:cantSplit/>
          <w:trHeight w:val="619"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Intercept (SexFemaleXX)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-4.52</w:t>
            </w:r>
          </w:p>
        </w:tc>
      </w:tr>
      <w:tr>
        <w:trPr>
          <w:cantSplit/>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SexMaleSRXX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0.10</w:t>
            </w:r>
          </w:p>
        </w:tc>
      </w:tr>
      <w:tr>
        <w:trPr>
          <w:cantSplit/>
          <w:trHeight w:val="57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SexMaleXY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w:t>
            </w:r>
          </w:p>
        </w:tc>
      </w:tr>
      <w:tr>
        <w:trPr>
          <w:cantSplit/>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logMass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2.52</w:t>
            </w:r>
          </w:p>
        </w:tc>
      </w:tr>
      <w:tr>
        <w:trPr>
          <w:cantSplit/>
          <w:trHeight w:val="573"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ztime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r>
      <w:tr>
        <w:trPr>
          <w:cantSplit/>
          <w:trHeight w:val="621"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SexMaleSRXX:logMass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r>
      <w:tr>
        <w:trPr>
          <w:cantSplit/>
          <w:trHeight w:val="621" w:hRule="auto"/>
        </w:trPr>
        body7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SexMaleXY:logMass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0.85</w:t>
            </w:r>
          </w:p>
        </w:tc>
      </w:tr>
    </w:tbl>
    <w:p>
      <w:r>
        <w:br w:type="page"/>
      </w:r>
    </w:p>
    <w:p>
      <w:pPr>
        <w:pStyle w:val="BodyText"/>
      </w:pPr>
      <w:r>
        <w:t xml:space="preserve">Table S2. Model coefficients form hetero testing whether sex affects the slope of metabolic rate for</w:t>
      </w:r>
      <w:r>
        <w:t xml:space="preserve"> </w:t>
      </w:r>
      <w:r>
        <w:rPr>
          <w:iCs/>
          <w:i/>
        </w:rPr>
        <w:t xml:space="preserve">Pogona vitticeps</w:t>
      </w:r>
      <w:r>
        <w:t xml:space="preserve">, which heteroscedasticity was accounted for within the data. The intercept is concordant females. Metabolic rate and mass were log transformed and time was z-transformed. Columns l-95% CI and u-95% CI, are the lower and upper bound of the 95% credible interval for each parameter, estimated from the posterior distribution.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78"/>
        <w:gridCol w:w="1266"/>
        <w:gridCol w:w="1279"/>
        <w:gridCol w:w="1254"/>
        <w:gridCol w:w="1328"/>
      </w:tblGrid>
      <w:tr>
        <w:trPr>
          <w:cantSplit/>
          <w:trHeight w:val="577"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Covariate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Est.Error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u-95% CI</w:t>
            </w:r>
          </w:p>
        </w:tc>
      </w:tr>
      <w:tr>
        <w:trPr>
          <w:cantSplit/>
          <w:trHeight w:val="619"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Intercept (SexFemaleZW)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-1.89</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SexFemaleSRZZ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w:t>
            </w:r>
          </w:p>
        </w:tc>
      </w:tr>
      <w:tr>
        <w:trPr>
          <w:cantSplit/>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SexMaleZZ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w:t>
            </w:r>
          </w:p>
        </w:tc>
      </w:tr>
      <w:tr>
        <w:trPr>
          <w:cantSplit/>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logMass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1.76</w:t>
            </w:r>
          </w:p>
        </w:tc>
      </w:tr>
      <w:tr>
        <w:trPr>
          <w:cantSplit/>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ztime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r>
      <w:tr>
        <w:trPr>
          <w:cantSplit/>
          <w:trHeight w:val="62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SexFemaleSRZZ:logMass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w:t>
            </w:r>
          </w:p>
        </w:tc>
      </w:tr>
      <w:tr>
        <w:trPr>
          <w:cantSplit/>
          <w:trHeight w:val="62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SexMaleZZ:logMass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w:t>
            </w:r>
          </w:p>
        </w:tc>
      </w:tr>
      <w:tr>
        <w:trPr>
          <w:cantSplit/>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sigma_Intercept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-1.39</w:t>
            </w:r>
          </w:p>
        </w:tc>
      </w:tr>
      <w:tr>
        <w:trPr>
          <w:cantSplit/>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sigma_logMass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-0.53</w:t>
            </w:r>
          </w:p>
        </w:tc>
      </w:tr>
      <w:tr>
        <w:trPr>
          <w:cantSplit/>
          <w:trHeight w:val="617"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sigma_ztime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w:t>
            </w:r>
          </w:p>
        </w:tc>
      </w:tr>
    </w:tbl>
    <w:p>
      <w:r>
        <w:br w:type="page"/>
      </w:r>
    </w:p>
    <w:p>
      <w:pPr>
        <w:pStyle w:val="BodyText"/>
      </w:pPr>
      <w:r>
        <w:t xml:space="preserve">Table S3. BBRMS model coefficients for each respective species when testing mass differences across sex class for animals used in respirometry experiments. Mass was log-transformed and lower and upper bounds were derived from the 95% credible interval for each parameter, estimated from the posterior samples.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9"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Species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Sex</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Sample Size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u-95%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pMCMC Value</w:t>
            </w:r>
          </w:p>
        </w:tc>
      </w:tr>
      <w:tr>
        <w:trPr>
          <w:cantSplit/>
          <w:trHeight w:val="616" w:hRule="auto"/>
        </w:trPr>
        body1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B. duperryii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Female 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Female XX-MaleSR 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0.45</w:t>
            </w:r>
          </w:p>
        </w:tc>
      </w:tr>
      <w:tr>
        <w:trPr>
          <w:cantSplit/>
          <w:trHeight w:val="616" w:hRule="auto"/>
        </w:trPr>
        body2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MaleSR 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MaleSR XX-Male XY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0.91</w:t>
            </w:r>
          </w:p>
        </w:tc>
      </w:tr>
      <w:tr>
        <w:trPr>
          <w:cantSplit/>
          <w:trHeight w:val="616"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Male XY</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Male XY-Female XX</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0.70</w:t>
            </w:r>
          </w:p>
        </w:tc>
      </w:tr>
      <w:tr>
        <w:trPr>
          <w:cantSplit/>
          <w:trHeight w:val="614" w:hRule="auto"/>
        </w:trPr>
        body4
        <w:tc>
          <w:tcPr>
            <w:vMerge w:val="restart"/>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 vitticeps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Female ZW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Female ZW-FemaleSR ZZ</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0.48</w:t>
            </w:r>
          </w:p>
        </w:tc>
      </w:tr>
      <w:tr>
        <w:trPr>
          <w:cantSplit/>
          <w:trHeight w:val="614" w:hRule="auto"/>
        </w:trPr>
        body5
        <w:tc>
          <w:tcPr>
            <w:vMerge/>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FemaleSR ZZ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FemaleSR ZZ-Male ZZ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0.44</w:t>
            </w:r>
          </w:p>
        </w:tc>
      </w:tr>
      <w:tr>
        <w:trPr>
          <w:cantSplit/>
          <w:trHeight w:val="614" w:hRule="auto"/>
        </w:trPr>
        body6
        <w:tc>
          <w:tcPr>
            <w:vMerge/>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Male ZZ</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Male ZZ-Female ZW</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w:t>
            </w:r>
          </w:p>
        </w:tc>
      </w:tr>
    </w:tbl>
    <w:p>
      <w:r>
        <w:br w:type="page"/>
      </w:r>
    </w:p>
    <w:p>
      <w:pPr>
        <w:pStyle w:val="BodyText"/>
      </w:pPr>
      <w:r>
        <w:t xml:space="preserve">Table S4. BRMS Model coefficients for SVL and mass growth rate estimates across sex class</w:t>
      </w:r>
      <w:r>
        <w:t xml:space="preserve"> </w:t>
      </w:r>
      <w:r>
        <w:rPr>
          <w:iCs/>
          <w:i/>
        </w:rPr>
        <w:t xml:space="preserve">Bassiana duperreyi</w:t>
      </w:r>
      <w:r>
        <w:t xml:space="preserve">. Growth rate was calculated by dividing the change in growth (SVL or mass) between the initial measurement and subsequent remeasurement by the total number of days elapsed. Due to the small size and rate of change in grams, mass was converted to centigrams (cg). Animals were remeasured between 3 and 6 months post hatch.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60"/>
        <w:gridCol w:w="2881"/>
        <w:gridCol w:w="1266"/>
        <w:gridCol w:w="1254"/>
        <w:gridCol w:w="1328"/>
      </w:tblGrid>
      <w:tr>
        <w:trPr>
          <w:cantSplit/>
          <w:trHeight w:val="577"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Growth rate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Covariate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u-95% CI</w:t>
            </w:r>
          </w:p>
        </w:tc>
      </w:tr>
      <w:tr>
        <w:trPr>
          <w:cantSplit/>
          <w:trHeight w:val="620" w:hRule="auto"/>
        </w:trPr>
        body 1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mass(cg/d)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(SexFemaleXX)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0.51</w:t>
            </w:r>
          </w:p>
        </w:tc>
      </w:tr>
      <w:tr>
        <w:trPr>
          <w:cantSplit/>
          <w:trHeight w:val="620" w:hRule="auto"/>
        </w:trPr>
        body 2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SexMaleSRXX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0.94</w:t>
            </w:r>
          </w:p>
        </w:tc>
      </w:tr>
      <w:tr>
        <w:trPr>
          <w:cantSplit/>
          <w:trHeight w:val="62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SexMaleXY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0.91</w:t>
            </w:r>
          </w:p>
        </w:tc>
      </w:tr>
      <w:tr>
        <w:trPr>
          <w:cantSplit/>
          <w:trHeight w:val="62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mass(cg)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r>
      <w:tr>
        <w:trPr>
          <w:cantSplit/>
          <w:trHeight w:val="621"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SexMaleSRXX:mass(cg)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r>
      <w:tr>
        <w:trPr>
          <w:cantSplit/>
          <w:trHeight w:val="621"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SexMaleXY:mass(cg)</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r>
      <w:tr>
        <w:trPr>
          <w:cantSplit/>
          <w:trHeight w:val="619" w:hRule="auto"/>
        </w:trPr>
        body 7
        <w:tc>
          <w:tcPr>
            <w:vMerge w:val="restart"/>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SVL(mm/d)</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(SexFemaleXX)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0.30</w:t>
            </w:r>
          </w:p>
        </w:tc>
      </w:tr>
      <w:tr>
        <w:trPr>
          <w:cantSplit/>
          <w:trHeight w:val="617" w:hRule="auto"/>
        </w:trPr>
        body 8
        <w:tc>
          <w:tcPr>
            <w:vMerge/>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SexMaleSRXX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r>
      <w:tr>
        <w:trPr>
          <w:cantSplit/>
          <w:trHeight w:val="617"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SexMaleXY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0.20</w:t>
            </w:r>
          </w:p>
        </w:tc>
      </w:tr>
      <w:tr>
        <w:trPr>
          <w:cantSplit/>
          <w:trHeight w:val="618"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SVL(mm)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r>
      <w:tr>
        <w:trPr>
          <w:cantSplit/>
          <w:trHeight w:val="618"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SexMaleSRXX:SVL(mm)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w:t>
            </w:r>
          </w:p>
        </w:tc>
      </w:tr>
      <w:tr>
        <w:trPr>
          <w:cantSplit/>
          <w:trHeight w:val="618" w:hRule="auto"/>
        </w:trPr>
        body12
        <w:tc>
          <w:tcPr>
            <w:vMerge/>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SexMaleXY:SVL(mm)</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r>
    </w:tbl>
    <w:p>
      <w:r>
        <w:br w:type="page"/>
      </w:r>
    </w:p>
    <w:p>
      <w:pPr>
        <w:pStyle w:val="BodyText"/>
      </w:pPr>
      <w:r>
        <w:t xml:space="preserve">Table S5. BRMS Model coefficients for SVL and mass growth rate estimates across sex class for</w:t>
      </w:r>
      <w:r>
        <w:t xml:space="preserve"> </w:t>
      </w:r>
      <w:r>
        <w:rPr>
          <w:iCs/>
          <w:i/>
        </w:rPr>
        <w:t xml:space="preserve">Pogona vitticeps</w:t>
      </w:r>
      <w:r>
        <w:t xml:space="preserve">. Growth rate was calculated by dividing the change in growth (SVL or mass) between the initial measurement and subsequent remeasurement by the total number of days elapsed. Animals were remeasured between 3 and 6 months post hatch.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60"/>
        <w:gridCol w:w="3088"/>
        <w:gridCol w:w="1266"/>
        <w:gridCol w:w="1254"/>
        <w:gridCol w:w="1328"/>
      </w:tblGrid>
      <w:tr>
        <w:trPr>
          <w:cantSplit/>
          <w:trHeight w:val="577"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Growth rate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Covariate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u-95% CI</w:t>
            </w:r>
          </w:p>
        </w:tc>
      </w:tr>
      <w:tr>
        <w:trPr>
          <w:cantSplit/>
          <w:trHeight w:val="619" w:hRule="auto"/>
        </w:trPr>
        body 1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SVL(mm/d)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(SexFemaleZW)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0.54</w:t>
            </w:r>
          </w:p>
        </w:tc>
      </w:tr>
      <w:tr>
        <w:trPr>
          <w:cantSplit/>
          <w:trHeight w:val="617" w:hRule="auto"/>
        </w:trPr>
        body 2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SexFemaleSRZZ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0.73</w:t>
            </w:r>
          </w:p>
        </w:tc>
      </w:tr>
      <w:tr>
        <w:trPr>
          <w:cantSplit/>
          <w:trHeight w:val="617"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SexMaleZZ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0.35</w:t>
            </w:r>
          </w:p>
        </w:tc>
      </w:tr>
      <w:tr>
        <w:trPr>
          <w:cantSplit/>
          <w:trHeight w:val="618"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SVL(mm)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r>
      <w:tr>
        <w:trPr>
          <w:cantSplit/>
          <w:trHeight w:val="618"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SexFemaleSRZZ:SVL(mm)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w:t>
            </w:r>
          </w:p>
        </w:tc>
      </w:tr>
      <w:tr>
        <w:trPr>
          <w:cantSplit/>
          <w:trHeight w:val="618"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SexMaleZZ:SVL(mm)</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w:t>
            </w:r>
          </w:p>
        </w:tc>
      </w:tr>
      <w:tr>
        <w:trPr>
          <w:cantSplit/>
          <w:trHeight w:val="620" w:hRule="auto"/>
        </w:trPr>
        body 7
        <w:tc>
          <w:tcPr>
            <w:vMerge w:val="restart"/>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mass(g/d)</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(SexFemaleZW)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0.32</w:t>
            </w:r>
          </w:p>
        </w:tc>
      </w:tr>
      <w:tr>
        <w:trPr>
          <w:cantSplit/>
          <w:trHeight w:val="620" w:hRule="auto"/>
        </w:trPr>
        body 8
        <w:tc>
          <w:tcPr>
            <w:vMerge/>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SexFemaleSRZZ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0.33</w:t>
            </w:r>
          </w:p>
        </w:tc>
      </w:tr>
      <w:tr>
        <w:trPr>
          <w:cantSplit/>
          <w:trHeight w:val="62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SexMaleZZ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w:t>
            </w:r>
          </w:p>
        </w:tc>
      </w:tr>
      <w:tr>
        <w:trPr>
          <w:cantSplit/>
          <w:trHeight w:val="62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mass(g)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w:t>
            </w:r>
          </w:p>
        </w:tc>
      </w:tr>
      <w:tr>
        <w:trPr>
          <w:cantSplit/>
          <w:trHeight w:val="621"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SexFemaleSRZZ:mass(g)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w:t>
            </w:r>
          </w:p>
        </w:tc>
      </w:tr>
      <w:tr>
        <w:trPr>
          <w:cantSplit/>
          <w:trHeight w:val="621" w:hRule="auto"/>
        </w:trPr>
        body12
        <w:tc>
          <w:tcPr>
            <w:vMerge/>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SexMaleZZ:mass(g)</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w:t>
            </w:r>
          </w:p>
        </w:tc>
      </w:tr>
    </w:tbl>
    <w:p>
      <w:r>
        <w:br w:type="page"/>
      </w:r>
    </w:p>
    <w:p>
      <w:pPr>
        <w:pStyle w:val="BodyText"/>
      </w:pPr>
      <w:r>
        <w:t xml:space="preserve">Table S6. Frequency of mortality across sex class for</w:t>
      </w:r>
      <w:r>
        <w:t xml:space="preserve"> </w:t>
      </w:r>
      <w:r>
        <w:rPr>
          <w:iCs/>
          <w:i/>
        </w:rPr>
        <w:t xml:space="preserve">Bassiana duperryii</w:t>
      </w:r>
      <w:r>
        <w:t xml:space="preserve"> </w:t>
      </w:r>
      <w:r>
        <w:t xml:space="preserve">and</w:t>
      </w:r>
      <w:r>
        <w:t xml:space="preserve"> </w:t>
      </w:r>
      <w:r>
        <w:rPr>
          <w:iCs/>
          <w:i/>
        </w:rPr>
        <w:t xml:space="preserve">Pogona vitticeps</w:t>
      </w:r>
      <w:r>
        <w:t xml:space="preserve">. These measurements were recorded from initial hatch date to 6 months post-hatch date.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23"/>
        <w:gridCol w:w="1780"/>
        <w:gridCol w:w="888"/>
        <w:gridCol w:w="937"/>
      </w:tblGrid>
      <w:tr>
        <w:trPr>
          <w:cantSplit/>
          <w:trHeight w:val="619"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Species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Sex</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Alive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Dead</w:t>
            </w:r>
          </w:p>
        </w:tc>
      </w:tr>
      <w:tr>
        <w:trPr>
          <w:cantSplit/>
          <w:trHeight w:val="616" w:hRule="auto"/>
        </w:trPr>
        body1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B. duperryii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Female 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r>
      <w:tr>
        <w:trPr>
          <w:cantSplit/>
          <w:trHeight w:val="616" w:hRule="auto"/>
        </w:trPr>
        body2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MaleSR 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r>
      <w:tr>
        <w:trPr>
          <w:cantSplit/>
          <w:trHeight w:val="616"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Male XY</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r>
      <w:tr>
        <w:trPr>
          <w:cantSplit/>
          <w:trHeight w:val="614" w:hRule="auto"/>
        </w:trPr>
        body4
        <w:tc>
          <w:tcPr>
            <w:vMerge w:val="restart"/>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P. vitticeps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Female ZW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r>
      <w:tr>
        <w:trPr>
          <w:cantSplit/>
          <w:trHeight w:val="614" w:hRule="auto"/>
        </w:trPr>
        body5
        <w:tc>
          <w:tcPr>
            <w:vMerge/>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FemaleSR ZZ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r>
      <w:tr>
        <w:trPr>
          <w:cantSplit/>
          <w:trHeight w:val="614" w:hRule="auto"/>
        </w:trPr>
        body6
        <w:tc>
          <w:tcPr>
            <w:vMerge/>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Male ZZ</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r>
    </w:tbl>
    <w:bookmarkEnd w:id="21"/>
    <w:sectPr w:rsidR="00291A28">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4A452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1D058C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4142E0D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7BB68D2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FB2BED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B9634A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420FA1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E9FAA19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2080CE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236C13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90EC8D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C1AE401"/>
    <w:multiLevelType w:val="multilevel"/>
    <w:tmpl w:val="329A933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3"/>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232B69"/>
    <w:pPr>
      <w:keepNext/>
      <w:keepLines/>
      <w:spacing w:after="0" w:before="480"/>
      <w:outlineLvl w:val="0"/>
    </w:pPr>
    <w:rPr>
      <w:rFonts w:ascii="Times New Roman" w:cstheme="majorBidi" w:eastAsiaTheme="majorEastAsia" w:hAnsi="Times New Roman"/>
      <w:b/>
      <w:bCs/>
      <w:color w:themeColor="text1" w:val="000000"/>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rsid w:val="00232B69"/>
    <w:rPr>
      <w:rFonts w:ascii="Times New Roman" w:hAnsi="Times New Roman"/>
    </w:rPr>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232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analysis (SMR), Tables and Figures</dc:title>
  <dc:creator>Kristoffer Wild</dc:creator>
  <cp:keywords/>
  <dcterms:created xsi:type="dcterms:W3CDTF">2023-01-28T03:11:12Z</dcterms:created>
  <dcterms:modified xsi:type="dcterms:W3CDTF">2023-01-28T03:11:12Z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2023-01-28</vt:lpwstr>
  </property>
  <property fmtid="{D5CDD505-2E9C-101B-9397-08002B2CF9AE}" pid="3" name="editor_options">
    <vt:lpwstr/>
  </property>
  <property fmtid="{D5CDD505-2E9C-101B-9397-08002B2CF9AE}" pid="4" name="output">
    <vt:lpwstr/>
  </property>
</Properties>
</file>