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To quantify the impacts of developmental stress on mitochondrial function 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w:t>
      </w:r>
      <w:r>
        <w:t xml:space="preserve">along with its associated sampling error. We used the</w:t>
      </w:r>
      <w:r>
        <w:t xml:space="preserve"> </w:t>
      </w:r>
      <w:r>
        <w:rPr>
          <w:i/>
          <w:iCs/>
        </w:rPr>
        <w:t xml:space="preserve">escalc</w:t>
      </w:r>
      <w:r>
        <w:t xml:space="preserve"> </w:t>
      </w:r>
      <w:r>
        <w:t xml:space="preserve">function of the</w:t>
      </w:r>
      <w:r>
        <w:t xml:space="preserve"> </w:t>
      </w:r>
      <w:r>
        <w:rPr>
          <w:i/>
          <w:iCs/>
        </w:rPr>
        <w:t xml:space="preserve">metafor</w:t>
      </w:r>
      <w:r>
        <w:t xml:space="preserve"> </w:t>
      </w:r>
      <w:r>
        <w:t xml:space="preserve">package (vers. 4.8.0)</w:t>
      </w:r>
      <w:r>
        <w:t xml:space="preserve"> </w:t>
      </w:r>
      <w:r>
        <w:t xml:space="preserve">(Viechtbauer, 2010)</w:t>
      </w:r>
      <w:r>
        <w:t xml:space="preserve"> </w:t>
      </w:r>
      <w:r>
        <w:t xml:space="preserve">in R (vers.</w:t>
      </w:r>
      <w:r>
        <w:t xml:space="preserve"> </w:t>
      </w:r>
      <w:r>
        <w:t xml:space="preserve">4.4.2) which implements a correction to account for possible bias resulting from effect sizes calculated with small sample sizes</w:t>
      </w:r>
      <w:r>
        <w:t xml:space="preserve"> </w:t>
      </w:r>
      <w:r>
        <w:t xml:space="preserve">(Borenstein &amp; Hedges, 2009)</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w:t>
      </w:r>
      <w:r>
        <w:t xml:space="preserve"> </w:t>
      </w:r>
      <m:oMath>
        <m:r>
          <m:t>S</m:t>
        </m:r>
        <m:r>
          <m:t>M</m:t>
        </m:r>
        <m:sSub>
          <m:e>
            <m:r>
              <m:t>D</m:t>
            </m:r>
          </m:e>
          <m:sub>
            <m:r>
              <m:t>H</m:t>
            </m:r>
          </m:sub>
        </m:sSub>
      </m:oMath>
      <w:r>
        <w:t xml:space="preserve"> </w:t>
      </w:r>
      <w:r>
        <w:t xml:space="preserve">is more robust to these types of measurement variables.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w:t>
      </w:r>
      <w:r>
        <w:t xml:space="preserve"> </w:t>
      </w:r>
      <w:r>
        <w:t xml:space="preserve">‘</w:t>
      </w:r>
      <w:r>
        <w:t xml:space="preserve">coined</w:t>
      </w:r>
      <w:r>
        <w:t xml:space="preserve">’</w:t>
      </w:r>
      <w:r>
        <w:t xml:space="preserve"> </w:t>
      </w:r>
      <w:r>
        <w:t xml:space="preserve">(multiplied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using</w:t>
      </w:r>
      <w:r>
        <w:t xml:space="preserve"> </w:t>
      </w:r>
      <w:r>
        <w:rPr>
          <w:i/>
          <w:iCs/>
        </w:rPr>
        <w:t xml:space="preserve">metafor</w:t>
      </w:r>
      <w:r>
        <w:t xml:space="preserve"> </w:t>
      </w:r>
      <w:r>
        <w:t xml:space="preserve">(vers. 4.8.0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tissue type, and phylogeny as random effects to account for non-independence and identify sources of variability. Given</w:t>
      </w:r>
      <w:r>
        <w:t xml:space="preserve"> </w:t>
      </w:r>
      <w:r>
        <w:rPr>
          <w:i/>
          <w:iCs/>
        </w:rPr>
        <w:t xml:space="preserve">metafor</w:t>
      </w:r>
      <w:r>
        <w:t xml:space="preserve"> </w:t>
      </w:r>
      <w:r>
        <w:t xml:space="preserve">does not estimate a residual variance by default we also included an observation-level random effect in our models.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This allowed us to calculate the proportion of total heterogeneity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 As a second measure of heterogeneity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plotting taxa using</w:t>
      </w:r>
      <w:r>
        <w:t xml:space="preserve"> </w:t>
      </w:r>
      <w:r>
        <w:rPr>
          <w:i/>
          <w:iCs/>
        </w:rPr>
        <w:t xml:space="preserve">ggtree</w:t>
      </w:r>
      <w:r>
        <w:t xml:space="preserve"> </w:t>
      </w:r>
      <w:r>
        <w:t xml:space="preserve">to visualize the tree (vers. 3.14.0)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species names and built a time calibrated phylogeny for the species in our dataset using TimeTree [timetree.org;</w:t>
      </w:r>
      <w:r>
        <w:t xml:space="preserve"> </w:t>
      </w:r>
      <w:r>
        <w:t xml:space="preserve">Kumar</w:t>
      </w:r>
      <w:r>
        <w:t xml:space="preserve"> </w:t>
      </w:r>
      <w:r>
        <w:rPr>
          <w:i/>
          <w:iCs/>
        </w:rPr>
        <w:t xml:space="preserve">et al.</w:t>
      </w:r>
      <w:r>
        <w:t xml:space="preserve"> </w:t>
      </w:r>
      <w:r>
        <w:t xml:space="preserve">(2022)</w:t>
      </w:r>
      <w:r>
        <w:t xml:space="preserve">]. We used the R packages</w:t>
      </w:r>
      <w:r>
        <w:t xml:space="preserve"> </w:t>
      </w:r>
      <w:r>
        <w:rPr>
          <w:i/>
          <w:iCs/>
        </w:rPr>
        <w:t xml:space="preserve">ape</w:t>
      </w:r>
      <w:r>
        <w:t xml:space="preserve"> </w:t>
      </w:r>
      <w:r>
        <w:t xml:space="preserve">(vers. 5.8.1)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2.3.0)</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bookmarkEnd w:id="22"/>
    <w:bookmarkEnd w:id="23"/>
    <w:bookmarkEnd w:id="24"/>
    <w:bookmarkStart w:id="27" w:name="results"/>
    <w:p>
      <w:pPr>
        <w:pStyle w:val="Heading1"/>
      </w:pPr>
      <w:r>
        <w:t xml:space="preserve">Results</w:t>
      </w:r>
    </w:p>
    <w:bookmarkStart w:id="26" w:name="X0082c11ba94016e46178f7840e4b47ff19f6ddd"/>
    <w:p>
      <w:pPr>
        <w:pStyle w:val="Heading3"/>
      </w:pPr>
      <w:r>
        <w:t xml:space="preserve">Thermal developmental impacts on mitochondrial function</w:t>
      </w:r>
    </w:p>
    <w:tbl>
      <w:tblPr>
        <w:tblStyle w:val="Table"/>
        <w:tblW w:type="pct" w:w="5000"/>
        <w:tblLayout w:type="fixed"/>
        <w:tblLook w:firstRow="0" w:lastRow="0" w:firstColumn="0" w:lastColumn="0" w:noHBand="0" w:noVBand="0" w:val="0000"/>
      </w:tblPr>
      <w:tblGrid>
        <w:gridCol w:w="7920"/>
      </w:tblGrid>
      <w:tr>
        <w:tc>
          <w:tcPr/>
          <w:bookmarkStart w:id="25" w:name="tbl-heterogeneity"/>
          <w:p>
            <w:pPr>
              <w:jc w:val="center"/>
            </w:pPr>
            <w:pPr>
              <w:jc w:val="start"/>
              <w:spacing w:before="200"/>
              <w:pStyle w:val="ImageCaption"/>
            </w:pPr>
            <w:r>
              <w:t xml:space="preserve">Table 1- Heterogeneity estimates for developmental stressor datasets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7"/>
              <w:gridCol w:w="1851"/>
              <w:gridCol w:w="1851"/>
              <w:gridCol w:w="1851"/>
              <w:gridCol w:w="1851"/>
              <w:gridCol w:w="1851"/>
              <w:gridCol w:w="1851"/>
              <w:gridCol w:w="1940"/>
              <w:gridCol w:w="1851"/>
              <w:gridCol w:w="1851"/>
            </w:tblGrid>
            <w:tr>
              <w:trPr>
                <w:trHeight w:val="69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r>
                      <m:t>Stressor</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
                      <m:e>
                        <m:r>
                          <m:t>n</m:t>
                        </m:r>
                      </m:e>
                      <m:sub>
                        <m:r>
                          <m:t>effects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
                      <m:e>
                        <m:r>
                          <m:t>n</m:t>
                        </m:r>
                      </m:e>
                      <m:sub>
                        <m:r>
                          <m:t>species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
                      <m:e>
                        <m:r>
                          <m:t>n</m:t>
                        </m:r>
                      </m:e>
                      <m:sub>
                        <m:r>
                          <m:t>study</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total</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study</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phylogeny</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species</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tissue</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obs</m:t>
                        </m:r>
                      </m:sub>
                      <m:sup>
                        <m:r>
                          <m:t>2</m:t>
                        </m:r>
                      </m:sup>
                    </m:sSubSup>
                  </m:oMath>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Corticosterone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0.0000000072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80.53113176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Deprevation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0.0000016715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1.14574009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28.6254665336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5.29211679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0.71685165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0.0000020398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0.55776399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w:t>
                  </w:r>
                </w:p>
              </w:tc>
            </w:tr>
            <w:tr>
              <w:trPr>
                <w:trHeight w:val="61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Temperature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1.88801455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0.0000005160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0.23967636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r>
          </w:tbl>
          <w:bookmarkEnd w:id="25"/>
        </w:tc>
      </w:tr>
    </w:tbl>
    <w:p>
      <w:pPr>
        <w:pStyle w:val="BodyText"/>
      </w:pPr>
      <w:hyperlink w:anchor="tbl-heterogeneity">
        <w:r>
          <w:rPr>
            <w:rStyle w:val="Hyperlink"/>
          </w:rPr>
          <w:t xml:space="preserve">Table 1</w:t>
        </w:r>
      </w:hyperlink>
    </w:p>
    <w:bookmarkEnd w:id="26"/>
    <w:bookmarkEnd w:id="27"/>
    <w:bookmarkStart w:id="42" w:name="references"/>
    <w:p>
      <w:pPr>
        <w:pStyle w:val="Heading1"/>
      </w:pPr>
      <w:r>
        <w:t xml:space="preserve">References</w:t>
      </w:r>
    </w:p>
    <w:bookmarkStart w:id="41" w:name="refs"/>
    <w:bookmarkStart w:id="28"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28"/>
    <w:bookmarkStart w:id="29"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29"/>
    <w:bookmarkStart w:id="30" w:name="ref-Borenstein2009"/>
    <w:p>
      <w:pPr>
        <w:pStyle w:val="Bibliography"/>
      </w:pPr>
      <w:r>
        <w:rPr>
          <w:smallCaps/>
        </w:rPr>
        <w:t xml:space="preserve">Borenstein, M.</w:t>
      </w:r>
      <w:r>
        <w:t xml:space="preserve"> </w:t>
      </w:r>
      <w:r>
        <w:t xml:space="preserve">&amp;</w:t>
      </w:r>
      <w:r>
        <w:t xml:space="preserve"> </w:t>
      </w:r>
      <w:r>
        <w:rPr>
          <w:smallCaps/>
        </w:rPr>
        <w:t xml:space="preserve">Hedges, L.V.</w:t>
      </w:r>
      <w:r>
        <w:t xml:space="preserve"> </w:t>
      </w:r>
      <w:r>
        <w:t xml:space="preserve">(2009) Effect sizes for meta-analysis.</w:t>
      </w:r>
      <w:r>
        <w:t xml:space="preserve"> </w:t>
      </w:r>
      <w:r>
        <w:rPr>
          <w:i/>
          <w:iCs/>
        </w:rPr>
        <w:t xml:space="preserve">In: The Handbook of Research Synthesis and Meta-analysis (eds Cooper H, Hedges LV, Valentine JC). Russell Sage Foundation, New York.</w:t>
      </w:r>
      <w:r>
        <w:t xml:space="preserve">, 207–243.</w:t>
      </w:r>
    </w:p>
    <w:bookmarkEnd w:id="30"/>
    <w:bookmarkStart w:id="31" w:name="ref-kumar2022timetree"/>
    <w:p>
      <w:pPr>
        <w:pStyle w:val="Bibliography"/>
      </w:pPr>
      <w:r>
        <w:rPr>
          <w:smallCaps/>
        </w:rPr>
        <w:t xml:space="preserve">Kumar, S.</w:t>
      </w:r>
      <w:r>
        <w:t xml:space="preserve">,</w:t>
      </w:r>
      <w:r>
        <w:t xml:space="preserve"> </w:t>
      </w:r>
      <w:r>
        <w:rPr>
          <w:smallCaps/>
        </w:rPr>
        <w:t xml:space="preserve">Suleski, M.</w:t>
      </w:r>
      <w:r>
        <w:t xml:space="preserve">,</w:t>
      </w:r>
      <w:r>
        <w:t xml:space="preserve"> </w:t>
      </w:r>
      <w:r>
        <w:rPr>
          <w:smallCaps/>
        </w:rPr>
        <w:t xml:space="preserve">Craig, J.M.</w:t>
      </w:r>
      <w:r>
        <w:t xml:space="preserve">,</w:t>
      </w:r>
      <w:r>
        <w:t xml:space="preserve"> </w:t>
      </w:r>
      <w:r>
        <w:rPr>
          <w:smallCaps/>
        </w:rPr>
        <w:t xml:space="preserve">Kasprowicz, A.E.</w:t>
      </w:r>
      <w:r>
        <w:t xml:space="preserve">,</w:t>
      </w:r>
      <w:r>
        <w:t xml:space="preserve"> </w:t>
      </w:r>
      <w:r>
        <w:rPr>
          <w:smallCaps/>
        </w:rPr>
        <w:t xml:space="preserve">Sanderford, M.</w:t>
      </w:r>
      <w:r>
        <w:t xml:space="preserve">,</w:t>
      </w:r>
      <w:r>
        <w:t xml:space="preserve"> </w:t>
      </w:r>
      <w:r>
        <w:rPr>
          <w:smallCaps/>
        </w:rPr>
        <w:t xml:space="preserve">Li, M.</w:t>
      </w:r>
      <w:r>
        <w:t xml:space="preserve">,</w:t>
      </w:r>
      <w:r>
        <w:t xml:space="preserve"> </w:t>
      </w:r>
      <w:r>
        <w:rPr>
          <w:smallCaps/>
        </w:rPr>
        <w:t xml:space="preserve">Stecher, G.</w:t>
      </w:r>
      <w:r>
        <w:t xml:space="preserve"> </w:t>
      </w:r>
      <w:r>
        <w:t xml:space="preserve">&amp;</w:t>
      </w:r>
      <w:r>
        <w:t xml:space="preserve"> </w:t>
      </w:r>
      <w:r>
        <w:rPr>
          <w:smallCaps/>
        </w:rPr>
        <w:t xml:space="preserve">Hedges, S.B.</w:t>
      </w:r>
      <w:r>
        <w:t xml:space="preserve"> </w:t>
      </w:r>
      <w:r>
        <w:t xml:space="preserve">(2022) TimeTree 5: An expanded resource for species divergence times.</w:t>
      </w:r>
      <w:r>
        <w:t xml:space="preserve"> </w:t>
      </w:r>
      <w:r>
        <w:rPr>
          <w:i/>
          <w:iCs/>
        </w:rPr>
        <w:t xml:space="preserve">Molecular biology and evolution</w:t>
      </w:r>
      <w:r>
        <w:t xml:space="preserve"> </w:t>
      </w:r>
      <w:r>
        <w:rPr>
          <w:b/>
          <w:bCs/>
        </w:rPr>
        <w:t xml:space="preserve">39</w:t>
      </w:r>
      <w:r>
        <w:t xml:space="preserve">, msac174. Oxford University Press.</w:t>
      </w:r>
    </w:p>
    <w:bookmarkEnd w:id="31"/>
    <w:bookmarkStart w:id="32"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32"/>
    <w:bookmarkStart w:id="33"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33"/>
    <w:bookmarkStart w:id="34"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34"/>
    <w:bookmarkStart w:id="35"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35"/>
    <w:bookmarkStart w:id="36"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36"/>
    <w:bookmarkStart w:id="37"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37"/>
    <w:bookmarkStart w:id="38"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38"/>
    <w:bookmarkStart w:id="39"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39"/>
    <w:bookmarkStart w:id="40"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40"/>
    <w:bookmarkEnd w:id="41"/>
    <w:bookmarkEnd w:id="42"/>
    <w:sectPr w:rsidR="00D416B8" w:rsidSect="00074B3C">
      <w:pgSz w:h="15840" w:w="12240"/>
      <w:pgMar w:bottom="1134" w:footer="720" w:gutter="0" w:header="720" w:left="851" w:right="851"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16cid:durableId="419761100"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74B3C"/>
    <w:rsid w:val="003335E6"/>
    <w:rsid w:val="008E4461"/>
    <w:rsid w:val="00BC137F"/>
    <w:rsid w:val="00C90626"/>
    <w:rsid w:val="00D416B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E4461"/>
    <w:pPr>
      <w:keepNext/>
      <w:keepLines/>
      <w:spacing w:after="80" w:before="360"/>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137F"/>
    <w:pPr>
      <w:spacing w:after="180" w:before="180"/>
    </w:pPr>
    <w:rPr>
      <w:rFonts w:ascii="Times New Roman" w:hAnsi="Times New Roman"/>
    </w:rPr>
  </w:style>
  <w:style w:customStyle="1" w:styleId="FirstParagraph" w:type="paragraph">
    <w:name w:val="First Paragraph"/>
    <w:basedOn w:val="BodyText"/>
    <w:next w:val="BodyText"/>
    <w:qFormat/>
    <w:rsid w:val="008E4461"/>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rPr>
      <w:rFonts w:ascii="Times New Roman" w:hAnsi="Times New Roman"/>
    </w:rPr>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2025-03-07T20:32:47Z</dcterms:created>
  <dcterms:modified xsi:type="dcterms:W3CDTF">2025-03-07T20:32:47Z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