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4.8.0)</w:t>
      </w:r>
      <w:r>
        <w:t xml:space="preserve"> </w:t>
      </w:r>
      <w:r>
        <w:t xml:space="preserve">(Viechtbauer, 2010)</w:t>
      </w:r>
      <w:r>
        <w:t xml:space="preserve"> </w:t>
      </w:r>
      <w:r>
        <w:t xml:space="preserve">in R (vers. 4.5.1)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w:t>
      </w:r>
      <w:r>
        <w:t xml:space="preserve"> </w:t>
      </w:r>
      <w:r>
        <w:t xml:space="preserve">‘coined’</w:t>
      </w:r>
      <w:r>
        <w:t xml:space="preserve"> </w:t>
      </w:r>
      <w:r>
        <w:t xml:space="preserve">(multiplied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4.8.0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The size of datasets varied in the number of species and tissues (</w:t>
      </w:r>
      <w:hyperlink w:anchor="tbl-heterogeneity">
        <w:r>
          <w:rPr>
            <w:rStyle w:val="Hyperlink"/>
          </w:rPr>
          <w:t xml:space="preserve">Table 1</w:t>
        </w:r>
      </w:hyperlink>
      <w:r>
        <w:t xml:space="preserve">). As such, we simplified the random effect structure for some datasets; including only random effects with six or more levels.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We took a pluralistic approach to heterogeneity reporting, by reporting absolute (</w:t>
      </w:r>
      <m:oMath>
        <m:sSup>
          <m:e>
            <m:r>
              <m:t>σ</m:t>
            </m:r>
          </m:e>
          <m:sup>
            <m:r>
              <m:t>2</m:t>
            </m:r>
          </m:sup>
        </m:sSup>
      </m:oMath>
      <w:r>
        <w:t xml:space="preserve">), relative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and magnitude measures (both</w:t>
      </w:r>
      <w:r>
        <w:t xml:space="preserve"> </w:t>
      </w:r>
      <m:oMath>
        <m:r>
          <m:t>C</m:t>
        </m:r>
        <m:sSub>
          <m:e>
            <m:r>
              <m:t>V</m:t>
            </m:r>
          </m:e>
          <m:sub>
            <m:r>
              <m:t>t</m:t>
            </m:r>
            <m:r>
              <m:t>o</m:t>
            </m:r>
            <m:r>
              <m:t>t</m:t>
            </m:r>
            <m:r>
              <m:t>a</m:t>
            </m:r>
            <m:r>
              <m:t>l</m:t>
            </m:r>
          </m:sub>
        </m:sSub>
      </m:oMath>
      <w:r>
        <w:t xml:space="preserve"> </w:t>
      </w:r>
      <w:r>
        <w:t xml:space="preserve">and</w:t>
      </w:r>
      <w:r>
        <w:t xml:space="preserve"> </w:t>
      </w:r>
      <m:oMath>
        <m:sSub>
          <m:e>
            <m:r>
              <m:t>M</m:t>
            </m:r>
          </m:e>
          <m:sub>
            <m:r>
              <m:t>t</m:t>
            </m:r>
            <m:r>
              <m:t>o</m:t>
            </m:r>
            <m:r>
              <m:t>t</m:t>
            </m:r>
            <m:r>
              <m:t>a</m:t>
            </m:r>
            <m:r>
              <m:t>l</m:t>
            </m:r>
          </m:sub>
        </m:sSub>
      </m:oMath>
      <w:r>
        <w:t xml:space="preserve">) of heterogeneity as suggested by</w:t>
      </w:r>
      <w:r>
        <w:t xml:space="preserve"> </w:t>
      </w:r>
      <w:r>
        <w:t xml:space="preserve">Yang</w:t>
      </w:r>
      <w:r>
        <w:t xml:space="preserve"> </w:t>
      </w:r>
      <w:r>
        <w:rPr>
          <w:i/>
          <w:iCs/>
        </w:rPr>
        <w:t xml:space="preserve">et al.</w:t>
      </w:r>
      <w:r>
        <w:t xml:space="preserve"> </w:t>
      </w:r>
      <w:r>
        <w:t xml:space="preserve">(2023)</w:t>
      </w:r>
      <w:r>
        <w:t xml:space="preserve">. We also report each of their stratified versions for each random effect level</w:t>
      </w:r>
      <w:r>
        <w:t xml:space="preserve"> </w:t>
      </w:r>
      <w:r>
        <w:t xml:space="preserve">(Nakagawa &amp; Santos, 2012; Yang</w:t>
      </w:r>
      <w:r>
        <w:t xml:space="preserve"> </w:t>
      </w:r>
      <w:r>
        <w:rPr>
          <w:i/>
          <w:iCs/>
        </w:rPr>
        <w:t xml:space="preserve">et al.</w:t>
      </w:r>
      <w:r>
        <w:t xml:space="preserve">, 2023)</w:t>
      </w:r>
      <w:r>
        <w:t xml:space="preserve">.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3.16.0)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5.8.1)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2.4.4)</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38" w:name="results"/>
    <w:p>
      <w:pPr>
        <w:pStyle w:val="Heading1"/>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5" w:name="tbl-heterogeneity"/>
          <w:p>
            <w:pPr>
              <w:jc w:val="center"/>
            </w:pPr>
            <w:pPr>
              <w:jc w:val="start"/>
              <w:spacing w:before="200"/>
              <w:pStyle w:val="ImageCaption"/>
            </w:pPr>
            <w:r>
              <w:t xml:space="preserve">Table 1- Heterogeneity estimates for developmental stressor datasets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936"/>
              <w:gridCol w:w="936"/>
              <w:gridCol w:w="936"/>
              <w:gridCol w:w="936"/>
              <w:gridCol w:w="936"/>
              <w:gridCol w:w="936"/>
              <w:gridCol w:w="936"/>
              <w:gridCol w:w="936"/>
              <w:gridCol w:w="93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r>
                      <m:t>Stressor</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
                      <m:e>
                        <m:r>
                          <m:t>n</m:t>
                        </m:r>
                      </m:e>
                      <m:sub>
                        <m:r>
                          <m:t>effects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
                      <m:e>
                        <m:r>
                          <m:t>n</m:t>
                        </m:r>
                      </m:e>
                      <m:sub>
                        <m:r>
                          <m:t>species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
                      <m:e>
                        <m:r>
                          <m:t>n</m:t>
                        </m:r>
                      </m:e>
                      <m:sub>
                        <m:r>
                          <m:t>study</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total</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study</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phylogeny</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species</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tissue</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m:oMath xmlns:m="http://schemas.openxmlformats.org/officeDocument/2006/math" xmlns:mml="http://www.w3.org/1998/Math/MathML">
                    <m:sSubSup>
                      <m:e>
                        <m:r>
                          <m:t>I</m:t>
                        </m:r>
                      </m:e>
                      <m:sub>
                        <m:r>
                          <m:t>obs</m:t>
                        </m:r>
                      </m:sub>
                      <m:sup>
                        <m:r>
                          <m:t>2</m:t>
                        </m:r>
                      </m:sup>
                    </m:sSubSup>
                    <m:r>
                      <m:t>(</m:t>
                    </m:r>
                    <m:r>
                      <m:rPr>
                        <m:sty m:val="p"/>
                      </m:rPr>
                      <m:t>%</m:t>
                    </m:r>
                    <m:r>
                      <m:t>)</m:t>
                    </m:r>
                  </m:oMath>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Corticosterone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Deprevation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Nutrition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r>
          </w:tbl>
          <w:bookmarkEnd w:id="25"/>
        </w:tc>
      </w:tr>
    </w:tbl>
    <w:tbl>
      <w:tblPr>
        <w:tblStyle w:val="Table"/>
        <w:tblW w:type="pct" w:w="5000"/>
        <w:tblLayout w:type="fixed"/>
        <w:tblLook w:firstRow="0" w:lastRow="0" w:firstColumn="0" w:lastColumn="0" w:noHBand="0" w:noVBand="0" w:val="0000"/>
      </w:tblPr>
      <w:tblGrid>
        <w:gridCol w:w="7920"/>
      </w:tblGrid>
      <w:tr>
        <w:tc>
          <w:tcPr/>
          <w:bookmarkStart w:id="29" w:name="fig-phylo"/>
          <w:p>
            <w:pPr>
              <w:pStyle w:val="Compact"/>
              <w:jc w:val="center"/>
            </w:pPr>
            <w:r>
              <w:drawing>
                <wp:inline>
                  <wp:extent cx="5504749" cy="8257123"/>
                  <wp:effectExtent b="0" l="0" r="0" t="0"/>
                  <wp:docPr descr="" title="" id="27" name="Picture"/>
                  <a:graphic>
                    <a:graphicData uri="http://schemas.openxmlformats.org/drawingml/2006/picture">
                      <pic:pic>
                        <pic:nvPicPr>
                          <pic:cNvPr descr="results_files/figure-docx/fig-phylo-1.png" id="28" name="Picture"/>
                          <pic:cNvPicPr>
                            <a:picLocks noChangeArrowheads="1" noChangeAspect="1"/>
                          </pic:cNvPicPr>
                        </pic:nvPicPr>
                        <pic:blipFill>
                          <a:blip r:embed="rId26"/>
                          <a:stretch>
                            <a:fillRect/>
                          </a:stretch>
                        </pic:blipFill>
                        <pic:spPr bwMode="auto">
                          <a:xfrm>
                            <a:off x="0" y="0"/>
                            <a:ext cx="5504749" cy="825712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Phylogeny of species included in the meta-analysis.</w:t>
            </w:r>
          </w:p>
          <w:bookmarkEnd w:id="29"/>
        </w:tc>
      </w:tr>
    </w:tbl>
    <w:p>
      <w:pPr>
        <w:pStyle w:val="BodyText"/>
      </w:pPr>
      <w:r>
        <w:t xml:space="preserve">In total, we collected data from 1264 effect sizes across 42 species (</w:t>
      </w:r>
      <w:hyperlink w:anchor="fig-phylo">
        <w:r>
          <w:rPr>
            <w:rStyle w:val="Hyperlink"/>
          </w:rPr>
          <w:t xml:space="preserve">Figure 1</w:t>
        </w:r>
      </w:hyperlink>
      <w:r>
        <w:t xml:space="preserve">) and 123 studies across the different stressors (</w:t>
      </w:r>
      <w:hyperlink w:anchor="tbl-heterogeneity">
        <w:r>
          <w:rPr>
            <w:rStyle w:val="Hyperlink"/>
          </w:rPr>
          <w:t xml:space="preserve">Table 1</w:t>
        </w:r>
      </w:hyperlink>
      <w:r>
        <w:t xml:space="preserve">).</w:t>
      </w:r>
    </w:p>
    <w:bookmarkStart w:id="30" w:name="Xe2bc17fd9e9f4877f1c79190d12acc279eca167"/>
    <w:p>
      <w:pPr>
        <w:pStyle w:val="Heading2"/>
      </w:pPr>
      <w:r>
        <w:t xml:space="preserve">Corticosterone developmental impacts on mitochondrial function</w:t>
      </w:r>
    </w:p>
    <w:p>
      <w:pPr>
        <w:pStyle w:val="FirstParagraph"/>
      </w:pPr>
      <w:r>
        <w:t xml:space="preserve">Overall, exposure to corticosterone during development had a positive, but non-significant, impact on mitochondrial function (</w:t>
      </w:r>
      <m:oMath>
        <m:r>
          <m:t>S</m:t>
        </m:r>
        <m:r>
          <m:t>M</m:t>
        </m:r>
        <m:sSub>
          <m:e>
            <m:r>
              <m:t>D</m:t>
            </m:r>
          </m:e>
          <m:sub>
            <m:r>
              <m:t>H</m:t>
            </m:r>
          </m:sub>
        </m:sSub>
      </m:oMath>
      <w:r>
        <w:t xml:space="preserve"> </w:t>
      </w:r>
      <w:r>
        <w:t xml:space="preserve">= 0.34, 95% CI = -0.25 to 0.93,</w:t>
      </w:r>
      <w:r>
        <w:t xml:space="preserve"> </w:t>
      </w:r>
      <m:oMath>
        <m:r>
          <m:t>p</m:t>
        </m:r>
      </m:oMath>
      <w:r>
        <w:t xml:space="preserve"> </w:t>
      </w:r>
      <w:r>
        <w:t xml:space="preserve">= 0.25;</w:t>
      </w:r>
      <w:r>
        <w:t xml:space="preserve"> </w:t>
      </w:r>
      <w:hyperlink w:anchor="fig-orchard_int">
        <w:r>
          <w:rPr>
            <w:rStyle w:val="Hyperlink"/>
          </w:rPr>
          <w:t xml:space="preserve">Figure 2</w:t>
        </w:r>
      </w:hyperlink>
      <w:r>
        <w:t xml:space="preserve">a). However, effect heterogeneity was high (95% Prediction Intervals: -1.66 to 2.34;</w:t>
      </w:r>
      <w:r>
        <w:t xml:space="preserve"> </w:t>
      </w:r>
      <w:hyperlink w:anchor="tbl-heterogeneity">
        <w:r>
          <w:rPr>
            <w:rStyle w:val="Hyperlink"/>
          </w:rPr>
          <w:t xml:space="preserve">Table 1</w:t>
        </w:r>
      </w:hyperlink>
      <w:r>
        <w:t xml:space="preserve">), with 9.49</w:t>
      </w:r>
      <w:r>
        <w:t xml:space="preserve">^{-7}% of variation being driven by the type of tissue measured (</w:t>
      </w:r>
      <m:oMath>
        <m:sSubSup>
          <m:e>
            <m:r>
              <m:t>I</m:t>
            </m:r>
          </m:e>
          <m:sub>
            <m:r>
              <m:t>t</m:t>
            </m:r>
            <m:r>
              <m:t>i</m:t>
            </m:r>
            <m:r>
              <m:t>s</m:t>
            </m:r>
            <m:r>
              <m:t>s</m:t>
            </m:r>
            <m:r>
              <m:t>u</m:t>
            </m:r>
            <m:r>
              <m:t>e</m:t>
            </m:r>
          </m:sub>
          <m:sup>
            <m:r>
              <m:t>2</m:t>
            </m:r>
          </m:sup>
        </m:sSubSup>
      </m:oMath>
      <w:r>
        <w:t xml:space="preserve">;</w:t>
      </w:r>
      <w:r>
        <w:t xml:space="preserve"> </w:t>
      </w:r>
      <w:hyperlink w:anchor="tbl-heterogeneity">
        <w:r>
          <w:rPr>
            <w:rStyle w:val="Hyperlink"/>
          </w:rPr>
          <w:t xml:space="preserve">Table 1</w:t>
        </w:r>
      </w:hyperlink>
      <w:r>
        <w:t xml:space="preserve">) with little to no variation explained by species/phylogeny and very small amount of between study variation (</w:t>
      </w:r>
      <w:hyperlink w:anchor="tbl-heterogeneity">
        <w:r>
          <w:rPr>
            <w:rStyle w:val="Hyperlink"/>
          </w:rPr>
          <w:t xml:space="preserve">Table 1</w:t>
        </w:r>
      </w:hyperlink>
      <w:r>
        <w:t xml:space="preserve">).</w:t>
      </w:r>
    </w:p>
    <w:bookmarkEnd w:id="30"/>
    <w:bookmarkStart w:id="31" w:name="X3eaa2f4fc97f53eb296ff61b4cde54c31beee68"/>
    <w:p>
      <w:pPr>
        <w:pStyle w:val="Heading2"/>
      </w:pPr>
      <w:r>
        <w:t xml:space="preserve">Social deprivation developmental impacts on mitochondrial function</w:t>
      </w:r>
    </w:p>
    <w:p>
      <w:pPr>
        <w:pStyle w:val="FirstParagraph"/>
      </w:pPr>
      <w:r>
        <w:t xml:space="preserve">Social deprivation during development had a negative impact on mitochondrial function (</w:t>
      </w:r>
      <m:oMath>
        <m:r>
          <m:t>S</m:t>
        </m:r>
        <m:r>
          <m:t>M</m:t>
        </m:r>
        <m:sSub>
          <m:e>
            <m:r>
              <m:t>D</m:t>
            </m:r>
          </m:e>
          <m:sub>
            <m:r>
              <m:t>H</m:t>
            </m:r>
          </m:sub>
        </m:sSub>
      </m:oMath>
      <w:r>
        <w:t xml:space="preserve"> </w:t>
      </w:r>
      <w:r>
        <w:t xml:space="preserve">= 0.04, 95% CI = -0.42 to 0.5,</w:t>
      </w:r>
      <w:r>
        <w:t xml:space="preserve"> </w:t>
      </w:r>
      <m:oMath>
        <m:r>
          <m:t>p</m:t>
        </m:r>
      </m:oMath>
      <w:r>
        <w:t xml:space="preserve"> </w:t>
      </w:r>
      <w:r>
        <w:t xml:space="preserve">= 0.87;</w:t>
      </w:r>
      <w:r>
        <w:t xml:space="preserve"> </w:t>
      </w:r>
      <w:hyperlink w:anchor="fig-orchard_int">
        <w:r>
          <w:rPr>
            <w:rStyle w:val="Hyperlink"/>
          </w:rPr>
          <w:t xml:space="preserve">Figure 2</w:t>
        </w:r>
      </w:hyperlink>
      <w:r>
        <w:t xml:space="preserve">b). Effect heterogeneity was again high (95% Prediction Intervals: -2.67 to 2.75;</w:t>
      </w:r>
      <w:r>
        <w:t xml:space="preserve"> </w:t>
      </w:r>
      <w:hyperlink w:anchor="tbl-heterogeneity">
        <w:r>
          <w:rPr>
            <w:rStyle w:val="Hyperlink"/>
          </w:rPr>
          <w:t xml:space="preserve">Table 1</w:t>
        </w:r>
      </w:hyperlink>
      <w:r>
        <w:t xml:space="preserve">), with only a small amount of variation across studies (</w:t>
      </w:r>
      <m:oMath>
        <m:sSubSup>
          <m:e>
            <m:r>
              <m:t>I</m:t>
            </m:r>
          </m:e>
          <m:sub>
            <m:r>
              <m:t>s</m:t>
            </m:r>
            <m:r>
              <m:t>t</m:t>
            </m:r>
            <m:r>
              <m:t>u</m:t>
            </m:r>
            <m:r>
              <m:t>d</m:t>
            </m:r>
            <m:r>
              <m:t>y</m:t>
            </m:r>
          </m:sub>
          <m:sup>
            <m:r>
              <m:t>2</m:t>
            </m:r>
          </m:sup>
        </m:sSubSup>
      </m:oMath>
      <w:r>
        <w:t xml:space="preserve"> </w:t>
      </w:r>
      <w:r>
        <w:t xml:space="preserve">= 16.78%) and little to no variation explained by species/phylogeny (</w:t>
      </w:r>
      <w:hyperlink w:anchor="tbl-heterogeneity">
        <w:r>
          <w:rPr>
            <w:rStyle w:val="Hyperlink"/>
          </w:rPr>
          <w:t xml:space="preserve">Table 1</w:t>
        </w:r>
      </w:hyperlink>
      <w:r>
        <w:t xml:space="preserve">).</w:t>
      </w:r>
    </w:p>
    <w:bookmarkEnd w:id="31"/>
    <w:bookmarkStart w:id="32" w:name="X1993f06334642c2668eb710601bf8c404293b64"/>
    <w:p>
      <w:pPr>
        <w:pStyle w:val="Heading2"/>
      </w:pPr>
      <w:r>
        <w:t xml:space="preserve">Disturbance developmental impacts on mitochondrial function</w:t>
      </w:r>
    </w:p>
    <w:p>
      <w:pPr>
        <w:pStyle w:val="FirstParagraph"/>
      </w:pPr>
      <w:r>
        <w:t xml:space="preserve">Disturbance during development had a positive impact on mitochondrial function (</w:t>
      </w:r>
      <m:oMath>
        <m:r>
          <m:t>S</m:t>
        </m:r>
        <m:r>
          <m:t>M</m:t>
        </m:r>
        <m:sSub>
          <m:e>
            <m:r>
              <m:t>D</m:t>
            </m:r>
          </m:e>
          <m:sub>
            <m:r>
              <m:t>H</m:t>
            </m:r>
          </m:sub>
        </m:sSub>
      </m:oMath>
      <w:r>
        <w:t xml:space="preserve"> </w:t>
      </w:r>
      <w:r>
        <w:t xml:space="preserve">= 0.66, 95% CI = 0.06 to 1.25,</w:t>
      </w:r>
      <w:r>
        <w:t xml:space="preserve"> </w:t>
      </w:r>
      <m:oMath>
        <m:r>
          <m:t>p</m:t>
        </m:r>
      </m:oMath>
      <w:r>
        <w:t xml:space="preserve"> </w:t>
      </w:r>
      <w:r>
        <w:t xml:space="preserve">= 0.03;</w:t>
      </w:r>
      <w:r>
        <w:t xml:space="preserve"> </w:t>
      </w:r>
      <w:hyperlink w:anchor="fig-orchard_int">
        <w:r>
          <w:rPr>
            <w:rStyle w:val="Hyperlink"/>
          </w:rPr>
          <w:t xml:space="preserve">Figure 2</w:t>
        </w:r>
      </w:hyperlink>
      <w:r>
        <w:t xml:space="preserve">c). Effect heterogeneity was high (95% Prediction Intervals: -2.55 to 3.87;</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38.5%) and species (</w:t>
      </w:r>
      <m:oMath>
        <m:sSubSup>
          <m:e>
            <m:r>
              <m:t>I</m:t>
            </m:r>
          </m:e>
          <m:sub>
            <m:r>
              <m:t>s</m:t>
            </m:r>
            <m:r>
              <m:t>p</m:t>
            </m:r>
            <m:r>
              <m:t>e</m:t>
            </m:r>
            <m:r>
              <m:t>c</m:t>
            </m:r>
            <m:r>
              <m:t>i</m:t>
            </m:r>
            <m:r>
              <m:t>e</m:t>
            </m:r>
            <m:r>
              <m:t>s</m:t>
            </m:r>
          </m:sub>
          <m:sup>
            <m:r>
              <m:t>2</m:t>
            </m:r>
          </m:sup>
        </m:sSubSup>
      </m:oMath>
      <w:r>
        <w:t xml:space="preserve"> </w:t>
      </w:r>
      <w:r>
        <w:t xml:space="preserve">= 1.35</w:t>
      </w:r>
      <w:r>
        <w:t xml:space="preserve">^{-6}%) (</w:t>
      </w:r>
      <w:hyperlink w:anchor="tbl-heterogeneity">
        <w:r>
          <w:rPr>
            <w:rStyle w:val="Hyperlink"/>
          </w:rPr>
          <w:t xml:space="preserve">Table 1</w:t>
        </w:r>
      </w:hyperlink>
      <w:r>
        <w:t xml:space="preserve">).</w:t>
      </w:r>
    </w:p>
    <w:bookmarkEnd w:id="32"/>
    <w:bookmarkStart w:id="37" w:name="Xa705be15309f24333faaeb6831ae288750d7037"/>
    <w:p>
      <w:pPr>
        <w:pStyle w:val="Heading2"/>
      </w:pPr>
      <w:r>
        <w:t xml:space="preserve">Nutrition developmental impacts on mitochondrial function</w:t>
      </w:r>
    </w:p>
    <w:p>
      <w:pPr>
        <w:pStyle w:val="FirstParagraph"/>
      </w:pPr>
      <w:r>
        <w:t xml:space="preserve">Nutritional stress during development also had limited impact on mitochondrial function overall (</w:t>
      </w:r>
      <m:oMath>
        <m:r>
          <m:t>S</m:t>
        </m:r>
        <m:r>
          <m:t>M</m:t>
        </m:r>
        <m:sSub>
          <m:e>
            <m:r>
              <m:t>D</m:t>
            </m:r>
          </m:e>
          <m:sub>
            <m:r>
              <m:t>H</m:t>
            </m:r>
          </m:sub>
        </m:sSub>
      </m:oMath>
      <w:r>
        <w:t xml:space="preserve"> </w:t>
      </w:r>
      <w:r>
        <w:t xml:space="preserve">= 0.1, 95% CI = -0.28 to 0.47,</w:t>
      </w:r>
      <w:r>
        <w:t xml:space="preserve"> </w:t>
      </w:r>
      <m:oMath>
        <m:r>
          <m:t>p</m:t>
        </m:r>
      </m:oMath>
      <w:r>
        <w:t xml:space="preserve"> </w:t>
      </w:r>
      <w:r>
        <w:t xml:space="preserve">= 0.62;</w:t>
      </w:r>
      <w:r>
        <w:t xml:space="preserve"> </w:t>
      </w:r>
      <w:hyperlink w:anchor="fig-orchard_int">
        <w:r>
          <w:rPr>
            <w:rStyle w:val="Hyperlink"/>
          </w:rPr>
          <w:t xml:space="preserve">Figure 2</w:t>
        </w:r>
      </w:hyperlink>
      <w:r>
        <w:t xml:space="preserve">d), but as expected, effect heterogeneity was high (95% Prediction Intervals: -2.46 to 2.65;</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22.34%;</w:t>
      </w:r>
      <w:r>
        <w:t xml:space="preserve"> </w:t>
      </w:r>
      <w:hyperlink w:anchor="tbl-heterogeneity">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orchard_int"/>
          <w:p>
            <w:pPr>
              <w:pStyle w:val="Compact"/>
              <w:jc w:val="center"/>
            </w:pPr>
            <w:r>
              <w:drawing>
                <wp:inline>
                  <wp:extent cx="6680200" cy="8544441"/>
                  <wp:effectExtent b="0" l="0" r="0" t="0"/>
                  <wp:docPr descr="" title="" id="34" name="Picture"/>
                  <a:graphic>
                    <a:graphicData uri="http://schemas.openxmlformats.org/drawingml/2006/picture">
                      <pic:pic>
                        <pic:nvPicPr>
                          <pic:cNvPr descr="results_files/figure-docx/fig-orchard_int-1.png" id="35" name="Picture"/>
                          <pic:cNvPicPr>
                            <a:picLocks noChangeArrowheads="1" noChangeAspect="1"/>
                          </pic:cNvPicPr>
                        </pic:nvPicPr>
                        <pic:blipFill>
                          <a:blip r:embed="rId33"/>
                          <a:stretch>
                            <a:fillRect/>
                          </a:stretch>
                        </pic:blipFill>
                        <pic:spPr bwMode="auto">
                          <a:xfrm>
                            <a:off x="0" y="0"/>
                            <a:ext cx="6680200" cy="85444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Orchard plots showing the overall meta-analytic mean effect size and 95% prediction intervals for each stressor category.</w:t>
            </w:r>
          </w:p>
          <w:bookmarkEnd w:id="36"/>
        </w:tc>
      </w:tr>
    </w:tbl>
    <w:bookmarkEnd w:id="37"/>
    <w:bookmarkEnd w:id="38"/>
    <w:bookmarkStart w:id="54" w:name="references"/>
    <w:p>
      <w:pPr>
        <w:pStyle w:val="Heading1"/>
      </w:pPr>
      <w:r>
        <w:t xml:space="preserve">References</w:t>
      </w:r>
    </w:p>
    <w:bookmarkStart w:id="53" w:name="refs"/>
    <w:bookmarkStart w:id="39"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39"/>
    <w:bookmarkStart w:id="40"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40"/>
    <w:bookmarkStart w:id="41"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41"/>
    <w:bookmarkStart w:id="42"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42"/>
    <w:bookmarkStart w:id="43"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43"/>
    <w:bookmarkStart w:id="44"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44"/>
    <w:bookmarkStart w:id="45"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45"/>
    <w:bookmarkStart w:id="46"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46"/>
    <w:bookmarkStart w:id="47"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47"/>
    <w:bookmarkStart w:id="48"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48"/>
    <w:bookmarkStart w:id="49"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49"/>
    <w:bookmarkStart w:id="50"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50"/>
    <w:bookmarkStart w:id="51" w:name="ref-Yang2023"/>
    <w:p>
      <w:pPr>
        <w:pStyle w:val="Bibliography"/>
      </w:pPr>
      <w:r>
        <w:rPr>
          <w:smallCaps/>
        </w:rPr>
        <w:t xml:space="preserve">Yang, Y.</w:t>
      </w:r>
      <w:r>
        <w:t xml:space="preserve">,</w:t>
      </w:r>
      <w:r>
        <w:t xml:space="preserve"> </w:t>
      </w:r>
      <w:r>
        <w:rPr>
          <w:smallCaps/>
        </w:rPr>
        <w:t xml:space="preserve">Noble, D.W.</w:t>
      </w:r>
      <w:r>
        <w:t xml:space="preserve">,</w:t>
      </w:r>
      <w:r>
        <w:t xml:space="preserve"> </w:t>
      </w:r>
      <w:r>
        <w:rPr>
          <w:smallCaps/>
        </w:rPr>
        <w:t xml:space="preserve">Spake, R.</w:t>
      </w:r>
      <w:r>
        <w:t xml:space="preserve">,</w:t>
      </w:r>
      <w:r>
        <w:t xml:space="preserve"> </w:t>
      </w:r>
      <w:r>
        <w:rPr>
          <w:smallCaps/>
        </w:rPr>
        <w:t xml:space="preserve">Senior, A.M.</w:t>
      </w:r>
      <w:r>
        <w:t xml:space="preserve">,</w:t>
      </w:r>
      <w:r>
        <w:t xml:space="preserve"> </w:t>
      </w:r>
      <w:r>
        <w:rPr>
          <w:smallCaps/>
        </w:rPr>
        <w:t xml:space="preserve">Lagisz, M.</w:t>
      </w:r>
      <w:r>
        <w:t xml:space="preserve"> </w:t>
      </w:r>
      <w:r>
        <w:t xml:space="preserve">&amp;</w:t>
      </w:r>
      <w:r>
        <w:t xml:space="preserve"> </w:t>
      </w:r>
      <w:r>
        <w:rPr>
          <w:smallCaps/>
        </w:rPr>
        <w:t xml:space="preserve">Nakagawa, S.</w:t>
      </w:r>
      <w:r>
        <w:t xml:space="preserve"> </w:t>
      </w:r>
      <w:r>
        <w:t xml:space="preserve">(2023) Measuring biological generality in meta-analysis: A pluralistic approach to heterogeneity quantification and stratification.</w:t>
      </w:r>
      <w:r>
        <w:t xml:space="preserve"> </w:t>
      </w:r>
      <w:r>
        <w:rPr>
          <w:i/>
          <w:iCs/>
        </w:rPr>
        <w:t xml:space="preserve">EcoEvoRxiv</w:t>
      </w:r>
      <w:r>
        <w:t xml:space="preserve">.</w:t>
      </w:r>
    </w:p>
    <w:bookmarkEnd w:id="51"/>
    <w:bookmarkStart w:id="52"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52"/>
    <w:bookmarkEnd w:id="53"/>
    <w:bookmarkEnd w:id="54"/>
    <w:sectPr w:rsidR="00F75478" w:rsidSect="00074B3C">
      <w:pgSz w:h="15840" w:w="12240"/>
      <w:pgMar w:bottom="1134" w:footer="720" w:gutter="0" w:header="720" w:left="851" w:right="851"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16cid:durableId="1063213114" w:numId="3">
    <w:abstractNumId w:val="0"/>
  </w:num>
  <w:num w16cid:durableId="1194343130" w:numId="4">
    <w:abstractNumId w:val="0"/>
  </w:num>
  <w:num w16cid:durableId="2007049763" w:numId="5">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36E2F"/>
    <w:rsid w:val="00074B3C"/>
    <w:rsid w:val="000F64AC"/>
    <w:rsid w:val="003335E6"/>
    <w:rsid w:val="00464B1F"/>
    <w:rsid w:val="00555E4A"/>
    <w:rsid w:val="00605CB1"/>
    <w:rsid w:val="00682FBB"/>
    <w:rsid w:val="008E4461"/>
    <w:rsid w:val="009020E2"/>
    <w:rsid w:val="00BC137F"/>
    <w:rsid w:val="00BD308D"/>
    <w:rsid w:val="00C90626"/>
    <w:rsid w:val="00D416B8"/>
    <w:rsid w:val="00F75478"/>
    <w:rsid w:val="00F974D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6E2F"/>
    <w:rPr>
      <w:rFonts w:ascii="Times New Roman" w:hAnsi="Times New Roman"/>
    </w:rPr>
  </w:style>
  <w:style w:styleId="Heading1" w:type="paragraph">
    <w:name w:val="heading 1"/>
    <w:basedOn w:val="Normal"/>
    <w:next w:val="BodyText"/>
    <w:link w:val="Heading1Char"/>
    <w:uiPriority w:val="9"/>
    <w:qFormat/>
    <w:rsid w:val="008E4461"/>
    <w:pPr>
      <w:keepNext/>
      <w:keepLines/>
      <w:spacing w:after="80" w:before="360"/>
      <w:outlineLvl w:val="0"/>
    </w:pPr>
    <w:rPr>
      <w:rFonts w:cstheme="majorBidi" w:eastAsiaTheme="majorEastAsia"/>
      <w:color w:themeColor="text1" w:val="000000"/>
      <w:sz w:val="40"/>
      <w:szCs w:val="40"/>
    </w:rPr>
  </w:style>
  <w:style w:styleId="Heading2" w:type="paragraph">
    <w:name w:val="heading 2"/>
    <w:basedOn w:val="Normal"/>
    <w:next w:val="BodyText"/>
    <w:link w:val="Heading2Char"/>
    <w:uiPriority w:val="9"/>
    <w:semiHidden/>
    <w:unhideWhenUsed/>
    <w:qFormat/>
    <w:rsid w:val="00682FBB"/>
    <w:pPr>
      <w:keepNext/>
      <w:keepLines/>
      <w:spacing w:after="80" w:before="160"/>
      <w:outlineLvl w:val="1"/>
    </w:pPr>
    <w:rPr>
      <w:rFonts w:cstheme="majorBidi" w:eastAsiaTheme="majorEastAsia"/>
      <w:color w:themeColor="text1" w:val="000000"/>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682FBB"/>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036E2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036E2F"/>
    <w:rPr>
      <w:rFonts w:ascii="Times New Roman" w:hAnsi="Times New Roman"/>
      <w:color w:themeColor="text1" w:val="000000"/>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rsid w:val="00036E2F"/>
    <w:rPr>
      <w:color w:themeColor="followedHyperlink"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2025-07-01T00:44:21Z</dcterms:created>
  <dcterms:modified xsi:type="dcterms:W3CDTF">2025-07-01T00:44:21Z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