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82DF9" w14:textId="77777777" w:rsidR="00313D42" w:rsidRDefault="00000000">
      <w:pPr>
        <w:pStyle w:val="Heading1"/>
      </w:pPr>
      <w:bookmarkStart w:id="0" w:name="methods"/>
      <w:r>
        <w:t>Methods</w:t>
      </w:r>
    </w:p>
    <w:p w14:paraId="6F2886BD" w14:textId="77777777" w:rsidR="00313D42" w:rsidRDefault="00000000">
      <w:pPr>
        <w:pStyle w:val="Heading3"/>
      </w:pPr>
      <w:bookmarkStart w:id="1" w:name="effect-size"/>
      <w:r>
        <w:rPr>
          <w:i/>
          <w:iCs/>
        </w:rPr>
        <w:t>Effect size</w:t>
      </w:r>
    </w:p>
    <w:p w14:paraId="00C60656" w14:textId="77777777" w:rsidR="00313D42"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47EDC684" w14:textId="77777777" w:rsidR="00313D42"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07E5956B" w14:textId="77777777" w:rsidR="00313D42"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0DA1D230" w14:textId="77777777" w:rsidR="00313D42" w:rsidRDefault="00000000">
      <w:pPr>
        <w:pStyle w:val="Heading3"/>
      </w:pPr>
      <w:bookmarkStart w:id="2" w:name="meta-analysis"/>
      <w:bookmarkEnd w:id="1"/>
      <w:r>
        <w:rPr>
          <w:i/>
          <w:iCs/>
        </w:rPr>
        <w:t>Meta-Analysis</w:t>
      </w:r>
    </w:p>
    <w:p w14:paraId="14092447" w14:textId="77777777" w:rsidR="00313D42"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3DC16B0B" w14:textId="77777777" w:rsidR="00313D42" w:rsidRDefault="00000000">
      <w:pPr>
        <w:pStyle w:val="Heading4"/>
      </w:pPr>
      <w:bookmarkStart w:id="3" w:name="multi-level-meta-analysis-mlma-models"/>
      <w:r>
        <w:t>Multi-level Meta-analysis (MLMA) Models</w:t>
      </w:r>
    </w:p>
    <w:p w14:paraId="40346820" w14:textId="77777777" w:rsidR="00313D42"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(Table </w:t>
      </w:r>
      <w:hyperlink w:anchor="tbl-heterogeneity">
        <w:r>
          <w:rPr>
            <w:rStyle w:val="Hyperlink"/>
          </w:rPr>
          <w:t>1</w:t>
        </w:r>
      </w:hyperlink>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from future studies (Nakagawa </w:t>
      </w:r>
      <w:r>
        <w:rPr>
          <w:i/>
          <w:iCs/>
        </w:rPr>
        <w:t>et al.</w:t>
      </w:r>
      <w:r>
        <w:t xml:space="preserve">, 2021; Noble </w:t>
      </w:r>
      <w:r>
        <w:rPr>
          <w:i/>
          <w:iCs/>
        </w:rPr>
        <w:t>et al.</w:t>
      </w:r>
      <w:r>
        <w:t>, 2022).</w:t>
      </w:r>
    </w:p>
    <w:p w14:paraId="358B7961" w14:textId="77777777" w:rsidR="00313D42"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42BC4B57" w14:textId="77777777" w:rsidR="00313D42" w:rsidRDefault="00000000">
      <w:pPr>
        <w:pStyle w:val="Heading4"/>
      </w:pPr>
      <w:bookmarkStart w:id="4" w:name="multi-level-meta-regression-mlmr-models"/>
      <w:bookmarkEnd w:id="3"/>
      <w:r>
        <w:t>Multi-level Meta-Regression (MLMR) Models</w:t>
      </w:r>
    </w:p>
    <w:p w14:paraId="4CA31EEC" w14:textId="77777777" w:rsidR="00313D42" w:rsidRDefault="00000000">
      <w:pPr>
        <w:pStyle w:val="FirstParagraph"/>
      </w:pPr>
      <w:r>
        <w:t>After quantifying levels of heterogeneity in each of the different stressor datasets, we fit a series of multi-level meta-regression (MLMR) models to test our key questions. In all models, we included the same random effects as we used in our MLMA models. A number of moderators were relevant to all stressor manipulation types and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 to capture differences in effect variation within groups.</w:t>
      </w:r>
    </w:p>
    <w:p w14:paraId="28E6272A" w14:textId="77777777" w:rsidR="00313D42" w:rsidRDefault="00000000">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fat, protein, total food or carbohydrate manipulation). We expected that the different measurement trait categories may exhibit different responses to nutritional stress and so we also included an interaction between measurement category and whether the study over/under manipulated nutrition. We did not have enough data to estimate an interaction between manipulation type and functional category. We fit three models that included: 1) only nutrition type as a moderator, 2) only under/over nutrition as a moderator and 3) a combined model with both main effects. We evaluated support among models using AIC, choosing the simplest model (fewest estimated parameters) when the </w:t>
      </w:r>
      <m:oMath>
        <m:r>
          <w:rPr>
            <w:rFonts w:ascii="Cambria Math" w:hAnsi="Cambria Math"/>
          </w:rPr>
          <m:t>Δ</m:t>
        </m:r>
      </m:oMath>
      <w:r>
        <w:t>AIC values were within 2 units of each other.</w:t>
      </w:r>
    </w:p>
    <w:p w14:paraId="20795186" w14:textId="77777777" w:rsidR="00313D42" w:rsidRDefault="00000000">
      <w:pPr>
        <w:pStyle w:val="Heading4"/>
      </w:pPr>
      <w:bookmarkStart w:id="5" w:name="X9a3b5251525363632c985bd5ca27e2e55fc0316"/>
      <w:bookmarkEnd w:id="4"/>
      <w:r>
        <w:t>Sensitivity Analyses and Publication Bias</w:t>
      </w:r>
    </w:p>
    <w:p w14:paraId="69393E4B" w14:textId="77777777" w:rsidR="00313D42" w:rsidRDefault="00000000">
      <w:pPr>
        <w:pStyle w:val="FirstParagraph"/>
      </w:pPr>
      <w:r>
        <w:t xml:space="preserve">Publication bias was checked by first visually exploring plots between each effect size and its precision (1 / SE) for each stressor type (i.e., funnel plots). Importantly, funnel asymmetry can be caused by non-independence and high heterogeneity. As such, we tested for publication bias more formally by altering our overall MLMA models to include the square root inverse effective sample size as a moderator (Nakagawa </w:t>
      </w:r>
      <w:r>
        <w:rPr>
          <w:i/>
          <w:iCs/>
        </w:rPr>
        <w:t>et al.</w:t>
      </w:r>
      <w:r>
        <w:t xml:space="preserve">, 2022). We used the inverse effective sample size because the sampling variance of SMDH includes the effect size itself in its calculation inducing a correlation (Nakagawa </w:t>
      </w:r>
      <w:r>
        <w:rPr>
          <w:i/>
          <w:iCs/>
        </w:rPr>
        <w:t>et al.</w:t>
      </w:r>
      <w:r>
        <w:t xml:space="preserve">, 2022). This method allows one to test for publication bias inferentially. When the slope of the moderator is significantly different from zero, it indicates that publication bias is potentially present. If the slope was significant, we refit models with the inverse effective sample size (not square rooted) because this provides an unbiased estimate of the meta-analytic mean (intercept) (Nakagawa </w:t>
      </w:r>
      <w:r>
        <w:rPr>
          <w:i/>
          <w:iCs/>
        </w:rPr>
        <w:t>et al.</w:t>
      </w:r>
      <w:r>
        <w:t>, 2022). Of course, we can never be certain publication bias is truly ever present so these analyses should be viewed as a sensitivity analysis to check the robustness of our results.</w:t>
      </w:r>
    </w:p>
    <w:p w14:paraId="5417C16D" w14:textId="77777777" w:rsidR="00313D42" w:rsidRDefault="00000000">
      <w:pPr>
        <w:pStyle w:val="BodyText"/>
      </w:pPr>
      <w:r>
        <w:t xml:space="preserve">Effect sizes in two datasets were very large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r>
          <m:rPr>
            <m:sty m:val="p"/>
          </m:rPr>
          <w:rPr>
            <w:rFonts w:ascii="Cambria Math" w:hAnsi="Cambria Math"/>
          </w:rPr>
          <m:t>&lt;-</m:t>
        </m:r>
        <m:r>
          <w:rPr>
            <w:rFonts w:ascii="Cambria Math" w:hAnsi="Cambria Math"/>
          </w:rPr>
          <m:t>20</m:t>
        </m:r>
      </m:oMath>
      <w:r>
        <w:t xml:space="preserve">). We checked the data extraction and summary statistics for these (and other data) to ensure they were correctly extracted. However, in all cases they were correct. To ensure that our results were not impacted by these extreme effect sizes we also conducted a sensitivity analysis to check the robustness of our results by refitting the models for these two datasets (nutrition and disturbance) excluding these large effect sizes and compared the results to the original </w:t>
      </w:r>
      <w:r>
        <w:lastRenderedPageBreak/>
        <w:t xml:space="preserve">models. In both cases, overall meta-analytic means were unaffected by the inclusion of these extreme effect sizes (See </w:t>
      </w:r>
      <w:r>
        <w:rPr>
          <w:i/>
          <w:iCs/>
        </w:rPr>
        <w:t>Supplementary Material</w:t>
      </w:r>
      <w:r>
        <w:t>).</w:t>
      </w:r>
    </w:p>
    <w:p w14:paraId="2E6447F1" w14:textId="77777777" w:rsidR="00313D42" w:rsidRDefault="00000000">
      <w:pPr>
        <w:pStyle w:val="Heading1"/>
      </w:pPr>
      <w:bookmarkStart w:id="6" w:name="results"/>
      <w:bookmarkEnd w:id="0"/>
      <w:bookmarkEnd w:id="2"/>
      <w:bookmarkEnd w:id="5"/>
      <w:r>
        <w:t>Results</w:t>
      </w:r>
    </w:p>
    <w:tbl>
      <w:tblPr>
        <w:tblStyle w:val="Table"/>
        <w:tblW w:w="5000" w:type="pct"/>
        <w:tblLayout w:type="fixed"/>
        <w:tblLook w:val="0000" w:firstRow="0" w:lastRow="0" w:firstColumn="0" w:lastColumn="0" w:noHBand="0" w:noVBand="0"/>
      </w:tblPr>
      <w:tblGrid>
        <w:gridCol w:w="10538"/>
      </w:tblGrid>
      <w:tr w:rsidR="00313D42" w14:paraId="086E0F35" w14:textId="77777777">
        <w:tc>
          <w:tcPr>
            <w:tcW w:w="7920" w:type="dxa"/>
          </w:tcPr>
          <w:p w14:paraId="5828BE1E" w14:textId="77777777" w:rsidR="00313D42" w:rsidRDefault="00000000">
            <w:pPr>
              <w:pStyle w:val="ImageCaption"/>
              <w:spacing w:before="200"/>
            </w:pPr>
            <w:bookmarkStart w:id="7" w:name="tbl-heterogeneity"/>
            <w:r>
              <w:t>Table 1- Relative heterogeneity estimates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sample sizes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number of studies (</w:t>
            </w:r>
            <m:oMath>
              <m:sSub>
                <m:sSubPr>
                  <m:ctrlPr>
                    <w:rPr>
                      <w:rFonts w:ascii="Cambria Math" w:hAnsi="Cambria Math"/>
                    </w:rPr>
                  </m:ctrlPr>
                </m:sSubPr>
                <m:e>
                  <m:r>
                    <w:rPr>
                      <w:rFonts w:ascii="Cambria Math" w:hAnsi="Cambria Math"/>
                    </w:rPr>
                    <m:t>n</m:t>
                  </m:r>
                </m:e>
                <m:sub>
                  <m:r>
                    <w:rPr>
                      <w:rFonts w:ascii="Cambria Math" w:hAnsi="Cambria Math"/>
                    </w:rPr>
                    <m:t>study</m:t>
                  </m:r>
                </m:sub>
              </m:sSub>
            </m:oMath>
            <w:r>
              <w:t>) and number of species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for each of the developmental stressor categories. Relative heterogeneity is reported as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 percent) based on the intercept-only multi-level meta-analytic model. Total heterogeneity, along with stratified version of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(study, phylogeny, tissue type and observation) are also provided. Note we also present other heterogeneity measures in the supplementary material.</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313D42" w14:paraId="62D12080"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126F5F"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476DA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54C0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14A4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0C75E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147B3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77AF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C63AD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CC186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313D42" w14:paraId="10627079"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8BCB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CC01B"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27672"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6B47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5931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8C81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152C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90A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9342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313D42" w14:paraId="71298794"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17D3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C933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8C40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6187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55CBB"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411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3AF1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112F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1997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313D42" w14:paraId="4AF2748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323B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CF89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8C68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488C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EFC9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C708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62F8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94BB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B96BB"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313D42" w14:paraId="11743CDB"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6E1F5C"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5F9F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3680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997B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3E783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97827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74116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CD5D6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8564A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7"/>
          </w:tbl>
          <w:p w14:paraId="334F68A3" w14:textId="77777777" w:rsidR="00000000" w:rsidRDefault="00000000">
            <w:pPr>
              <w:spacing w:after="0"/>
              <w:rPr>
                <w:rFonts w:asciiTheme="minorHAnsi" w:hAnsiTheme="minorHAnsi"/>
              </w:rPr>
            </w:pPr>
          </w:p>
        </w:tc>
      </w:tr>
      <w:tr w:rsidR="00313D42" w14:paraId="13391749" w14:textId="77777777">
        <w:tc>
          <w:tcPr>
            <w:tcW w:w="7920" w:type="dxa"/>
          </w:tcPr>
          <w:p w14:paraId="014A1D81" w14:textId="77777777" w:rsidR="00313D42" w:rsidRDefault="00000000">
            <w:pPr>
              <w:pStyle w:val="Compact"/>
              <w:jc w:val="center"/>
            </w:pPr>
            <w:bookmarkStart w:id="8" w:name="fig-phylo"/>
            <w:r>
              <w:rPr>
                <w:noProof/>
              </w:rPr>
              <w:lastRenderedPageBreak/>
              <w:drawing>
                <wp:inline distT="0" distB="0" distL="0" distR="0" wp14:anchorId="7DF0F515" wp14:editId="1FF727E2">
                  <wp:extent cx="3942012" cy="549557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results_files/figure-docx/fig-phylo-1.png"/>
                          <pic:cNvPicPr>
                            <a:picLocks noChangeAspect="1" noChangeArrowheads="1"/>
                          </pic:cNvPicPr>
                        </pic:nvPicPr>
                        <pic:blipFill>
                          <a:blip r:embed="rId5"/>
                          <a:stretch>
                            <a:fillRect/>
                          </a:stretch>
                        </pic:blipFill>
                        <pic:spPr bwMode="auto">
                          <a:xfrm>
                            <a:off x="0" y="0"/>
                            <a:ext cx="3942012" cy="5495574"/>
                          </a:xfrm>
                          <a:prstGeom prst="rect">
                            <a:avLst/>
                          </a:prstGeom>
                          <a:noFill/>
                          <a:ln w="9525">
                            <a:noFill/>
                            <a:headEnd/>
                            <a:tailEnd/>
                          </a:ln>
                        </pic:spPr>
                      </pic:pic>
                    </a:graphicData>
                  </a:graphic>
                </wp:inline>
              </w:drawing>
            </w:r>
          </w:p>
          <w:p w14:paraId="135A88A7" w14:textId="77777777" w:rsidR="00313D42" w:rsidRDefault="00000000">
            <w:pPr>
              <w:pStyle w:val="ImageCaption"/>
              <w:spacing w:before="200"/>
            </w:pPr>
            <w:r>
              <w:rPr>
                <w:b/>
                <w:bCs/>
              </w:rPr>
              <w:t>Figure</w:t>
            </w:r>
            <w:r>
              <w:t xml:space="preserve"> 1- </w:t>
            </w:r>
            <w:r>
              <w:rPr>
                <w:b/>
                <w:bCs/>
              </w:rPr>
              <w:t>Phylogeny of species included in the meta-analysis</w:t>
            </w:r>
            <w:r>
              <w:t xml:space="preserve">. Phylogenetic relationships and divergence times are based on TimeTree [timetree.org; Kumar </w:t>
            </w:r>
            <w:r>
              <w:rPr>
                <w:i/>
                <w:iCs/>
              </w:rPr>
              <w:t>et al.</w:t>
            </w:r>
            <w:r>
              <w:t xml:space="preserve"> (2022)]. The phylogeny was pruned to only include species in the dataset.</w:t>
            </w:r>
          </w:p>
        </w:tc>
        <w:bookmarkEnd w:id="8"/>
      </w:tr>
    </w:tbl>
    <w:p w14:paraId="103EF55F" w14:textId="77777777" w:rsidR="00313D42" w:rsidRDefault="00000000">
      <w:pPr>
        <w:pStyle w:val="BodyText"/>
      </w:pPr>
      <w:r>
        <w:t>In total, we collected 1147 effect sizes from 21 species (</w:t>
      </w:r>
      <w:hyperlink w:anchor="fig-phylo">
        <w:r>
          <w:rPr>
            <w:rStyle w:val="Hyperlink"/>
          </w:rPr>
          <w:t>Figure 1</w:t>
        </w:r>
      </w:hyperlink>
      <w:r>
        <w:t xml:space="preserve">) and 86 studies across the different stressors (Table </w:t>
      </w:r>
      <w:hyperlink w:anchor="tbl-heterogeneity">
        <w:r>
          <w:rPr>
            <w:rStyle w:val="Hyperlink"/>
          </w:rPr>
          <w:t>1</w:t>
        </w:r>
      </w:hyperlink>
      <w:r>
        <w:t>). There were clear taxonomic biases. The majority of effects came from studies on mammals (effects = 951, studies = 64), and these were only from 4 species (</w:t>
      </w:r>
      <w:r>
        <w:rPr>
          <w:i/>
          <w:iCs/>
        </w:rPr>
        <w:t>Mus musculus</w:t>
      </w:r>
      <w:r>
        <w:t xml:space="preserve">, </w:t>
      </w:r>
      <w:r>
        <w:rPr>
          <w:i/>
          <w:iCs/>
        </w:rPr>
        <w:t>Rattus norvegicus</w:t>
      </w:r>
      <w:r>
        <w:t xml:space="preserve">, </w:t>
      </w:r>
      <w:r>
        <w:rPr>
          <w:i/>
          <w:iCs/>
        </w:rPr>
        <w:t>Ovis aries</w:t>
      </w:r>
      <w:r>
        <w:t xml:space="preserve"> and </w:t>
      </w:r>
      <w:r>
        <w:rPr>
          <w:i/>
          <w:iCs/>
        </w:rPr>
        <w:t>Capra hircus</w:t>
      </w:r>
      <w:r>
        <w:t>). Fish had the second most effects (105, species = 9 and studies = 10) followed by birds (75, species = 6 and studies = 11) and amphibians (16, species = 2 from only 1 study).</w:t>
      </w:r>
    </w:p>
    <w:tbl>
      <w:tblPr>
        <w:tblStyle w:val="Table"/>
        <w:tblW w:w="5000" w:type="pct"/>
        <w:tblLayout w:type="fixed"/>
        <w:tblLook w:val="0000" w:firstRow="0" w:lastRow="0" w:firstColumn="0" w:lastColumn="0" w:noHBand="0" w:noVBand="0"/>
      </w:tblPr>
      <w:tblGrid>
        <w:gridCol w:w="10538"/>
      </w:tblGrid>
      <w:tr w:rsidR="00313D42" w14:paraId="16FE2C91" w14:textId="77777777">
        <w:tc>
          <w:tcPr>
            <w:tcW w:w="7920" w:type="dxa"/>
          </w:tcPr>
          <w:p w14:paraId="5A57EEED" w14:textId="77777777" w:rsidR="00313D42" w:rsidRDefault="00000000">
            <w:pPr>
              <w:pStyle w:val="Compact"/>
              <w:jc w:val="center"/>
            </w:pPr>
            <w:bookmarkStart w:id="9" w:name="fig-orchard_int"/>
            <w:r>
              <w:rPr>
                <w:noProof/>
              </w:rPr>
              <w:lastRenderedPageBreak/>
              <w:drawing>
                <wp:inline distT="0" distB="0" distL="0" distR="0" wp14:anchorId="67C1C950" wp14:editId="1054F575">
                  <wp:extent cx="6680200" cy="395447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sults_files/figure-docx/fig-orchard_int-1.png"/>
                          <pic:cNvPicPr>
                            <a:picLocks noChangeAspect="1" noChangeArrowheads="1"/>
                          </pic:cNvPicPr>
                        </pic:nvPicPr>
                        <pic:blipFill>
                          <a:blip r:embed="rId6"/>
                          <a:stretch>
                            <a:fillRect/>
                          </a:stretch>
                        </pic:blipFill>
                        <pic:spPr bwMode="auto">
                          <a:xfrm>
                            <a:off x="0" y="0"/>
                            <a:ext cx="6680200" cy="3954477"/>
                          </a:xfrm>
                          <a:prstGeom prst="rect">
                            <a:avLst/>
                          </a:prstGeom>
                          <a:noFill/>
                          <a:ln w="9525">
                            <a:noFill/>
                            <a:headEnd/>
                            <a:tailEnd/>
                          </a:ln>
                        </pic:spPr>
                      </pic:pic>
                    </a:graphicData>
                  </a:graphic>
                </wp:inline>
              </w:drawing>
            </w:r>
          </w:p>
          <w:p w14:paraId="7A75DF23" w14:textId="77777777" w:rsidR="00313D42" w:rsidRDefault="00000000">
            <w:pPr>
              <w:pStyle w:val="ImageCaption"/>
              <w:spacing w:before="200"/>
            </w:pPr>
            <w:r>
              <w:rPr>
                <w:b/>
                <w:bCs/>
              </w:rPr>
              <w:t>Figure</w:t>
            </w:r>
            <w:r>
              <w:t xml:space="preserve"> 2- </w:t>
            </w:r>
            <w:r>
              <w:rPr>
                <w:b/>
                <w:bCs/>
              </w:rPr>
              <w:t>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9"/>
      </w:tr>
    </w:tbl>
    <w:p w14:paraId="30006AE7" w14:textId="77777777" w:rsidR="00313D42" w:rsidRDefault="00000000">
      <w:pPr>
        <w:pStyle w:val="Heading2"/>
      </w:pPr>
      <w:bookmarkStart w:id="10" w:name="Xe2bc17fd9e9f4877f1c79190d12acc279eca167"/>
      <w:r>
        <w:t>Corticosterone developmental impacts on mitochondrial function</w:t>
      </w:r>
    </w:p>
    <w:p w14:paraId="1B11EA8D" w14:textId="77777777" w:rsidR="00313D42"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and there was no strong evidence for publication bias (See </w:t>
      </w:r>
      <w:r>
        <w:rPr>
          <w:i/>
          <w:iCs/>
        </w:rPr>
        <w:t>Supplementary Materials</w:t>
      </w:r>
      <w:r>
        <w:t xml:space="preserve">). Effect heterogeneity was high (95% Prediction Intervals: -3.07 to 1.23;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Table </w:t>
      </w:r>
      <w:hyperlink w:anchor="tbl-heterogeneity">
        <w:r>
          <w:rPr>
            <w:rStyle w:val="Hyperlink"/>
          </w:rPr>
          <w:t>1</w:t>
        </w:r>
      </w:hyperlink>
      <w:r>
        <w:t xml:space="preserve">) with little to no variation explained by phylogeny (Table </w:t>
      </w:r>
      <w:hyperlink w:anchor="tbl-heterogeneity">
        <w:r>
          <w:rPr>
            <w:rStyle w:val="Hyperlink"/>
          </w:rPr>
          <w:t>1</w:t>
        </w:r>
      </w:hyperlink>
      <w:r>
        <w:t>).</w:t>
      </w:r>
    </w:p>
    <w:p w14:paraId="195FD367" w14:textId="77777777" w:rsidR="00313D42" w:rsidRDefault="00000000">
      <w:pPr>
        <w:pStyle w:val="BodyText"/>
      </w:pPr>
      <w:r>
        <w:t>Prenatal exposure to corticosterone had a larger negative impact on mitochondrial function than postnatal exposure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 -2.43 to 0.26), however, this effect was not significant (</w:t>
      </w:r>
      <m:oMath>
        <m:r>
          <w:rPr>
            <w:rFonts w:ascii="Cambria Math" w:hAnsi="Cambria Math"/>
          </w:rPr>
          <m:t>p</m:t>
        </m:r>
      </m:oMath>
      <w:r>
        <w:t xml:space="preserve"> = 0.11; </w:t>
      </w:r>
      <w:hyperlink w:anchor="fig-orchard_prepost">
        <w:r>
          <w:rPr>
            <w:rStyle w:val="Hyperlink"/>
          </w:rPr>
          <w:t>Figure 5</w:t>
        </w:r>
      </w:hyperlink>
      <w:r>
        <w:t>a).</w:t>
      </w:r>
    </w:p>
    <w:p w14:paraId="0C3DE865" w14:textId="77777777" w:rsidR="00313D42" w:rsidRDefault="00000000">
      <w:pPr>
        <w:pStyle w:val="BodyText"/>
      </w:pPr>
      <w:r>
        <w:t>Mitochondrial function was supressed across all major functional categories in a similar fashion with no significant differences among functional categories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3</m:t>
                </m:r>
                <m:r>
                  <m:rPr>
                    <m:sty m:val="p"/>
                  </m:rPr>
                  <w:rPr>
                    <w:rFonts w:ascii="Cambria Math" w:hAnsi="Cambria Math"/>
                  </w:rPr>
                  <m:t>,</m:t>
                </m:r>
                <m:r>
                  <w:rPr>
                    <w:rFonts w:ascii="Cambria Math" w:hAnsi="Cambria Math"/>
                  </w:rPr>
                  <m:t>136</m:t>
                </m:r>
              </m:sub>
            </m:sSub>
          </m:sub>
        </m:sSub>
      </m:oMath>
      <w:r>
        <w:t xml:space="preserve"> = 1.49, </w:t>
      </w:r>
      <m:oMath>
        <m:r>
          <w:rPr>
            <w:rFonts w:ascii="Cambria Math" w:hAnsi="Cambria Math"/>
          </w:rPr>
          <m:t>p</m:t>
        </m:r>
      </m:oMath>
      <w:r>
        <w:t xml:space="preserve"> = 0.22 </w:t>
      </w:r>
      <w:hyperlink w:anchor="fig-orchard_measure">
        <w:r>
          <w:rPr>
            <w:rStyle w:val="Hyperlink"/>
          </w:rPr>
          <w:t>Figure 3</w:t>
        </w:r>
      </w:hyperlink>
      <w:r>
        <w:t xml:space="preserve">a). Treatment with corticostrone supressed respiration and metabolic capacity the greatest (respiraton: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-0.81, 95% CI: -1.58 to -0.05, </w:t>
      </w:r>
      <m:oMath>
        <m:r>
          <w:rPr>
            <w:rFonts w:ascii="Cambria Math" w:hAnsi="Cambria Math"/>
          </w:rPr>
          <m:t>p</m:t>
        </m:r>
      </m:oMath>
      <w:r>
        <w:t xml:space="preserve"> = 0.04;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-1.86 to -0.33, </w:t>
      </w:r>
      <m:oMath>
        <m:r>
          <w:rPr>
            <w:rFonts w:ascii="Cambria Math" w:hAnsi="Cambria Math"/>
          </w:rPr>
          <m:t>p</m:t>
        </m:r>
      </m:oMath>
      <w:r>
        <w:t xml:space="preserve"> = 0.01) and increased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-0.71, 95% CI: -1.49 to 0.07, </w:t>
      </w:r>
      <m:oMath>
        <m:r>
          <w:rPr>
            <w:rFonts w:ascii="Cambria Math" w:hAnsi="Cambria Math"/>
          </w:rPr>
          <m:t>p</m:t>
        </m:r>
      </m:oMath>
      <w:r>
        <w:t xml:space="preserve"> = 0.07).</w:t>
      </w:r>
    </w:p>
    <w:p w14:paraId="3E09133A" w14:textId="77777777" w:rsidR="00313D42" w:rsidRDefault="00000000">
      <w:pPr>
        <w:pStyle w:val="BodyText"/>
      </w:pPr>
      <w:r>
        <w:lastRenderedPageBreak/>
        <w:t>While effects appeared to be stronger in mammals, there were no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137</m:t>
                </m:r>
              </m:sub>
            </m:sSub>
          </m:sub>
        </m:sSub>
      </m:oMath>
      <w:r>
        <w:t xml:space="preserve"> = 0.26, </w:t>
      </w:r>
      <m:oMath>
        <m:r>
          <w:rPr>
            <w:rFonts w:ascii="Cambria Math" w:hAnsi="Cambria Math"/>
          </w:rPr>
          <m:t>p</m:t>
        </m:r>
      </m:oMath>
      <w:r>
        <w:t xml:space="preserve"> = 0.77; </w:t>
      </w:r>
      <w:hyperlink w:anchor="fig-orchard_taxa">
        <w:r>
          <w:rPr>
            <w:rStyle w:val="Hyperlink"/>
          </w:rPr>
          <w:t>Figure 4</w:t>
        </w:r>
      </w:hyperlink>
      <w:r>
        <w:t>a). Overall, mitochondrial function was supressed in mammals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-2.17 to -0.14, </w:t>
      </w:r>
      <m:oMath>
        <m:r>
          <w:rPr>
            <w:rFonts w:ascii="Cambria Math" w:hAnsi="Cambria Math"/>
          </w:rPr>
          <m:t>p</m:t>
        </m:r>
      </m:oMath>
      <w:r>
        <w:t xml:space="preserve"> = 0.03) and fish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-2.55 to 0.26, </w:t>
      </w:r>
      <m:oMath>
        <m:r>
          <w:rPr>
            <w:rFonts w:ascii="Cambria Math" w:hAnsi="Cambria Math"/>
          </w:rPr>
          <m:t>p</m:t>
        </m:r>
      </m:oMath>
      <w:r>
        <w:t xml:space="preserve"> = 0.11), with effects being weaker (albeit still negative) in birds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-0.49, 95% CI: -2.01 to 1.02, </w:t>
      </w:r>
      <m:oMath>
        <m:r>
          <w:rPr>
            <w:rFonts w:ascii="Cambria Math" w:hAnsi="Cambria Math"/>
          </w:rPr>
          <m:t>p</m:t>
        </m:r>
      </m:oMath>
      <w:r>
        <w:t xml:space="preserve"> = 0.52).</w:t>
      </w:r>
    </w:p>
    <w:tbl>
      <w:tblPr>
        <w:tblStyle w:val="Table"/>
        <w:tblW w:w="5000" w:type="pct"/>
        <w:tblLayout w:type="fixed"/>
        <w:tblLook w:val="0000" w:firstRow="0" w:lastRow="0" w:firstColumn="0" w:lastColumn="0" w:noHBand="0" w:noVBand="0"/>
      </w:tblPr>
      <w:tblGrid>
        <w:gridCol w:w="10538"/>
      </w:tblGrid>
      <w:tr w:rsidR="00313D42" w14:paraId="2BD7ACEA" w14:textId="77777777">
        <w:tc>
          <w:tcPr>
            <w:tcW w:w="7920" w:type="dxa"/>
          </w:tcPr>
          <w:p w14:paraId="7D337C2C" w14:textId="77777777" w:rsidR="00313D42" w:rsidRDefault="00000000">
            <w:pPr>
              <w:pStyle w:val="Compact"/>
              <w:jc w:val="center"/>
            </w:pPr>
            <w:bookmarkStart w:id="11" w:name="fig-orchard_measure"/>
            <w:r>
              <w:rPr>
                <w:noProof/>
              </w:rPr>
              <w:drawing>
                <wp:inline distT="0" distB="0" distL="0" distR="0" wp14:anchorId="2659327E" wp14:editId="46F2CCF6">
                  <wp:extent cx="6680200" cy="447362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_files/figure-docx/fig-orchard_measure-1.png"/>
                          <pic:cNvPicPr>
                            <a:picLocks noChangeAspect="1" noChangeArrowheads="1"/>
                          </pic:cNvPicPr>
                        </pic:nvPicPr>
                        <pic:blipFill>
                          <a:blip r:embed="rId7"/>
                          <a:stretch>
                            <a:fillRect/>
                          </a:stretch>
                        </pic:blipFill>
                        <pic:spPr bwMode="auto">
                          <a:xfrm>
                            <a:off x="0" y="0"/>
                            <a:ext cx="6680200" cy="4473624"/>
                          </a:xfrm>
                          <a:prstGeom prst="rect">
                            <a:avLst/>
                          </a:prstGeom>
                          <a:noFill/>
                          <a:ln w="9525">
                            <a:noFill/>
                            <a:headEnd/>
                            <a:tailEnd/>
                          </a:ln>
                        </pic:spPr>
                      </pic:pic>
                    </a:graphicData>
                  </a:graphic>
                </wp:inline>
              </w:drawing>
            </w:r>
          </w:p>
          <w:p w14:paraId="3B2F9799" w14:textId="77777777" w:rsidR="00313D42" w:rsidRDefault="00000000">
            <w:pPr>
              <w:pStyle w:val="ImageCaption"/>
              <w:spacing w:before="200"/>
            </w:pPr>
            <w:r>
              <w:rPr>
                <w:b/>
                <w:bCs/>
              </w:rPr>
              <w:t>Figure</w:t>
            </w:r>
            <w:r>
              <w:t xml:space="preserve"> 3- </w:t>
            </w:r>
            <w:r>
              <w:rPr>
                <w:b/>
                <w:bCs/>
              </w:rPr>
              <w:t>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1"/>
      </w:tr>
    </w:tbl>
    <w:p w14:paraId="0C1148CE" w14:textId="77777777" w:rsidR="00313D42" w:rsidRDefault="00000000">
      <w:pPr>
        <w:pStyle w:val="Heading2"/>
      </w:pPr>
      <w:bookmarkStart w:id="12" w:name="X3eaa2f4fc97f53eb296ff61b4cde54c31beee68"/>
      <w:bookmarkEnd w:id="10"/>
      <w:r>
        <w:t>Social deprivation developmental impacts on mitochondrial function</w:t>
      </w:r>
    </w:p>
    <w:p w14:paraId="0E22B85E" w14:textId="77777777" w:rsidR="00313D42" w:rsidRDefault="00000000">
      <w:pPr>
        <w:pStyle w:val="FirstParagraph"/>
      </w:pPr>
      <w:r>
        <w:t>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and there was also no convincing evidence for publication bias (See </w:t>
      </w:r>
      <w:r>
        <w:rPr>
          <w:i/>
          <w:iCs/>
        </w:rPr>
        <w:t>Supplementary Materials</w:t>
      </w:r>
      <w:r>
        <w:t xml:space="preserve">). Effect heterogeneity was again high (95% Prediction Intervals: -3.43 to 1.82;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w:t>
      </w:r>
    </w:p>
    <w:p w14:paraId="6507A418" w14:textId="77777777" w:rsidR="00313D42" w:rsidRDefault="00000000">
      <w:pPr>
        <w:pStyle w:val="BodyText"/>
      </w:pPr>
      <w:r>
        <w:t xml:space="preserve">Social deprevation studies were only ever done with mammals, and all studies manipulated environments postnatally. Mitochondrial function was supressed across all major functional categories but they did not </w:t>
      </w:r>
      <w:r>
        <w:lastRenderedPageBreak/>
        <w:t>differ significantly from each other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169</m:t>
                </m:r>
              </m:sub>
            </m:sSub>
          </m:sub>
        </m:sSub>
      </m:oMath>
      <w:r>
        <w:t xml:space="preserve"> = 1.7, </w:t>
      </w:r>
      <m:oMath>
        <m:r>
          <w:rPr>
            <w:rFonts w:ascii="Cambria Math" w:hAnsi="Cambria Math"/>
          </w:rPr>
          <m:t>p</m:t>
        </m:r>
      </m:oMath>
      <w:r>
        <w:t xml:space="preserve"> = 0.19; </w:t>
      </w:r>
      <w:hyperlink w:anchor="fig-orchard_measure">
        <w:r>
          <w:rPr>
            <w:rStyle w:val="Hyperlink"/>
          </w:rPr>
          <w:t>Figure 3</w:t>
        </w:r>
      </w:hyperlink>
      <w:r>
        <w:t>b). Effects were more negative for antioxidant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-1.51, 95% CI: -2.48 to -0.53, </w:t>
      </w:r>
      <m:oMath>
        <m:r>
          <w:rPr>
            <w:rFonts w:ascii="Cambria Math" w:hAnsi="Cambria Math"/>
          </w:rPr>
          <m:t>p</m:t>
        </m:r>
      </m:oMath>
      <w:r>
        <w:t xml:space="preserve"> = 0) and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-1.17, 95% CI: -2.03 to -0.32, </w:t>
      </w:r>
      <m:oMath>
        <m:r>
          <w:rPr>
            <w:rFonts w:ascii="Cambria Math" w:hAnsi="Cambria Math"/>
          </w:rPr>
          <m:t>p</m:t>
        </m:r>
      </m:oMath>
      <w:r>
        <w:t xml:space="preserve"> = 0.01). While metabolic capacity was also supressed overall, it was not significantly different from zero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-0.47, 95% CI: -1.03 to 0.1, </w:t>
      </w:r>
      <m:oMath>
        <m:r>
          <w:rPr>
            <w:rFonts w:ascii="Cambria Math" w:hAnsi="Cambria Math"/>
          </w:rPr>
          <m:t>p</m:t>
        </m:r>
      </m:oMath>
      <w:r>
        <w:t xml:space="preserve"> = 0.11; </w:t>
      </w:r>
      <w:hyperlink w:anchor="fig-orchard_measure">
        <w:r>
          <w:rPr>
            <w:rStyle w:val="Hyperlink"/>
          </w:rPr>
          <w:t>Figure 3</w:t>
        </w:r>
      </w:hyperlink>
      <w:r>
        <w:t>b).</w:t>
      </w:r>
    </w:p>
    <w:tbl>
      <w:tblPr>
        <w:tblStyle w:val="Table"/>
        <w:tblW w:w="5000" w:type="pct"/>
        <w:tblLayout w:type="fixed"/>
        <w:tblLook w:val="0000" w:firstRow="0" w:lastRow="0" w:firstColumn="0" w:lastColumn="0" w:noHBand="0" w:noVBand="0"/>
      </w:tblPr>
      <w:tblGrid>
        <w:gridCol w:w="10538"/>
      </w:tblGrid>
      <w:tr w:rsidR="00313D42" w14:paraId="694EBA6A" w14:textId="77777777">
        <w:tc>
          <w:tcPr>
            <w:tcW w:w="7920" w:type="dxa"/>
          </w:tcPr>
          <w:p w14:paraId="712F2487" w14:textId="77777777" w:rsidR="00313D42" w:rsidRDefault="00000000">
            <w:pPr>
              <w:pStyle w:val="Compact"/>
              <w:jc w:val="center"/>
            </w:pPr>
            <w:bookmarkStart w:id="13" w:name="fig-orchard_taxa"/>
            <w:r>
              <w:rPr>
                <w:noProof/>
              </w:rPr>
              <w:drawing>
                <wp:inline distT="0" distB="0" distL="0" distR="0" wp14:anchorId="6BADD441" wp14:editId="06B4A81E">
                  <wp:extent cx="6680200" cy="243951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sults_files/figure-docx/fig-orchard_taxa-1.png"/>
                          <pic:cNvPicPr>
                            <a:picLocks noChangeAspect="1" noChangeArrowheads="1"/>
                          </pic:cNvPicPr>
                        </pic:nvPicPr>
                        <pic:blipFill>
                          <a:blip r:embed="rId8"/>
                          <a:stretch>
                            <a:fillRect/>
                          </a:stretch>
                        </pic:blipFill>
                        <pic:spPr bwMode="auto">
                          <a:xfrm>
                            <a:off x="0" y="0"/>
                            <a:ext cx="6680200" cy="2439513"/>
                          </a:xfrm>
                          <a:prstGeom prst="rect">
                            <a:avLst/>
                          </a:prstGeom>
                          <a:noFill/>
                          <a:ln w="9525">
                            <a:noFill/>
                            <a:headEnd/>
                            <a:tailEnd/>
                          </a:ln>
                        </pic:spPr>
                      </pic:pic>
                    </a:graphicData>
                  </a:graphic>
                </wp:inline>
              </w:drawing>
            </w:r>
          </w:p>
          <w:p w14:paraId="389939E4" w14:textId="77777777" w:rsidR="00313D42" w:rsidRDefault="00000000">
            <w:pPr>
              <w:pStyle w:val="ImageCaption"/>
              <w:spacing w:before="200"/>
            </w:pPr>
            <w:r>
              <w:rPr>
                <w:b/>
                <w:bCs/>
              </w:rPr>
              <w:t>Figure</w:t>
            </w:r>
            <w:r>
              <w:t xml:space="preserve"> 4- </w:t>
            </w:r>
            <w:r>
              <w:rPr>
                <w:b/>
                <w:bCs/>
              </w:rPr>
              <w:t>Overall meta-analytic mean estimates for each taxonomic group (class) across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3"/>
      </w:tr>
    </w:tbl>
    <w:p w14:paraId="0C526581" w14:textId="77777777" w:rsidR="00313D42" w:rsidRDefault="00000000">
      <w:pPr>
        <w:pStyle w:val="Heading2"/>
      </w:pPr>
      <w:bookmarkStart w:id="14" w:name="X1993f06334642c2668eb710601bf8c404293b64"/>
      <w:bookmarkEnd w:id="12"/>
      <w:r>
        <w:t>Disturbance developmental impacts on mitochondrial function</w:t>
      </w:r>
    </w:p>
    <w:p w14:paraId="500CB60B" w14:textId="77777777" w:rsidR="00313D42" w:rsidRDefault="00000000">
      <w:pPr>
        <w:pStyle w:val="FirstParagraph"/>
      </w:pPr>
      <w:r>
        <w:t>Disturbance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However, there was evidence for publication bias, which if truly present, would change the overall meta-analytic mean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(See </w:t>
      </w:r>
      <w:r>
        <w:rPr>
          <w:i/>
          <w:iCs/>
        </w:rPr>
        <w:t>Supplementary Materials</w:t>
      </w:r>
      <w:r>
        <w:t xml:space="preserve">). Effect heterogeneity was high (95% Prediction Intervals: -3.17 to 1.57; Table </w:t>
      </w:r>
      <w:hyperlink w:anchor="tbl-heterogeneity">
        <w:r>
          <w:rPr>
            <w:rStyle w:val="Hyperlink"/>
          </w:rPr>
          <w:t>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57.25%)(Table </w:t>
      </w:r>
      <w:hyperlink w:anchor="tbl-heterogeneity">
        <w:r>
          <w:rPr>
            <w:rStyle w:val="Hyperlink"/>
          </w:rPr>
          <w:t>1</w:t>
        </w:r>
      </w:hyperlink>
      <w:r>
        <w:t>).</w:t>
      </w:r>
    </w:p>
    <w:p w14:paraId="12B095F9" w14:textId="77777777" w:rsidR="00313D42" w:rsidRDefault="00000000">
      <w:pPr>
        <w:pStyle w:val="BodyText"/>
      </w:pPr>
      <w:r>
        <w:t>Impacts of disturbance affected functional categories significantly differently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3.18, </w:t>
      </w:r>
      <m:oMath>
        <m:r>
          <w:rPr>
            <w:rFonts w:ascii="Cambria Math" w:hAnsi="Cambria Math"/>
          </w:rPr>
          <m:t>p</m:t>
        </m:r>
      </m:oMath>
      <w:r>
        <w:t xml:space="preserve"> = 0.04 </w:t>
      </w:r>
      <w:hyperlink w:anchor="fig-orchard_measure">
        <w:r>
          <w:rPr>
            <w:rStyle w:val="Hyperlink"/>
          </w:rPr>
          <w:t>Figure 3</w:t>
        </w:r>
      </w:hyperlink>
      <w:r>
        <w:t>c). Oxidative damage was most impacted by disturbance stress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-1.02, 95% CI: -1.92 to -0.12, </w:t>
      </w:r>
      <m:oMath>
        <m:r>
          <w:rPr>
            <w:rFonts w:ascii="Cambria Math" w:hAnsi="Cambria Math"/>
          </w:rPr>
          <m:t>p</m:t>
        </m:r>
      </m:oMath>
      <w:r>
        <w:t xml:space="preserve"> = 0.03), and differed significantly from antioxidant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-0.62, 95% CI: -1.49 to 0.25, </w:t>
      </w:r>
      <m:oMath>
        <m:r>
          <w:rPr>
            <w:rFonts w:ascii="Cambria Math" w:hAnsi="Cambria Math"/>
          </w:rPr>
          <m:t>p</m:t>
        </m:r>
      </m:oMath>
      <w:r>
        <w:t xml:space="preserve"> = 0.16) and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-0.53, 95% CI: -1.42 to 0.36, </w:t>
      </w:r>
      <m:oMath>
        <m:r>
          <w:rPr>
            <w:rFonts w:ascii="Cambria Math" w:hAnsi="Cambria Math"/>
          </w:rPr>
          <m:t>p</m:t>
        </m:r>
      </m:oMath>
      <w:r>
        <w:t xml:space="preserve"> = 0.24) (</w:t>
      </w:r>
      <w:hyperlink w:anchor="fig-orchard_measure">
        <w:r>
          <w:rPr>
            <w:rStyle w:val="Hyperlink"/>
          </w:rPr>
          <w:t>Figure 3</w:t>
        </w:r>
      </w:hyperlink>
      <w:r>
        <w:t>c).</w:t>
      </w:r>
    </w:p>
    <w:p w14:paraId="1B7619FF" w14:textId="77777777" w:rsidR="00313D42" w:rsidRDefault="00000000">
      <w:pPr>
        <w:pStyle w:val="BodyText"/>
      </w:pPr>
      <w:r>
        <w:t>Disturbance stress occured only postnatally in fish and birds, whereas in mammals disturbance stressors were also applied prenatally. As such, there was some taxonomic bias. However, we did not find any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1.48, </w:t>
      </w:r>
      <m:oMath>
        <m:r>
          <w:rPr>
            <w:rFonts w:ascii="Cambria Math" w:hAnsi="Cambria Math"/>
          </w:rPr>
          <m:t>p</m:t>
        </m:r>
      </m:oMath>
      <w:r>
        <w:t xml:space="preserve"> = 0.23; </w:t>
      </w:r>
      <w:hyperlink w:anchor="fig-orchard_taxa">
        <w:r>
          <w:rPr>
            <w:rStyle w:val="Hyperlink"/>
          </w:rPr>
          <w:t>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-0.45, 95% CI = -1.55 to 0.65, </w:t>
      </w:r>
      <m:oMath>
        <m:r>
          <w:rPr>
            <w:rFonts w:ascii="Cambria Math" w:hAnsi="Cambria Math"/>
          </w:rPr>
          <m:t>p</m:t>
        </m:r>
      </m:oMath>
      <w:r>
        <w:t xml:space="preserve"> = 0.42; </w:t>
      </w:r>
      <w:hyperlink w:anchor="fig-orchard_prepost">
        <w:r>
          <w:rPr>
            <w:rStyle w:val="Hyperlink"/>
          </w:rPr>
          <w:t>Figure 5</w:t>
        </w:r>
      </w:hyperlink>
      <w:r>
        <w:t>b). Overall, prenatal disturbance stressors had a larger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-1.19, 95% </w:t>
      </w:r>
      <w:r>
        <w:lastRenderedPageBreak/>
        <w:t xml:space="preserve">CI = -2.07 to -0.31, </w:t>
      </w:r>
      <m:oMath>
        <m:r>
          <w:rPr>
            <w:rFonts w:ascii="Cambria Math" w:hAnsi="Cambria Math"/>
          </w:rPr>
          <m:t>p</m:t>
        </m:r>
      </m:oMath>
      <w:r>
        <w:t xml:space="preserve"> = 0.01), whereas postnatal disturbance stressors had a smaller negative impact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-0.74, 95% CI = -1.46 to -0.02, </w:t>
      </w:r>
      <m:oMath>
        <m:r>
          <w:rPr>
            <w:rFonts w:ascii="Cambria Math" w:hAnsi="Cambria Math"/>
          </w:rPr>
          <m:t>p</m:t>
        </m:r>
      </m:oMath>
      <w:r>
        <w:t xml:space="preserve"> = 0.04) (</w:t>
      </w:r>
      <w:hyperlink w:anchor="fig-orchard_prepost">
        <w:r>
          <w:rPr>
            <w:rStyle w:val="Hyperlink"/>
          </w:rPr>
          <w:t>Figure 5</w:t>
        </w:r>
      </w:hyperlink>
      <w:r>
        <w:t>b).</w:t>
      </w:r>
    </w:p>
    <w:tbl>
      <w:tblPr>
        <w:tblStyle w:val="Table"/>
        <w:tblW w:w="5000" w:type="pct"/>
        <w:tblLayout w:type="fixed"/>
        <w:tblLook w:val="0000" w:firstRow="0" w:lastRow="0" w:firstColumn="0" w:lastColumn="0" w:noHBand="0" w:noVBand="0"/>
      </w:tblPr>
      <w:tblGrid>
        <w:gridCol w:w="10538"/>
      </w:tblGrid>
      <w:tr w:rsidR="00313D42" w14:paraId="6FCDEEA9" w14:textId="77777777">
        <w:tc>
          <w:tcPr>
            <w:tcW w:w="7920" w:type="dxa"/>
          </w:tcPr>
          <w:p w14:paraId="1CD00961" w14:textId="77777777" w:rsidR="00313D42" w:rsidRDefault="00000000">
            <w:pPr>
              <w:pStyle w:val="Compact"/>
              <w:jc w:val="center"/>
            </w:pPr>
            <w:bookmarkStart w:id="15" w:name="fig-orchard_prepost"/>
            <w:r>
              <w:rPr>
                <w:noProof/>
              </w:rPr>
              <w:drawing>
                <wp:inline distT="0" distB="0" distL="0" distR="0" wp14:anchorId="5BA24CF4" wp14:editId="7C6F2678">
                  <wp:extent cx="6680200" cy="216976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_files/figure-docx/fig-orchard_prepost-1.png"/>
                          <pic:cNvPicPr>
                            <a:picLocks noChangeAspect="1" noChangeArrowheads="1"/>
                          </pic:cNvPicPr>
                        </pic:nvPicPr>
                        <pic:blipFill>
                          <a:blip r:embed="rId9"/>
                          <a:stretch>
                            <a:fillRect/>
                          </a:stretch>
                        </pic:blipFill>
                        <pic:spPr bwMode="auto">
                          <a:xfrm>
                            <a:off x="0" y="0"/>
                            <a:ext cx="6680200" cy="2169763"/>
                          </a:xfrm>
                          <a:prstGeom prst="rect">
                            <a:avLst/>
                          </a:prstGeom>
                          <a:noFill/>
                          <a:ln w="9525">
                            <a:noFill/>
                            <a:headEnd/>
                            <a:tailEnd/>
                          </a:ln>
                        </pic:spPr>
                      </pic:pic>
                    </a:graphicData>
                  </a:graphic>
                </wp:inline>
              </w:drawing>
            </w:r>
          </w:p>
          <w:p w14:paraId="74049B7D" w14:textId="77777777" w:rsidR="00313D42" w:rsidRDefault="00000000">
            <w:pPr>
              <w:pStyle w:val="ImageCaption"/>
              <w:spacing w:before="200"/>
            </w:pPr>
            <w:r>
              <w:rPr>
                <w:b/>
                <w:bCs/>
              </w:rPr>
              <w:t>Figure</w:t>
            </w:r>
            <w:r>
              <w:t xml:space="preserve"> 5- </w:t>
            </w:r>
            <w:r>
              <w:rPr>
                <w:b/>
                <w:bCs/>
              </w:rPr>
              <w:t>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5"/>
      </w:tr>
    </w:tbl>
    <w:p w14:paraId="4A49CAF2" w14:textId="77777777" w:rsidR="00313D42" w:rsidRDefault="00000000">
      <w:pPr>
        <w:pStyle w:val="Heading2"/>
      </w:pPr>
      <w:bookmarkStart w:id="16" w:name="Xa705be15309f24333faaeb6831ae288750d7037"/>
      <w:bookmarkEnd w:id="14"/>
      <w:r>
        <w:t>Nutrition developmental impacts on mitochondrial function</w:t>
      </w:r>
    </w:p>
    <w:p w14:paraId="0BFB8201" w14:textId="77777777" w:rsidR="00313D42" w:rsidRDefault="00000000">
      <w:pPr>
        <w:pStyle w:val="FirstParagraph"/>
      </w:pPr>
      <w:r>
        <w:t>Nutritional stress during development had a weaker negative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d). There also was evidence for publication bias. Corrected meta-analytic mean estimates, if publication bias were indeed present, may instead be slightly positive, but remain non-significant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(See </w:t>
      </w:r>
      <w:r>
        <w:rPr>
          <w:i/>
          <w:iCs/>
        </w:rPr>
        <w:t>Supplementary Materials</w:t>
      </w:r>
      <w:r>
        <w:t xml:space="preserve">). Effect heterogeneity was high (95% Prediction Intervals: -2.85 to 2.08;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(Table </w:t>
      </w:r>
      <w:hyperlink w:anchor="tbl-heterogeneity">
        <w:r>
          <w:rPr>
            <w:rStyle w:val="Hyperlink"/>
          </w:rPr>
          <w:t>1</w:t>
        </w:r>
      </w:hyperlink>
      <w:r>
        <w:t>).</w:t>
      </w:r>
    </w:p>
    <w:p w14:paraId="4AB71CE8" w14:textId="77777777" w:rsidR="00313D42" w:rsidRDefault="00000000">
      <w:pPr>
        <w:pStyle w:val="BodyText"/>
      </w:pPr>
      <w:r>
        <w:t>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1</m:t>
                </m:r>
                <m:r>
                  <m:rPr>
                    <m:sty m:val="p"/>
                  </m:rPr>
                  <w:rPr>
                    <w:rFonts w:ascii="Cambria Math" w:hAnsi="Cambria Math"/>
                  </w:rPr>
                  <m:t>,</m:t>
                </m:r>
                <m:r>
                  <w:rPr>
                    <w:rFonts w:ascii="Cambria Math" w:hAnsi="Cambria Math"/>
                  </w:rPr>
                  <m:t>643</m:t>
                </m:r>
              </m:sub>
            </m:sSub>
          </m:sub>
        </m:sSub>
      </m:oMath>
      <w:r>
        <w:t xml:space="preserve"> = 0.02, </w:t>
      </w:r>
      <m:oMath>
        <m:r>
          <w:rPr>
            <w:rFonts w:ascii="Cambria Math" w:hAnsi="Cambria Math"/>
          </w:rPr>
          <m:t>p</m:t>
        </m:r>
      </m:oMath>
      <w:r>
        <w:t xml:space="preserve"> = 0.9; </w:t>
      </w:r>
      <w:hyperlink w:anchor="fig-orchard_nutrition">
        <w:r>
          <w:rPr>
            <w:rStyle w:val="Hyperlink"/>
          </w:rPr>
          <w:t>Figure 6</w:t>
        </w:r>
      </w:hyperlink>
      <w:r>
        <w:t>a) and there was weak evidence for an interaction between measurement type and under/over-nutrition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7</m:t>
                </m:r>
                <m:r>
                  <m:rPr>
                    <m:sty m:val="p"/>
                  </m:rPr>
                  <w:rPr>
                    <w:rFonts w:ascii="Cambria Math" w:hAnsi="Cambria Math"/>
                  </w:rPr>
                  <m:t>,</m:t>
                </m:r>
                <m:r>
                  <w:rPr>
                    <w:rFonts w:ascii="Cambria Math" w:hAnsi="Cambria Math"/>
                  </w:rPr>
                  <m:t>637</m:t>
                </m:r>
              </m:sub>
            </m:sSub>
          </m:sub>
        </m:sSub>
      </m:oMath>
      <w:r>
        <w:t xml:space="preserve"> = 1.4, </w:t>
      </w:r>
      <m:oMath>
        <m:r>
          <w:rPr>
            <w:rFonts w:ascii="Cambria Math" w:hAnsi="Cambria Math"/>
          </w:rPr>
          <m:t>p</m:t>
        </m:r>
      </m:oMath>
      <w:r>
        <w:t xml:space="preserve"> = 0.2). In fact, there was little evidence that mitochodnrial function differed across functional trait categories generally (</w:t>
      </w:r>
      <w:hyperlink w:anchor="fig-orchard_measure">
        <w:r>
          <w:rPr>
            <w:rStyle w:val="Hyperlink"/>
          </w:rPr>
          <w:t>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-1.32, 95% CI: -2.54 to -0.1, </w:t>
      </w:r>
      <m:oMath>
        <m:r>
          <w:rPr>
            <w:rFonts w:ascii="Cambria Math" w:hAnsi="Cambria Math"/>
          </w:rPr>
          <m:t>p</m:t>
        </m:r>
      </m:oMath>
      <w:r>
        <w:t xml:space="preserve"> = 0.03; Fat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 95% CI: -2.31 to 0.1, </w:t>
      </w:r>
      <m:oMath>
        <m:r>
          <w:rPr>
            <w:rFonts w:ascii="Cambria Math" w:hAnsi="Cambria Math"/>
          </w:rPr>
          <m:t>p</m:t>
        </m:r>
      </m:oMath>
      <w:r>
        <w:t xml:space="preserve"> = 0.07 </w:t>
      </w:r>
      <w:hyperlink w:anchor="fig-orchard_nutrition">
        <w:r>
          <w:rPr>
            <w:rStyle w:val="Hyperlink"/>
          </w:rPr>
          <w:t>Figure 6</w:t>
        </w:r>
      </w:hyperlink>
      <w:r>
        <w:t>b). There was no evidence that the stage of manipulation when nutritional stress took place impacted mitochondrial function (</w:t>
      </w:r>
      <w:hyperlink w:anchor="fig-orchard_prepost">
        <w:r>
          <w:rPr>
            <w:rStyle w:val="Hyperlink"/>
          </w:rPr>
          <w:t>Figure 5</w:t>
        </w:r>
      </w:hyperlink>
      <w:r>
        <w:t>d).</w:t>
      </w:r>
    </w:p>
    <w:tbl>
      <w:tblPr>
        <w:tblStyle w:val="Table"/>
        <w:tblW w:w="5000" w:type="pct"/>
        <w:tblLayout w:type="fixed"/>
        <w:tblLook w:val="0000" w:firstRow="0" w:lastRow="0" w:firstColumn="0" w:lastColumn="0" w:noHBand="0" w:noVBand="0"/>
      </w:tblPr>
      <w:tblGrid>
        <w:gridCol w:w="10538"/>
      </w:tblGrid>
      <w:tr w:rsidR="00313D42" w14:paraId="50877F55" w14:textId="77777777">
        <w:tc>
          <w:tcPr>
            <w:tcW w:w="7920" w:type="dxa"/>
          </w:tcPr>
          <w:p w14:paraId="6DDCC120" w14:textId="77777777" w:rsidR="00313D42" w:rsidRDefault="00000000">
            <w:pPr>
              <w:pStyle w:val="Compact"/>
              <w:jc w:val="center"/>
            </w:pPr>
            <w:bookmarkStart w:id="17" w:name="fig-orchard_nutrition"/>
            <w:r>
              <w:rPr>
                <w:noProof/>
              </w:rPr>
              <w:lastRenderedPageBreak/>
              <w:drawing>
                <wp:inline distT="0" distB="0" distL="0" distR="0" wp14:anchorId="4F23D722" wp14:editId="2D0111D6">
                  <wp:extent cx="6680200" cy="296985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_files/figure-docx/fig-orchard_nutrition-1.png"/>
                          <pic:cNvPicPr>
                            <a:picLocks noChangeAspect="1" noChangeArrowheads="1"/>
                          </pic:cNvPicPr>
                        </pic:nvPicPr>
                        <pic:blipFill>
                          <a:blip r:embed="rId10"/>
                          <a:stretch>
                            <a:fillRect/>
                          </a:stretch>
                        </pic:blipFill>
                        <pic:spPr bwMode="auto">
                          <a:xfrm>
                            <a:off x="0" y="0"/>
                            <a:ext cx="6680200" cy="2969853"/>
                          </a:xfrm>
                          <a:prstGeom prst="rect">
                            <a:avLst/>
                          </a:prstGeom>
                          <a:noFill/>
                          <a:ln w="9525">
                            <a:noFill/>
                            <a:headEnd/>
                            <a:tailEnd/>
                          </a:ln>
                        </pic:spPr>
                      </pic:pic>
                    </a:graphicData>
                  </a:graphic>
                </wp:inline>
              </w:drawing>
            </w:r>
          </w:p>
          <w:p w14:paraId="48E9E874" w14:textId="77777777" w:rsidR="00313D42" w:rsidRDefault="00000000">
            <w:pPr>
              <w:pStyle w:val="ImageCaption"/>
              <w:spacing w:before="200"/>
            </w:pPr>
            <w:r>
              <w:rPr>
                <w:b/>
                <w:bCs/>
              </w:rPr>
              <w:t>Figure</w:t>
            </w:r>
            <w:r>
              <w:t xml:space="preserve"> 6- </w:t>
            </w:r>
            <w:r>
              <w:rPr>
                <w:b/>
                <w:bCs/>
              </w:rPr>
              <w:t>Overall meta-analytic mean estimates for nutritional stressors (a) under- and over-nutrition and (b) nutrition type</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7"/>
      </w:tr>
    </w:tbl>
    <w:p w14:paraId="792CCDDF" w14:textId="77777777" w:rsidR="00313D42" w:rsidRDefault="00000000">
      <w:pPr>
        <w:pStyle w:val="Heading1"/>
      </w:pPr>
      <w:bookmarkStart w:id="18" w:name="references"/>
      <w:bookmarkEnd w:id="6"/>
      <w:bookmarkEnd w:id="16"/>
      <w:r>
        <w:t>References</w:t>
      </w:r>
    </w:p>
    <w:p w14:paraId="46E2D6BA" w14:textId="77777777" w:rsidR="00313D42" w:rsidRDefault="00313D42">
      <w:pPr>
        <w:pStyle w:val="FirstParagraph"/>
      </w:pPr>
    </w:p>
    <w:p w14:paraId="07547B02" w14:textId="77777777" w:rsidR="00313D42" w:rsidRDefault="00000000">
      <w:pPr>
        <w:pStyle w:val="Bibliography"/>
      </w:pPr>
      <w:bookmarkStart w:id="19" w:name="ref-Bonett2008"/>
      <w:bookmarkStart w:id="20"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4EFFC29C" w14:textId="77777777" w:rsidR="00313D42" w:rsidRDefault="00000000">
      <w:pPr>
        <w:pStyle w:val="Bibliography"/>
      </w:pPr>
      <w:bookmarkStart w:id="21" w:name="ref-Bonett2009"/>
      <w:bookmarkEnd w:id="19"/>
      <w:r>
        <w:rPr>
          <w:smallCaps/>
        </w:rPr>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44D9AE11" w14:textId="77777777" w:rsidR="00313D42" w:rsidRDefault="00000000">
      <w:pPr>
        <w:pStyle w:val="Bibliography"/>
      </w:pPr>
      <w:bookmarkStart w:id="22" w:name="ref-Borenstein2009"/>
      <w:bookmarkEnd w:id="21"/>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6DF7A262" w14:textId="77777777" w:rsidR="00313D42" w:rsidRDefault="00000000">
      <w:pPr>
        <w:pStyle w:val="Bibliography"/>
      </w:pPr>
      <w:bookmarkStart w:id="23" w:name="ref-kumar2022timetree"/>
      <w:bookmarkEnd w:id="22"/>
      <w:r>
        <w:rPr>
          <w:smallCaps/>
        </w:rPr>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501D6C22" w14:textId="77777777" w:rsidR="00313D42" w:rsidRDefault="00000000">
      <w:pPr>
        <w:pStyle w:val="Bibliography"/>
      </w:pPr>
      <w:bookmarkStart w:id="24" w:name="ref-Michonneau2016-if"/>
      <w:bookmarkEnd w:id="23"/>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13CA28CC" w14:textId="77777777" w:rsidR="00313D42" w:rsidRDefault="00000000">
      <w:pPr>
        <w:pStyle w:val="Bibliography"/>
      </w:pPr>
      <w:bookmarkStart w:id="25" w:name="ref-Nakagawa2022-gy"/>
      <w:bookmarkEnd w:id="24"/>
      <w:r>
        <w:rPr>
          <w:smallCaps/>
        </w:rPr>
        <w:t>Nakagawa, S.</w:t>
      </w:r>
      <w:r>
        <w:t xml:space="preserve">, </w:t>
      </w:r>
      <w:r>
        <w:rPr>
          <w:smallCaps/>
        </w:rPr>
        <w:t>Lagisz, M.</w:t>
      </w:r>
      <w:r>
        <w:t xml:space="preserve">, </w:t>
      </w:r>
      <w:r>
        <w:rPr>
          <w:smallCaps/>
        </w:rPr>
        <w:t>Jennions, M.D.</w:t>
      </w:r>
      <w:r>
        <w:t xml:space="preserve">, </w:t>
      </w:r>
      <w:r>
        <w:rPr>
          <w:smallCaps/>
        </w:rPr>
        <w:t>Koricheva, J.</w:t>
      </w:r>
      <w:r>
        <w:t xml:space="preserve">, </w:t>
      </w:r>
      <w:r>
        <w:rPr>
          <w:smallCaps/>
        </w:rPr>
        <w:t>Daniel W. A. Noble, T.H.P.</w:t>
      </w:r>
      <w:r>
        <w:t xml:space="preserve">, </w:t>
      </w:r>
      <w:r>
        <w:rPr>
          <w:smallCaps/>
        </w:rPr>
        <w:t>Sánchez-Tójar, A.</w:t>
      </w:r>
      <w:r>
        <w:t xml:space="preserve">, </w:t>
      </w:r>
      <w:r>
        <w:rPr>
          <w:smallCaps/>
        </w:rPr>
        <w:t>Yang, Y.</w:t>
      </w:r>
      <w:r>
        <w:t xml:space="preserve"> &amp; </w:t>
      </w:r>
      <w:r>
        <w:rPr>
          <w:smallCaps/>
        </w:rPr>
        <w:t>O’Dea, R.E.</w:t>
      </w:r>
      <w:r>
        <w:t xml:space="preserve"> (2022) Methods for testing publication bias in ecological and evolutionary meta-analyses. </w:t>
      </w:r>
      <w:r>
        <w:rPr>
          <w:i/>
          <w:iCs/>
        </w:rPr>
        <w:t>Methods in Ecology and Evolution</w:t>
      </w:r>
      <w:r>
        <w:t xml:space="preserve"> </w:t>
      </w:r>
      <w:r>
        <w:rPr>
          <w:b/>
          <w:bCs/>
        </w:rPr>
        <w:t>13</w:t>
      </w:r>
      <w:r>
        <w:t>, 4–21.</w:t>
      </w:r>
    </w:p>
    <w:p w14:paraId="4D8BE8C9" w14:textId="77777777" w:rsidR="00313D42" w:rsidRDefault="00000000">
      <w:pPr>
        <w:pStyle w:val="Bibliography"/>
      </w:pPr>
      <w:bookmarkStart w:id="26" w:name="ref-nakagawaorchard"/>
      <w:bookmarkEnd w:id="25"/>
      <w:r>
        <w:rPr>
          <w:smallCaps/>
        </w:rPr>
        <w:lastRenderedPageBreak/>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0B6E3639" w14:textId="77777777" w:rsidR="00313D42" w:rsidRDefault="00000000">
      <w:pPr>
        <w:pStyle w:val="Bibliography"/>
      </w:pPr>
      <w:bookmarkStart w:id="27" w:name="ref-Nakagawa2021-ls"/>
      <w:bookmarkEnd w:id="26"/>
      <w:r>
        <w:rPr>
          <w:smallCaps/>
        </w:rPr>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1E22DBF6" w14:textId="77777777" w:rsidR="00313D42" w:rsidRDefault="00000000">
      <w:pPr>
        <w:pStyle w:val="Bibliography"/>
      </w:pPr>
      <w:bookmarkStart w:id="28" w:name="ref-Nakagawa2012-oc"/>
      <w:bookmarkEnd w:id="27"/>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3A5D2922" w14:textId="77777777" w:rsidR="00313D42" w:rsidRDefault="00000000">
      <w:pPr>
        <w:pStyle w:val="Bibliography"/>
      </w:pPr>
      <w:bookmarkStart w:id="29" w:name="ref-Noble2022-ty"/>
      <w:bookmarkEnd w:id="28"/>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22FFE31B" w14:textId="77777777" w:rsidR="00313D42" w:rsidRDefault="00000000">
      <w:pPr>
        <w:pStyle w:val="Bibliography"/>
      </w:pPr>
      <w:bookmarkStart w:id="30" w:name="ref-Paradis2019-gx"/>
      <w:bookmarkEnd w:id="29"/>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4DB84FE9" w14:textId="77777777" w:rsidR="00313D42" w:rsidRDefault="00000000">
      <w:pPr>
        <w:pStyle w:val="Bibliography"/>
      </w:pPr>
      <w:bookmarkStart w:id="31" w:name="ref-Revell2012-vq"/>
      <w:bookmarkEnd w:id="30"/>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32DE73F7" w14:textId="77777777" w:rsidR="00313D42" w:rsidRDefault="00000000">
      <w:pPr>
        <w:pStyle w:val="Bibliography"/>
      </w:pPr>
      <w:bookmarkStart w:id="32" w:name="ref-Viechtbauer2010-fn"/>
      <w:bookmarkEnd w:id="31"/>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1B1387CD" w14:textId="77777777" w:rsidR="00313D42" w:rsidRDefault="00000000">
      <w:pPr>
        <w:pStyle w:val="Bibliography"/>
      </w:pPr>
      <w:bookmarkStart w:id="33" w:name="ref-Yang2023"/>
      <w:bookmarkEnd w:id="32"/>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574D785F" w14:textId="77777777" w:rsidR="00313D42" w:rsidRDefault="00000000">
      <w:pPr>
        <w:pStyle w:val="Bibliography"/>
      </w:pPr>
      <w:bookmarkStart w:id="34" w:name="ref-Yu2017-wj"/>
      <w:bookmarkEnd w:id="33"/>
      <w:r>
        <w:rPr>
          <w:smallCaps/>
        </w:rPr>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20"/>
    <w:bookmarkEnd w:id="34"/>
    <w:p w14:paraId="520FB77E" w14:textId="77777777" w:rsidR="00313D42" w:rsidRDefault="00313D42">
      <w:pPr>
        <w:pStyle w:val="BodyText"/>
      </w:pPr>
    </w:p>
    <w:p w14:paraId="3FFF3497" w14:textId="77777777" w:rsidR="00313D42" w:rsidRDefault="00000000">
      <w:pPr>
        <w:pStyle w:val="Heading1"/>
      </w:pPr>
      <w:bookmarkStart w:id="35" w:name="supplementary-materials"/>
      <w:bookmarkEnd w:id="18"/>
      <w:r>
        <w:t>Supplementary Materials</w:t>
      </w:r>
    </w:p>
    <w:tbl>
      <w:tblPr>
        <w:tblStyle w:val="Table"/>
        <w:tblW w:w="5000" w:type="pct"/>
        <w:tblLayout w:type="fixed"/>
        <w:tblLook w:val="0000" w:firstRow="0" w:lastRow="0" w:firstColumn="0" w:lastColumn="0" w:noHBand="0" w:noVBand="0"/>
      </w:tblPr>
      <w:tblGrid>
        <w:gridCol w:w="10538"/>
      </w:tblGrid>
      <w:tr w:rsidR="00313D42" w14:paraId="3F89AEA5" w14:textId="77777777">
        <w:tc>
          <w:tcPr>
            <w:tcW w:w="7920" w:type="dxa"/>
          </w:tcPr>
          <w:p w14:paraId="3C915A33" w14:textId="77777777" w:rsidR="00313D42" w:rsidRDefault="00000000">
            <w:pPr>
              <w:pStyle w:val="ImageCaption"/>
              <w:spacing w:before="200"/>
            </w:pPr>
            <w:bookmarkStart w:id="36" w:name="tbl-heterogeneity_cv"/>
            <w:r>
              <w:t>Table 2- Heterogeneity estimates using CV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313D42" w14:paraId="78D01B6B"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3E2C1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2E7F3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258E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A9C1E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7FA96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92DE5C"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69589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9A67F"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F55523"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obs</m:t>
                          </m:r>
                        </m:sub>
                        <m:sup>
                          <m:r>
                            <w:rPr>
                              <w:rFonts w:ascii="Cambria Math" w:hAnsi="Cambria Math"/>
                            </w:rPr>
                            <m:t>2</m:t>
                          </m:r>
                        </m:sup>
                      </m:sSubSup>
                    </m:oMath>
                  </m:oMathPara>
                </w:p>
              </w:tc>
            </w:tr>
            <w:tr w:rsidR="00313D42" w14:paraId="3C17E70F"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8D3C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249F2"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BA706"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3706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672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F0CE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FC95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233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0.97</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CEFC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0.30</w:t>
                  </w:r>
                </w:p>
              </w:tc>
            </w:tr>
            <w:tr w:rsidR="00313D42" w14:paraId="7D56F14C"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7F9A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12EEB"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1D08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8A44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21EB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128C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FD8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9726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66FAC"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0.55</w:t>
                  </w:r>
                </w:p>
              </w:tc>
            </w:tr>
            <w:tr w:rsidR="00313D42" w14:paraId="127F6384"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3EC52"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DB51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83E9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70D6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96E93"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3CE8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7C632"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B573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E884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2.44</w:t>
                  </w:r>
                </w:p>
              </w:tc>
            </w:tr>
            <w:tr w:rsidR="00313D42" w14:paraId="5F6AC629"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9705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F73B4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A9064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63A213"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4D6E2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885B7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299F0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723D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B5D2F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1.19</w:t>
                  </w:r>
                </w:p>
              </w:tc>
            </w:tr>
            <w:bookmarkEnd w:id="36"/>
          </w:tbl>
          <w:p w14:paraId="1E4105D6" w14:textId="77777777" w:rsidR="00000000" w:rsidRDefault="00000000">
            <w:pPr>
              <w:spacing w:after="0"/>
              <w:rPr>
                <w:rFonts w:asciiTheme="minorHAnsi" w:hAnsiTheme="minorHAnsi"/>
              </w:rPr>
            </w:pPr>
          </w:p>
        </w:tc>
      </w:tr>
      <w:tr w:rsidR="00313D42" w14:paraId="64448321" w14:textId="77777777">
        <w:tc>
          <w:tcPr>
            <w:tcW w:w="7920" w:type="dxa"/>
          </w:tcPr>
          <w:p w14:paraId="1FFDC9DC" w14:textId="77777777" w:rsidR="00313D42" w:rsidRDefault="00000000">
            <w:pPr>
              <w:pStyle w:val="ImageCaption"/>
              <w:spacing w:before="200"/>
            </w:pPr>
            <w:bookmarkStart w:id="37" w:name="tbl-heterogeneity_m2"/>
            <w:r>
              <w:t>Table 3- Heterogeneity M2</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313D42" w14:paraId="503755E0"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35AF32"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w:lastRenderedPageBreak/>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8F0CCC"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ABCB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565A5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D4E612"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8AFCEF"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161FB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CC510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4C67D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obs</m:t>
                          </m:r>
                        </m:sub>
                        <m:sup>
                          <m:r>
                            <w:rPr>
                              <w:rFonts w:ascii="Cambria Math" w:hAnsi="Cambria Math"/>
                            </w:rPr>
                            <m:t>2</m:t>
                          </m:r>
                        </m:sup>
                      </m:sSubSup>
                    </m:oMath>
                  </m:oMathPara>
                </w:p>
              </w:tc>
            </w:tr>
            <w:tr w:rsidR="00313D42" w14:paraId="5748C2D5"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65ED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26B7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0FDE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9930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A8D5F"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E4BD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FE771"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EDBA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5ED4"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0.14</w:t>
                  </w:r>
                </w:p>
              </w:tc>
            </w:tr>
            <w:tr w:rsidR="00313D42" w14:paraId="08F5868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73AB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4A0C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8B66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A6B8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BF946"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6ED7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AB73"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1D9E"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EAC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0.23</w:t>
                  </w:r>
                </w:p>
              </w:tc>
            </w:tr>
            <w:tr w:rsidR="00313D42" w14:paraId="6D2820E3"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847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68F6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87700"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A1C56"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DC0D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0.76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01BF"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BF026"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8D3FF"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0.27</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9B095"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r>
            <w:tr w:rsidR="00313D42" w14:paraId="5AF97297"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829FB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364E68"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A93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AC773"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F25527"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0.62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B992DB"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43C5A9"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029FAA"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B40A3D" w14:textId="77777777" w:rsidR="00313D42"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r>
            <w:bookmarkEnd w:id="37"/>
          </w:tbl>
          <w:p w14:paraId="2EAE000B" w14:textId="77777777" w:rsidR="00000000" w:rsidRDefault="00000000">
            <w:pPr>
              <w:spacing w:after="0"/>
              <w:rPr>
                <w:rFonts w:asciiTheme="minorHAnsi" w:hAnsiTheme="minorHAnsi"/>
              </w:rPr>
            </w:pPr>
          </w:p>
        </w:tc>
      </w:tr>
    </w:tbl>
    <w:p w14:paraId="336780BA" w14:textId="77777777" w:rsidR="00313D42" w:rsidRDefault="00000000">
      <w:pPr>
        <w:pStyle w:val="Heading4"/>
      </w:pPr>
      <w:bookmarkStart w:id="38" w:name="publicaton-bias"/>
      <w:r>
        <w:lastRenderedPageBreak/>
        <w:t>Publicaton bias</w:t>
      </w:r>
    </w:p>
    <w:tbl>
      <w:tblPr>
        <w:tblStyle w:val="Table"/>
        <w:tblW w:w="5000" w:type="pct"/>
        <w:tblLayout w:type="fixed"/>
        <w:tblLook w:val="0000" w:firstRow="0" w:lastRow="0" w:firstColumn="0" w:lastColumn="0" w:noHBand="0" w:noVBand="0"/>
      </w:tblPr>
      <w:tblGrid>
        <w:gridCol w:w="10538"/>
      </w:tblGrid>
      <w:tr w:rsidR="00313D42" w14:paraId="2514CAA6" w14:textId="77777777">
        <w:tc>
          <w:tcPr>
            <w:tcW w:w="7920" w:type="dxa"/>
          </w:tcPr>
          <w:p w14:paraId="24C21D17" w14:textId="77777777" w:rsidR="00313D42" w:rsidRDefault="00000000">
            <w:pPr>
              <w:pStyle w:val="Compact"/>
              <w:jc w:val="center"/>
            </w:pPr>
            <w:bookmarkStart w:id="39" w:name="fig-funnels"/>
            <w:r>
              <w:rPr>
                <w:noProof/>
              </w:rPr>
              <w:drawing>
                <wp:inline distT="0" distB="0" distL="0" distR="0" wp14:anchorId="1D161A75" wp14:editId="7401BA91">
                  <wp:extent cx="6680200" cy="5523293"/>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results_files/figure-docx/fig-funnels-1.png"/>
                          <pic:cNvPicPr>
                            <a:picLocks noChangeAspect="1" noChangeArrowheads="1"/>
                          </pic:cNvPicPr>
                        </pic:nvPicPr>
                        <pic:blipFill>
                          <a:blip r:embed="rId11"/>
                          <a:stretch>
                            <a:fillRect/>
                          </a:stretch>
                        </pic:blipFill>
                        <pic:spPr bwMode="auto">
                          <a:xfrm>
                            <a:off x="0" y="0"/>
                            <a:ext cx="6680200" cy="5523293"/>
                          </a:xfrm>
                          <a:prstGeom prst="rect">
                            <a:avLst/>
                          </a:prstGeom>
                          <a:noFill/>
                          <a:ln w="9525">
                            <a:noFill/>
                            <a:headEnd/>
                            <a:tailEnd/>
                          </a:ln>
                        </pic:spPr>
                      </pic:pic>
                    </a:graphicData>
                  </a:graphic>
                </wp:inline>
              </w:drawing>
            </w:r>
          </w:p>
          <w:p w14:paraId="45E2B3B4" w14:textId="77777777" w:rsidR="00313D42" w:rsidRDefault="00000000">
            <w:pPr>
              <w:pStyle w:val="ImageCaption"/>
              <w:spacing w:before="200"/>
            </w:pPr>
            <w:r>
              <w:rPr>
                <w:b/>
                <w:bCs/>
              </w:rPr>
              <w:t>Figure</w:t>
            </w:r>
            <w:r>
              <w:t xml:space="preserve"> 7- </w:t>
            </w:r>
            <w:r>
              <w:rPr>
                <w:b/>
                <w:bCs/>
              </w:rPr>
              <w:t>Funnel plots for each developmental stressor dataset</w:t>
            </w:r>
            <w:r>
              <w:t xml:space="preserve">. Each point represents an effect size (SMDH) and its precision (1/SE).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w:t>
            </w:r>
          </w:p>
        </w:tc>
        <w:bookmarkEnd w:id="39"/>
      </w:tr>
    </w:tbl>
    <w:p w14:paraId="29AEF602" w14:textId="77777777" w:rsidR="00313D42" w:rsidRDefault="00000000">
      <w:pPr>
        <w:pStyle w:val="BodyText"/>
      </w:pPr>
      <w:r>
        <w:t>While there was evidence for funnel asymmetry for the corticosterone (</w:t>
      </w:r>
      <w:hyperlink w:anchor="fig-funnels">
        <w:r>
          <w:rPr>
            <w:rStyle w:val="Hyperlink"/>
          </w:rPr>
          <w:t>Figure 7</w:t>
        </w:r>
      </w:hyperlink>
      <w:r>
        <w:t>a), disturbance (</w:t>
      </w:r>
      <w:hyperlink w:anchor="fig-funnels">
        <w:r>
          <w:rPr>
            <w:rStyle w:val="Hyperlink"/>
          </w:rPr>
          <w:t>Figure 7</w:t>
        </w:r>
      </w:hyperlink>
      <w:r>
        <w:t>b), and social deprivation datasets (</w:t>
      </w:r>
      <w:hyperlink w:anchor="fig-funnels">
        <w:r>
          <w:rPr>
            <w:rStyle w:val="Hyperlink"/>
          </w:rPr>
          <w:t>Figure 7</w:t>
        </w:r>
      </w:hyperlink>
      <w:r>
        <w:t>c), this was not the case for the nutrition dataset (</w:t>
      </w:r>
      <w:hyperlink w:anchor="fig-funnels">
        <w:r>
          <w:rPr>
            <w:rStyle w:val="Hyperlink"/>
          </w:rPr>
          <w:t>Figure 7</w:t>
        </w:r>
      </w:hyperlink>
      <w:r>
        <w:t>c). However, overall asymmetry is likely driven by small sample sizes in most of these datasets.</w:t>
      </w:r>
    </w:p>
    <w:p w14:paraId="38206AF1" w14:textId="77777777" w:rsidR="00313D42" w:rsidRDefault="00000000">
      <w:pPr>
        <w:pStyle w:val="BodyText"/>
      </w:pPr>
      <w:r>
        <w:lastRenderedPageBreak/>
        <w:t>We more formally tested for publication bias by including the inverse effective sample size as a moderator in our MLMA models, which better controlled for sources of heterogeneity. Overall, we found no evidence for a significant slope, indicative of possible publication bias, for the corticosterone (</w:t>
      </w:r>
      <m:oMath>
        <m:r>
          <w:rPr>
            <w:rFonts w:ascii="Cambria Math" w:hAnsi="Cambria Math"/>
          </w:rPr>
          <m:t>β</m:t>
        </m:r>
      </m:oMath>
      <w:r>
        <w:t xml:space="preserve"> = 1.06, 95% CI = -1.35 to 3.47, </w:t>
      </w:r>
      <m:oMath>
        <m:r>
          <w:rPr>
            <w:rFonts w:ascii="Cambria Math" w:hAnsi="Cambria Math"/>
          </w:rPr>
          <m:t>p</m:t>
        </m:r>
      </m:oMath>
      <w:r>
        <w:t xml:space="preserve"> = 0.39)or deprvivation (</w:t>
      </w:r>
      <m:oMath>
        <m:r>
          <w:rPr>
            <w:rFonts w:ascii="Cambria Math" w:hAnsi="Cambria Math"/>
          </w:rPr>
          <m:t>β</m:t>
        </m:r>
      </m:oMath>
      <w:r>
        <w:t xml:space="preserve"> = -0.76, 95% CI = -3.92 to 2.41, </w:t>
      </w:r>
      <m:oMath>
        <m:r>
          <w:rPr>
            <w:rFonts w:ascii="Cambria Math" w:hAnsi="Cambria Math"/>
          </w:rPr>
          <m:t>p</m:t>
        </m:r>
      </m:oMath>
      <w:r>
        <w:t xml:space="preserve"> = 0.64) datasets. However, we did find evidence for a significant slope for the disturbance model (</w:t>
      </w:r>
      <m:oMath>
        <m:r>
          <w:rPr>
            <w:rFonts w:ascii="Cambria Math" w:hAnsi="Cambria Math"/>
          </w:rPr>
          <m:t>β</m:t>
        </m:r>
      </m:oMath>
      <w:r>
        <w:t xml:space="preserve"> = -3.94, 95% CI = -6.89 to -0.99, </w:t>
      </w:r>
      <m:oMath>
        <m:r>
          <w:rPr>
            <w:rFonts w:ascii="Cambria Math" w:hAnsi="Cambria Math"/>
          </w:rPr>
          <m:t>p</m:t>
        </m:r>
      </m:oMath>
      <w:r>
        <w:t xml:space="preserve"> = 0.01) and nutriton model (</w:t>
      </w:r>
      <m:oMath>
        <m:r>
          <w:rPr>
            <w:rFonts w:ascii="Cambria Math" w:hAnsi="Cambria Math"/>
          </w:rPr>
          <m:t>β</m:t>
        </m:r>
      </m:oMath>
      <w:r>
        <w:t xml:space="preserve"> = -2.09, 95% CI = -3.71 to -0.47, </w:t>
      </w:r>
      <m:oMath>
        <m:r>
          <w:rPr>
            <w:rFonts w:ascii="Cambria Math" w:hAnsi="Cambria Math"/>
          </w:rPr>
          <m:t>p</m:t>
        </m:r>
      </m:oMath>
      <w:r>
        <w:t xml:space="preserve"> = 0.01). Re-fitting models with the inverse effective sample size as a moderator suggested that, if publicaton bias was present, overall meta-analytic means would change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for disturbance and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for nutrition.</w:t>
      </w:r>
    </w:p>
    <w:p w14:paraId="4EB36C94" w14:textId="77777777" w:rsidR="00313D42" w:rsidRDefault="00000000">
      <w:pPr>
        <w:pStyle w:val="Heading4"/>
      </w:pPr>
      <w:bookmarkStart w:id="40" w:name="Xac7e13b292adf9bdb1fbed349d4e2045c940246"/>
      <w:bookmarkEnd w:id="38"/>
      <w:r>
        <w:t>Impacts of extreme effects on overall meta-analytic means</w:t>
      </w:r>
    </w:p>
    <w:p w14:paraId="5459391D" w14:textId="77777777" w:rsidR="00313D42" w:rsidRDefault="00000000">
      <w:pPr>
        <w:pStyle w:val="FirstParagraph"/>
      </w:pPr>
      <w:r>
        <w:t>In the nutrition and disturbance datasets, we found two extreme effects that differed markedly from the majority of data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&gt; -20) (see </w:t>
      </w:r>
      <w:hyperlink w:anchor="fig-funnels">
        <w:r>
          <w:rPr>
            <w:rStyle w:val="Hyperlink"/>
          </w:rPr>
          <w:t>Figure 7</w:t>
        </w:r>
      </w:hyperlink>
      <w:r>
        <w:t>). Careful data checking did not indicate any obvious data entry errors. To understand how they impacted the overall meta-analytic means, we re-ran the models without these extreme effects. We found that removing these extreme effects had little impact on the overall meta-analytic means for nutrition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0.26, </w:t>
      </w:r>
      <m:oMath>
        <m:r>
          <w:rPr>
            <w:rFonts w:ascii="Cambria Math" w:hAnsi="Cambria Math"/>
          </w:rPr>
          <m:t>p</m:t>
        </m:r>
      </m:oMath>
      <w:r>
        <w:t xml:space="preserve"> = 0.25) and disturbance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-0.78, 95% CI = -1.35 to -0.21, </w:t>
      </w:r>
      <m:oMath>
        <m:r>
          <w:rPr>
            <w:rFonts w:ascii="Cambria Math" w:hAnsi="Cambria Math"/>
          </w:rPr>
          <m:t>p</m:t>
        </m:r>
      </m:oMath>
      <w:r>
        <w:t xml:space="preserve"> = 0.01), and our overall conclusions remain unchanged.</w:t>
      </w:r>
      <w:bookmarkEnd w:id="35"/>
      <w:bookmarkEnd w:id="40"/>
    </w:p>
    <w:sectPr w:rsidR="00313D42"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2127386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D3E59"/>
    <w:rsid w:val="000F64AC"/>
    <w:rsid w:val="00313D42"/>
    <w:rsid w:val="003335E6"/>
    <w:rsid w:val="00464B1F"/>
    <w:rsid w:val="00555E4A"/>
    <w:rsid w:val="00605CB1"/>
    <w:rsid w:val="00682FBB"/>
    <w:rsid w:val="008E4461"/>
    <w:rsid w:val="009020E2"/>
    <w:rsid w:val="00BC137F"/>
    <w:rsid w:val="00BD308D"/>
    <w:rsid w:val="00C90626"/>
    <w:rsid w:val="00D416B8"/>
    <w:rsid w:val="00F75478"/>
    <w:rsid w:val="00F974DC"/>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20B713"/>
  <w15:docId w15:val="{BF2B5A04-FD9D-E042-AFF8-1D4B5634F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4121</Words>
  <Characters>23492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2025-07-10T01:05:00Z</dcterms:created>
  <dcterms:modified xsi:type="dcterms:W3CDTF">2025-07-10T01:08:00Z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