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092A0" w14:textId="77777777" w:rsidR="00A570B8" w:rsidRDefault="00000000">
      <w:pPr>
        <w:pStyle w:val="Heading1"/>
      </w:pPr>
      <w:bookmarkStart w:id="0" w:name="methods"/>
      <w:r>
        <w:t>Methods</w:t>
      </w:r>
    </w:p>
    <w:p w14:paraId="6735EFDF" w14:textId="77777777" w:rsidR="00A570B8" w:rsidRDefault="00000000">
      <w:pPr>
        <w:pStyle w:val="Heading3"/>
      </w:pPr>
      <w:bookmarkStart w:id="1" w:name="effect-size"/>
      <w:r>
        <w:rPr>
          <w:i/>
          <w:iCs/>
        </w:rPr>
        <w:t>Effect size</w:t>
      </w:r>
    </w:p>
    <w:p w14:paraId="1B401F7F" w14:textId="77777777" w:rsidR="00A570B8"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06050AAE" w14:textId="77777777" w:rsidR="00A570B8"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0A7769E4" w14:textId="77777777" w:rsidR="00A570B8"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2225F78B" w14:textId="77777777" w:rsidR="00A570B8" w:rsidRDefault="00000000">
      <w:pPr>
        <w:pStyle w:val="Heading3"/>
      </w:pPr>
      <w:bookmarkStart w:id="2" w:name="meta-analysis"/>
      <w:bookmarkEnd w:id="1"/>
      <w:r>
        <w:rPr>
          <w:i/>
          <w:iCs/>
        </w:rPr>
        <w:t>Meta-Analysis</w:t>
      </w:r>
    </w:p>
    <w:p w14:paraId="25964D50" w14:textId="77777777" w:rsidR="00A570B8"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1220CA49" w14:textId="77777777" w:rsidR="00A570B8" w:rsidRDefault="00000000">
      <w:pPr>
        <w:pStyle w:val="Heading4"/>
      </w:pPr>
      <w:bookmarkStart w:id="3" w:name="multi-level-meta-analysis-mlma-models"/>
      <w:r>
        <w:t>Multi-level Meta-analysis (MLMA) Models</w:t>
      </w:r>
    </w:p>
    <w:p w14:paraId="0EFD0C4B" w14:textId="77777777" w:rsidR="00A570B8"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w:t>
      </w:r>
      <w:hyperlink w:anchor="tbl-heterogeneity">
        <w:r>
          <w:rPr>
            <w:rStyle w:val="Hyperlink"/>
          </w:rPr>
          <w:t>1</w:t>
        </w:r>
      </w:hyperlink>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from future studies (Nakagawa </w:t>
      </w:r>
      <w:r>
        <w:rPr>
          <w:i/>
          <w:iCs/>
        </w:rPr>
        <w:t>et al.</w:t>
      </w:r>
      <w:r>
        <w:t xml:space="preserve">, 2021; Noble </w:t>
      </w:r>
      <w:r>
        <w:rPr>
          <w:i/>
          <w:iCs/>
        </w:rPr>
        <w:t>et al.</w:t>
      </w:r>
      <w:r>
        <w:t>, 2022).</w:t>
      </w:r>
    </w:p>
    <w:p w14:paraId="1CCD4E73" w14:textId="77777777" w:rsidR="00A570B8"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0B4743E8" w14:textId="77777777" w:rsidR="00A570B8" w:rsidRDefault="00000000">
      <w:pPr>
        <w:pStyle w:val="Heading4"/>
      </w:pPr>
      <w:bookmarkStart w:id="4" w:name="multi-level-meta-regression-mlmr-models"/>
      <w:bookmarkEnd w:id="3"/>
      <w:r>
        <w:t>Multi-level Meta-Regression (MLMR) Models</w:t>
      </w:r>
    </w:p>
    <w:p w14:paraId="4804E29D" w14:textId="77777777" w:rsidR="00A570B8" w:rsidRDefault="00000000">
      <w:pPr>
        <w:pStyle w:val="FirstParagraph"/>
      </w:pPr>
      <w:r>
        <w:t>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Despite this, a number of moderators were relevant to all stressor manipulation types and were included in all models. These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moderators to capture differences in effect variation.</w:t>
      </w:r>
    </w:p>
    <w:p w14:paraId="7E7677E0" w14:textId="77777777" w:rsidR="00A570B8" w:rsidRDefault="00000000">
      <w:pPr>
        <w:pStyle w:val="BodyText"/>
      </w:pPr>
      <w:r>
        <w:t>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high fat, low protein, etc.). We expected that the different measurement categories would exhibit different responses to nutritional stress and so we also included an interaction between measurement category and nutritional manipulation type. Data exploration showed gaps across taxa in the types of nutritional manipulations done, with mammals showing clear differences in the type of manipulation. As such, we subset mammals out and refit these models in this group only.</w:t>
      </w:r>
    </w:p>
    <w:p w14:paraId="21E1BA39" w14:textId="77777777" w:rsidR="00A570B8" w:rsidRDefault="00000000">
      <w:pPr>
        <w:pStyle w:val="Heading1"/>
      </w:pPr>
      <w:bookmarkStart w:id="5" w:name="results"/>
      <w:bookmarkEnd w:id="0"/>
      <w:bookmarkEnd w:id="2"/>
      <w:bookmarkEnd w:id="4"/>
      <w:r>
        <w:t>Results</w:t>
      </w:r>
    </w:p>
    <w:tbl>
      <w:tblPr>
        <w:tblStyle w:val="Table"/>
        <w:tblW w:w="5000" w:type="pct"/>
        <w:tblLayout w:type="fixed"/>
        <w:tblLook w:val="0000" w:firstRow="0" w:lastRow="0" w:firstColumn="0" w:lastColumn="0" w:noHBand="0" w:noVBand="0"/>
      </w:tblPr>
      <w:tblGrid>
        <w:gridCol w:w="10538"/>
      </w:tblGrid>
      <w:tr w:rsidR="00A570B8" w14:paraId="72CCCB32" w14:textId="77777777">
        <w:tc>
          <w:tcPr>
            <w:tcW w:w="7920" w:type="dxa"/>
          </w:tcPr>
          <w:p w14:paraId="6BB1DB1F" w14:textId="77777777" w:rsidR="00A570B8" w:rsidRDefault="00000000">
            <w:pPr>
              <w:pStyle w:val="ImageCaption"/>
              <w:spacing w:before="200"/>
            </w:pPr>
            <w:bookmarkStart w:id="6" w:name="tbl-heterogeneity"/>
            <w:r>
              <w:t>Table 1- Heterogeneity estimates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A570B8" w14:paraId="6161EDE1"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019D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5D18D0"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8DC220"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5D01F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205CDB"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7236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35610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D8687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C811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A570B8" w14:paraId="2F2C5FD3"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FC15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99A1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A7DD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A6E3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2BD9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F6D7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6FE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DE76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37AD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A570B8" w14:paraId="425EDFC2"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F3B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5EFE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1042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9FFF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DD430"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2226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DE77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670BD"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FE3B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A570B8" w14:paraId="40B7076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AE2E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EA90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62D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777C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B8E9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A53FA"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49A3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C847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1F52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A570B8" w14:paraId="1A62E60D"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A2D3DA"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A6343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D78D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81DB0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45E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D1944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31D22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5775F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5531C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6"/>
          </w:tbl>
          <w:p w14:paraId="5F203CE3" w14:textId="77777777" w:rsidR="00000000" w:rsidRDefault="00000000">
            <w:pPr>
              <w:spacing w:after="0"/>
              <w:rPr>
                <w:rFonts w:asciiTheme="minorHAnsi" w:hAnsiTheme="minorHAnsi"/>
              </w:rPr>
            </w:pPr>
          </w:p>
        </w:tc>
      </w:tr>
      <w:tr w:rsidR="00A570B8" w14:paraId="2763E803" w14:textId="77777777">
        <w:tc>
          <w:tcPr>
            <w:tcW w:w="7920" w:type="dxa"/>
          </w:tcPr>
          <w:p w14:paraId="359C2B3C" w14:textId="77777777" w:rsidR="00A570B8" w:rsidRDefault="00000000">
            <w:pPr>
              <w:pStyle w:val="Compact"/>
              <w:jc w:val="center"/>
            </w:pPr>
            <w:bookmarkStart w:id="7" w:name="fig-phylo"/>
            <w:r>
              <w:rPr>
                <w:noProof/>
              </w:rPr>
              <w:lastRenderedPageBreak/>
              <w:drawing>
                <wp:inline distT="0" distB="0" distL="0" distR="0" wp14:anchorId="267F6BCE" wp14:editId="01578D1D">
                  <wp:extent cx="5504749" cy="825712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results_files/figure-docx/fig-phylo-1.png"/>
                          <pic:cNvPicPr>
                            <a:picLocks noChangeAspect="1" noChangeArrowheads="1"/>
                          </pic:cNvPicPr>
                        </pic:nvPicPr>
                        <pic:blipFill>
                          <a:blip r:embed="rId5"/>
                          <a:stretch>
                            <a:fillRect/>
                          </a:stretch>
                        </pic:blipFill>
                        <pic:spPr bwMode="auto">
                          <a:xfrm>
                            <a:off x="0" y="0"/>
                            <a:ext cx="5504749" cy="8257123"/>
                          </a:xfrm>
                          <a:prstGeom prst="rect">
                            <a:avLst/>
                          </a:prstGeom>
                          <a:noFill/>
                          <a:ln w="9525">
                            <a:noFill/>
                            <a:headEnd/>
                            <a:tailEnd/>
                          </a:ln>
                        </pic:spPr>
                      </pic:pic>
                    </a:graphicData>
                  </a:graphic>
                </wp:inline>
              </w:drawing>
            </w:r>
          </w:p>
          <w:p w14:paraId="43337031" w14:textId="77777777" w:rsidR="00A570B8" w:rsidRDefault="00000000">
            <w:pPr>
              <w:pStyle w:val="ImageCaption"/>
              <w:spacing w:before="200"/>
            </w:pPr>
            <w:r>
              <w:lastRenderedPageBreak/>
              <w:t>Figure 1- Phylogeny of species included in the meta-analysis.</w:t>
            </w:r>
          </w:p>
        </w:tc>
        <w:bookmarkEnd w:id="7"/>
      </w:tr>
    </w:tbl>
    <w:p w14:paraId="3EC87742" w14:textId="77777777" w:rsidR="00A570B8" w:rsidRDefault="00000000">
      <w:pPr>
        <w:pStyle w:val="BodyText"/>
      </w:pPr>
      <w:r>
        <w:lastRenderedPageBreak/>
        <w:t>In total, we collected 1147 effect sizes from 21 species (</w:t>
      </w:r>
      <w:hyperlink w:anchor="fig-phylo">
        <w:r>
          <w:rPr>
            <w:rStyle w:val="Hyperlink"/>
          </w:rPr>
          <w:t>Figure 1</w:t>
        </w:r>
      </w:hyperlink>
      <w:r>
        <w:t xml:space="preserve">) and 86 studies across the different stressors (Table </w:t>
      </w:r>
      <w:hyperlink w:anchor="tbl-heterogeneity">
        <w:r>
          <w:rPr>
            <w:rStyle w:val="Hyperlink"/>
          </w:rPr>
          <w:t>1</w:t>
        </w:r>
      </w:hyperlink>
      <w:r>
        <w:t>). There were clear taxonomic biases. The majority of effects came from studies on mammals (effects = 951, studies = 64), and these were only from 4 species (</w:t>
      </w:r>
      <w:r>
        <w:rPr>
          <w:i/>
          <w:iCs/>
        </w:rPr>
        <w:t>Mus musculus</w:t>
      </w:r>
      <w:r>
        <w:t xml:space="preserve">, </w:t>
      </w:r>
      <w:r>
        <w:rPr>
          <w:i/>
          <w:iCs/>
        </w:rPr>
        <w:t>Rattus norvegicus</w:t>
      </w:r>
      <w:r>
        <w:t xml:space="preserve">, </w:t>
      </w:r>
      <w:r>
        <w:rPr>
          <w:i/>
          <w:iCs/>
        </w:rPr>
        <w:t>Ovis aries</w:t>
      </w:r>
      <w:r>
        <w:t xml:space="preserve"> and </w:t>
      </w:r>
      <w:r>
        <w:rPr>
          <w:i/>
          <w:iCs/>
        </w:rPr>
        <w:t>Capra hircus</w:t>
      </w:r>
      <w:r>
        <w:t>). Fish had the second most effects (105, species = 9 and studies = 10) followed by birds (75, species = 6 and studies = 11) and amphibians (16, species = 2 from only 1 study).</w:t>
      </w:r>
    </w:p>
    <w:p w14:paraId="2B93F359" w14:textId="77777777" w:rsidR="00A570B8" w:rsidRDefault="00000000">
      <w:pPr>
        <w:pStyle w:val="Heading2"/>
      </w:pPr>
      <w:bookmarkStart w:id="8" w:name="Xe2bc17fd9e9f4877f1c79190d12acc279eca167"/>
      <w:r>
        <w:t>Corticosterone developmental impacts on mitochondrial function</w:t>
      </w:r>
    </w:p>
    <w:p w14:paraId="65EB6509" w14:textId="77777777" w:rsidR="00A570B8"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Effect heterogeneity was high (95% Prediction Intervals: -3.07 to 1.23;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Table </w:t>
      </w:r>
      <w:hyperlink w:anchor="tbl-heterogeneity">
        <w:r>
          <w:rPr>
            <w:rStyle w:val="Hyperlink"/>
          </w:rPr>
          <w:t>1</w:t>
        </w:r>
      </w:hyperlink>
      <w:r>
        <w:t xml:space="preserve">) with little to no variation explained by phylogeny (Table </w:t>
      </w:r>
      <w:hyperlink w:anchor="tbl-heterogeneity">
        <w:r>
          <w:rPr>
            <w:rStyle w:val="Hyperlink"/>
          </w:rPr>
          <w:t>1</w:t>
        </w:r>
      </w:hyperlink>
      <w:r>
        <w:t>).</w:t>
      </w:r>
    </w:p>
    <w:p w14:paraId="129003F5" w14:textId="77777777" w:rsidR="00A570B8" w:rsidRDefault="00000000">
      <w:pPr>
        <w:pStyle w:val="BodyText"/>
      </w:pPr>
      <w:r>
        <w:t>Prenatal exposure to corticosterone had a larger negative impact on mitochondrial function than postnatal exposure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 -2.43 to 0.26), however, this effect was not significant (</w:t>
      </w:r>
      <m:oMath>
        <m:r>
          <w:rPr>
            <w:rFonts w:ascii="Cambria Math" w:hAnsi="Cambria Math"/>
          </w:rPr>
          <m:t>p</m:t>
        </m:r>
      </m:oMath>
      <w:r>
        <w:t xml:space="preserve"> = 0.11; </w:t>
      </w:r>
      <w:hyperlink w:anchor="fig-orchard_prepost">
        <w:r>
          <w:rPr>
            <w:rStyle w:val="Hyperlink"/>
          </w:rPr>
          <w:t>Figure 5</w:t>
        </w:r>
      </w:hyperlink>
      <w:r>
        <w:t>a).</w:t>
      </w:r>
    </w:p>
    <w:p w14:paraId="39F480E2" w14:textId="77777777" w:rsidR="00A570B8" w:rsidRDefault="00000000">
      <w:pPr>
        <w:pStyle w:val="BodyText"/>
      </w:pPr>
      <w:r>
        <w:t>Mitochondrial function was supressed across all major functional categories in a similar fashion with no significant differences among functional categories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3</m:t>
                </m:r>
                <m:r>
                  <m:rPr>
                    <m:sty m:val="p"/>
                  </m:rPr>
                  <w:rPr>
                    <w:rFonts w:ascii="Cambria Math" w:hAnsi="Cambria Math"/>
                  </w:rPr>
                  <m:t>,</m:t>
                </m:r>
                <m:r>
                  <w:rPr>
                    <w:rFonts w:ascii="Cambria Math" w:hAnsi="Cambria Math"/>
                  </w:rPr>
                  <m:t>136</m:t>
                </m:r>
              </m:sub>
            </m:sSub>
          </m:sub>
        </m:sSub>
      </m:oMath>
      <w:r>
        <w:t xml:space="preserve"> = 1.49, </w:t>
      </w:r>
      <m:oMath>
        <m:r>
          <w:rPr>
            <w:rFonts w:ascii="Cambria Math" w:hAnsi="Cambria Math"/>
          </w:rPr>
          <m:t>p</m:t>
        </m:r>
      </m:oMath>
      <w:r>
        <w:t xml:space="preserve"> = 0.22 </w:t>
      </w:r>
      <w:hyperlink w:anchor="fig-orchard_measure">
        <w:r>
          <w:rPr>
            <w:rStyle w:val="Hyperlink"/>
          </w:rPr>
          <w:t>Figure 3</w:t>
        </w:r>
      </w:hyperlink>
      <w:r>
        <w:t xml:space="preserve">a). Treatment with corticostrone supressed respiration and metabolic capacity the greatest (respiraton: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-0.81, 95% CI: -1.58 to -0.05, </w:t>
      </w:r>
      <m:oMath>
        <m:r>
          <w:rPr>
            <w:rFonts w:ascii="Cambria Math" w:hAnsi="Cambria Math"/>
          </w:rPr>
          <m:t>p</m:t>
        </m:r>
      </m:oMath>
      <w:r>
        <w:t xml:space="preserve"> = 0.04;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-1.86 to -0.33, </w:t>
      </w:r>
      <m:oMath>
        <m:r>
          <w:rPr>
            <w:rFonts w:ascii="Cambria Math" w:hAnsi="Cambria Math"/>
          </w:rPr>
          <m:t>p</m:t>
        </m:r>
      </m:oMath>
      <w:r>
        <w:t xml:space="preserve"> = 0.01) and increasing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-0.71, 95% CI: -1.49 to 0.07, </w:t>
      </w:r>
      <m:oMath>
        <m:r>
          <w:rPr>
            <w:rFonts w:ascii="Cambria Math" w:hAnsi="Cambria Math"/>
          </w:rPr>
          <m:t>p</m:t>
        </m:r>
      </m:oMath>
      <w:r>
        <w:t xml:space="preserve"> = 0.07).</w:t>
      </w:r>
    </w:p>
    <w:p w14:paraId="74011E63" w14:textId="77777777" w:rsidR="00A570B8" w:rsidRDefault="00000000">
      <w:pPr>
        <w:pStyle w:val="BodyText"/>
      </w:pPr>
      <w:r>
        <w:t>While effects appeared to be stronger in mammals, there were no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137</m:t>
                </m:r>
              </m:sub>
            </m:sSub>
          </m:sub>
        </m:sSub>
      </m:oMath>
      <w:r>
        <w:t xml:space="preserve"> = 0.26, </w:t>
      </w:r>
      <m:oMath>
        <m:r>
          <w:rPr>
            <w:rFonts w:ascii="Cambria Math" w:hAnsi="Cambria Math"/>
          </w:rPr>
          <m:t>p</m:t>
        </m:r>
      </m:oMath>
      <w:r>
        <w:t xml:space="preserve"> = 0.77; </w:t>
      </w:r>
      <w:hyperlink w:anchor="fig-orchard_taxa">
        <w:r>
          <w:rPr>
            <w:rStyle w:val="Hyperlink"/>
          </w:rPr>
          <w:t>Figure 4</w:t>
        </w:r>
      </w:hyperlink>
      <w:r>
        <w:t>a). Overall, mitochondrial function was supressed in mammals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-2.17 to -0.14, </w:t>
      </w:r>
      <m:oMath>
        <m:r>
          <w:rPr>
            <w:rFonts w:ascii="Cambria Math" w:hAnsi="Cambria Math"/>
          </w:rPr>
          <m:t>p</m:t>
        </m:r>
      </m:oMath>
      <w:r>
        <w:t xml:space="preserve"> = 0.03) and fish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-2.55 to 0.26, </w:t>
      </w:r>
      <m:oMath>
        <m:r>
          <w:rPr>
            <w:rFonts w:ascii="Cambria Math" w:hAnsi="Cambria Math"/>
          </w:rPr>
          <m:t>p</m:t>
        </m:r>
      </m:oMath>
      <w:r>
        <w:t xml:space="preserve"> = 0.11), with effects being weaker (albeit still negative) in birds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-0.49, 95% CI: -2.01 to 1.02, </w:t>
      </w:r>
      <m:oMath>
        <m:r>
          <w:rPr>
            <w:rFonts w:ascii="Cambria Math" w:hAnsi="Cambria Math"/>
          </w:rPr>
          <m:t>p</m:t>
        </m:r>
      </m:oMath>
      <w:r>
        <w:t xml:space="preserve"> = 0.52).</w:t>
      </w:r>
    </w:p>
    <w:p w14:paraId="69F7B652" w14:textId="77777777" w:rsidR="00A570B8" w:rsidRDefault="00000000">
      <w:pPr>
        <w:pStyle w:val="Heading2"/>
      </w:pPr>
      <w:bookmarkStart w:id="9" w:name="X3eaa2f4fc97f53eb296ff61b4cde54c31beee68"/>
      <w:bookmarkEnd w:id="8"/>
      <w:r>
        <w:t>Social deprivation developmental impacts on mitochondrial function</w:t>
      </w:r>
    </w:p>
    <w:p w14:paraId="5F1A5974" w14:textId="77777777" w:rsidR="00A570B8" w:rsidRDefault="00000000">
      <w:pPr>
        <w:pStyle w:val="FirstParagraph"/>
      </w:pPr>
      <w:r>
        <w:t>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Effect heterogeneity was again high (95% Prediction Intervals: -3.43 to 1.82;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w:t>
      </w:r>
    </w:p>
    <w:p w14:paraId="10E6A60A" w14:textId="77777777" w:rsidR="00A570B8" w:rsidRDefault="00000000">
      <w:pPr>
        <w:pStyle w:val="BodyText"/>
      </w:pPr>
      <w:r>
        <w:t>Social deprevation studies were only ever done with mammals, and all studies manipulated environments postnatally. Mitochondrial function was supressed across all major functional categories but they did not differ significantly from each other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169</m:t>
                </m:r>
              </m:sub>
            </m:sSub>
          </m:sub>
        </m:sSub>
      </m:oMath>
      <w:r>
        <w:t xml:space="preserve"> = 1.7, </w:t>
      </w:r>
      <m:oMath>
        <m:r>
          <w:rPr>
            <w:rFonts w:ascii="Cambria Math" w:hAnsi="Cambria Math"/>
          </w:rPr>
          <m:t>p</m:t>
        </m:r>
      </m:oMath>
      <w:r>
        <w:t xml:space="preserve"> = 0.19; </w:t>
      </w:r>
      <w:hyperlink w:anchor="fig-orchard_measure">
        <w:r>
          <w:rPr>
            <w:rStyle w:val="Hyperlink"/>
          </w:rPr>
          <w:t>Figure 3</w:t>
        </w:r>
      </w:hyperlink>
      <w:r>
        <w:t>b). Effects were more negative for antioxidant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-1.51, 95% CI: -2.48 to -0.53, </w:t>
      </w:r>
      <m:oMath>
        <m:r>
          <w:rPr>
            <w:rFonts w:ascii="Cambria Math" w:hAnsi="Cambria Math"/>
          </w:rPr>
          <m:t>p</m:t>
        </m:r>
      </m:oMath>
      <w:r>
        <w:t xml:space="preserve"> = 0) and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-1.17, 95% CI: -2.03 to -0.32, </w:t>
      </w:r>
      <m:oMath>
        <m:r>
          <w:rPr>
            <w:rFonts w:ascii="Cambria Math" w:hAnsi="Cambria Math"/>
          </w:rPr>
          <m:t>p</m:t>
        </m:r>
      </m:oMath>
      <w:r>
        <w:t xml:space="preserve"> = 0.01). While metabolic capacity was also supressed overall, it was not significantly different from zero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-0.47, 95% CI: -1.03 to 0.1, </w:t>
      </w:r>
      <m:oMath>
        <m:r>
          <w:rPr>
            <w:rFonts w:ascii="Cambria Math" w:hAnsi="Cambria Math"/>
          </w:rPr>
          <m:t>p</m:t>
        </m:r>
      </m:oMath>
      <w:r>
        <w:t xml:space="preserve"> = 0.11; </w:t>
      </w:r>
      <w:hyperlink w:anchor="fig-orchard_measure">
        <w:r>
          <w:rPr>
            <w:rStyle w:val="Hyperlink"/>
          </w:rPr>
          <w:t>Figure 3</w:t>
        </w:r>
      </w:hyperlink>
      <w:r>
        <w:t>b).</w:t>
      </w:r>
    </w:p>
    <w:p w14:paraId="7B7C7A83" w14:textId="77777777" w:rsidR="00A570B8" w:rsidRDefault="00000000">
      <w:pPr>
        <w:pStyle w:val="Heading2"/>
      </w:pPr>
      <w:bookmarkStart w:id="10" w:name="X1993f06334642c2668eb710601bf8c404293b64"/>
      <w:bookmarkEnd w:id="9"/>
      <w:r>
        <w:lastRenderedPageBreak/>
        <w:t>Disturbance developmental impacts on mitochondrial function</w:t>
      </w:r>
    </w:p>
    <w:p w14:paraId="7174EC39" w14:textId="77777777" w:rsidR="00A570B8" w:rsidRDefault="00000000">
      <w:pPr>
        <w:pStyle w:val="FirstParagraph"/>
      </w:pPr>
      <w:r>
        <w:t>Disturbance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Effect heterogeneity was high (95% Prediction Intervals: -3.17 to 1.57; Table </w:t>
      </w:r>
      <w:hyperlink w:anchor="tbl-heterogeneity">
        <w:r>
          <w:rPr>
            <w:rStyle w:val="Hyperlink"/>
          </w:rPr>
          <w:t>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57.25%)(Table </w:t>
      </w:r>
      <w:hyperlink w:anchor="tbl-heterogeneity">
        <w:r>
          <w:rPr>
            <w:rStyle w:val="Hyperlink"/>
          </w:rPr>
          <w:t>1</w:t>
        </w:r>
      </w:hyperlink>
      <w:r>
        <w:t>).</w:t>
      </w:r>
    </w:p>
    <w:p w14:paraId="2D97317B" w14:textId="77777777" w:rsidR="00A570B8" w:rsidRDefault="00000000">
      <w:pPr>
        <w:pStyle w:val="BodyText"/>
      </w:pPr>
      <w:r>
        <w:t>Impacts of disturbance affected functional categories significantly differently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3.18, </w:t>
      </w:r>
      <m:oMath>
        <m:r>
          <w:rPr>
            <w:rFonts w:ascii="Cambria Math" w:hAnsi="Cambria Math"/>
          </w:rPr>
          <m:t>p</m:t>
        </m:r>
      </m:oMath>
      <w:r>
        <w:t xml:space="preserve"> = 0.04 </w:t>
      </w:r>
      <w:hyperlink w:anchor="fig-orchard_measure">
        <w:r>
          <w:rPr>
            <w:rStyle w:val="Hyperlink"/>
          </w:rPr>
          <w:t>Figure 3</w:t>
        </w:r>
      </w:hyperlink>
      <w:r>
        <w:t>c). Oxidative damage was most impacted by disturbance stress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-1.02, 95% CI: -1.92 to -0.12, </w:t>
      </w:r>
      <m:oMath>
        <m:r>
          <w:rPr>
            <w:rFonts w:ascii="Cambria Math" w:hAnsi="Cambria Math"/>
          </w:rPr>
          <m:t>p</m:t>
        </m:r>
      </m:oMath>
      <w:r>
        <w:t xml:space="preserve"> = 0.03), and differed significantly from antioxidant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-0.62, 95% CI: -1.49 to 0.25, </w:t>
      </w:r>
      <m:oMath>
        <m:r>
          <w:rPr>
            <w:rFonts w:ascii="Cambria Math" w:hAnsi="Cambria Math"/>
          </w:rPr>
          <m:t>p</m:t>
        </m:r>
      </m:oMath>
      <w:r>
        <w:t xml:space="preserve"> = 0.16) and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-0.53, 95% CI: -1.42 to 0.36, </w:t>
      </w:r>
      <m:oMath>
        <m:r>
          <w:rPr>
            <w:rFonts w:ascii="Cambria Math" w:hAnsi="Cambria Math"/>
          </w:rPr>
          <m:t>p</m:t>
        </m:r>
      </m:oMath>
      <w:r>
        <w:t xml:space="preserve"> = 0.24) (</w:t>
      </w:r>
      <w:hyperlink w:anchor="fig-orchard_measure">
        <w:r>
          <w:rPr>
            <w:rStyle w:val="Hyperlink"/>
          </w:rPr>
          <w:t>Figure 3</w:t>
        </w:r>
      </w:hyperlink>
      <w:r>
        <w:t>c).</w:t>
      </w:r>
    </w:p>
    <w:p w14:paraId="1C520F62" w14:textId="77777777" w:rsidR="00A570B8" w:rsidRDefault="00000000">
      <w:pPr>
        <w:pStyle w:val="BodyText"/>
      </w:pPr>
      <w:r>
        <w:t>Disturbance stress occured only postnatally in fish and birds, whereas in mammals disturbance stressors were also applied prenatally. As such, there was some taxonomic bias. However, we did not find any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1.48, </w:t>
      </w:r>
      <m:oMath>
        <m:r>
          <w:rPr>
            <w:rFonts w:ascii="Cambria Math" w:hAnsi="Cambria Math"/>
          </w:rPr>
          <m:t>p</m:t>
        </m:r>
      </m:oMath>
      <w:r>
        <w:t xml:space="preserve"> = 0.23; </w:t>
      </w:r>
      <w:hyperlink w:anchor="fig-orchard_taxa">
        <w:r>
          <w:rPr>
            <w:rStyle w:val="Hyperlink"/>
          </w:rPr>
          <w:t>Figur</w:t>
        </w:r>
        <w:r>
          <w:rPr>
            <w:rStyle w:val="Hyperlink"/>
          </w:rPr>
          <w:t>e</w:t>
        </w:r>
        <w:r>
          <w:rPr>
            <w:rStyle w:val="Hyperlink"/>
          </w:rPr>
          <w:t> 4</w:t>
        </w:r>
      </w:hyperlink>
      <w:r>
        <w:t xml:space="preserve">b). Despite this, we found evidence that prenatal and post-natal disturbance stressors had different impacts on mitochondrial function. Prenatal disturbance stressors had a significantly larger negative impact on mitochondrial function than postnatal disturbance stressors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-0.45, 95% CI = -1.55 to 0.65, </w:t>
      </w:r>
      <m:oMath>
        <m:r>
          <w:rPr>
            <w:rFonts w:ascii="Cambria Math" w:hAnsi="Cambria Math"/>
          </w:rPr>
          <m:t>p</m:t>
        </m:r>
      </m:oMath>
      <w:r>
        <w:t xml:space="preserve"> = 0.42; </w:t>
      </w:r>
      <w:hyperlink w:anchor="fig-orchard_prepost">
        <w:r>
          <w:rPr>
            <w:rStyle w:val="Hyperlink"/>
          </w:rPr>
          <w:t>Figure 5</w:t>
        </w:r>
      </w:hyperlink>
      <w:r>
        <w:t>b). Overall, prenatal disturbance stressors had a larger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-1.19, 95% CI = -2.07 to -0.31, </w:t>
      </w:r>
      <m:oMath>
        <m:r>
          <w:rPr>
            <w:rFonts w:ascii="Cambria Math" w:hAnsi="Cambria Math"/>
          </w:rPr>
          <m:t>p</m:t>
        </m:r>
      </m:oMath>
      <w:r>
        <w:t xml:space="preserve"> = 0.01), whereas postnatal disturbance stressors had a smaller negative impact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-0.74, 95% CI = -1.46 to -0.02, </w:t>
      </w:r>
      <m:oMath>
        <m:r>
          <w:rPr>
            <w:rFonts w:ascii="Cambria Math" w:hAnsi="Cambria Math"/>
          </w:rPr>
          <m:t>p</m:t>
        </m:r>
      </m:oMath>
      <w:r>
        <w:t xml:space="preserve"> = 0.04).</w:t>
      </w:r>
    </w:p>
    <w:p w14:paraId="1324D1F6" w14:textId="77777777" w:rsidR="00A570B8" w:rsidRDefault="00000000">
      <w:pPr>
        <w:pStyle w:val="Heading2"/>
      </w:pPr>
      <w:bookmarkStart w:id="11" w:name="Xa705be15309f24333faaeb6831ae288750d7037"/>
      <w:bookmarkEnd w:id="10"/>
      <w:r>
        <w:t>Nutrition developmental impacts on mitochondrial function</w:t>
      </w:r>
    </w:p>
    <w:p w14:paraId="0697760E" w14:textId="77777777" w:rsidR="00A570B8" w:rsidRDefault="00000000">
      <w:pPr>
        <w:pStyle w:val="FirstParagraph"/>
      </w:pPr>
      <w:r>
        <w:t>Nutritional stress during development had limited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 xml:space="preserve">d). Effect heterogeneity was high (95% Prediction Intervals: -2.85 to 2.08;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(Table </w:t>
      </w:r>
      <w:hyperlink w:anchor="tbl-heterogeneity">
        <w:r>
          <w:rPr>
            <w:rStyle w:val="Hyperlink"/>
          </w:rPr>
          <w:t>1</w:t>
        </w:r>
      </w:hyperlink>
      <w:r>
        <w:t>).</w:t>
      </w:r>
    </w:p>
    <w:tbl>
      <w:tblPr>
        <w:tblStyle w:val="Table"/>
        <w:tblW w:w="5000" w:type="pct"/>
        <w:tblLayout w:type="fixed"/>
        <w:tblLook w:val="0000" w:firstRow="0" w:lastRow="0" w:firstColumn="0" w:lastColumn="0" w:noHBand="0" w:noVBand="0"/>
      </w:tblPr>
      <w:tblGrid>
        <w:gridCol w:w="10538"/>
      </w:tblGrid>
      <w:tr w:rsidR="00A570B8" w14:paraId="537ADBCE" w14:textId="77777777">
        <w:tc>
          <w:tcPr>
            <w:tcW w:w="7920" w:type="dxa"/>
          </w:tcPr>
          <w:p w14:paraId="7B98A696" w14:textId="77777777" w:rsidR="00A570B8" w:rsidRDefault="00000000">
            <w:pPr>
              <w:pStyle w:val="Compact"/>
              <w:jc w:val="center"/>
            </w:pPr>
            <w:bookmarkStart w:id="12" w:name="fig-orchard_int"/>
            <w:r>
              <w:rPr>
                <w:noProof/>
              </w:rPr>
              <w:lastRenderedPageBreak/>
              <w:drawing>
                <wp:inline distT="0" distB="0" distL="0" distR="0" wp14:anchorId="16CD4BC2" wp14:editId="5CE00A1F">
                  <wp:extent cx="6680200" cy="458445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results_files/figure-docx/fig-orchard_int-1.png"/>
                          <pic:cNvPicPr>
                            <a:picLocks noChangeAspect="1" noChangeArrowheads="1"/>
                          </pic:cNvPicPr>
                        </pic:nvPicPr>
                        <pic:blipFill>
                          <a:blip r:embed="rId6"/>
                          <a:stretch>
                            <a:fillRect/>
                          </a:stretch>
                        </pic:blipFill>
                        <pic:spPr bwMode="auto">
                          <a:xfrm>
                            <a:off x="0" y="0"/>
                            <a:ext cx="6680200" cy="4584450"/>
                          </a:xfrm>
                          <a:prstGeom prst="rect">
                            <a:avLst/>
                          </a:prstGeom>
                          <a:noFill/>
                          <a:ln w="9525">
                            <a:noFill/>
                            <a:headEnd/>
                            <a:tailEnd/>
                          </a:ln>
                        </pic:spPr>
                      </pic:pic>
                    </a:graphicData>
                  </a:graphic>
                </wp:inline>
              </w:drawing>
            </w:r>
          </w:p>
          <w:p w14:paraId="2A3BCED7" w14:textId="77777777" w:rsidR="00A570B8" w:rsidRDefault="00000000">
            <w:pPr>
              <w:pStyle w:val="ImageCaption"/>
              <w:spacing w:before="200"/>
            </w:pPr>
            <w:r>
              <w:t>Figure 2- Orchard plots showing the overall meta-analytic mean effect size and 95% prediction intervals for each stressor category.</w:t>
            </w:r>
          </w:p>
        </w:tc>
        <w:bookmarkEnd w:id="12"/>
      </w:tr>
      <w:tr w:rsidR="00A570B8" w14:paraId="6AF4127A" w14:textId="77777777">
        <w:tc>
          <w:tcPr>
            <w:tcW w:w="7920" w:type="dxa"/>
          </w:tcPr>
          <w:p w14:paraId="2B4F558A" w14:textId="77777777" w:rsidR="00A570B8" w:rsidRDefault="00000000">
            <w:pPr>
              <w:pStyle w:val="Compact"/>
              <w:jc w:val="center"/>
            </w:pPr>
            <w:bookmarkStart w:id="13" w:name="fig-orchard_measure"/>
            <w:r>
              <w:rPr>
                <w:noProof/>
              </w:rPr>
              <w:lastRenderedPageBreak/>
              <w:drawing>
                <wp:inline distT="0" distB="0" distL="0" distR="0" wp14:anchorId="19F138E5" wp14:editId="56205B18">
                  <wp:extent cx="6680200" cy="6680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results_files/figure-docx/fig-orchard_measure-1.png"/>
                          <pic:cNvPicPr>
                            <a:picLocks noChangeAspect="1" noChangeArrowheads="1"/>
                          </pic:cNvPicPr>
                        </pic:nvPicPr>
                        <pic:blipFill>
                          <a:blip r:embed="rId7"/>
                          <a:stretch>
                            <a:fillRect/>
                          </a:stretch>
                        </pic:blipFill>
                        <pic:spPr bwMode="auto">
                          <a:xfrm>
                            <a:off x="0" y="0"/>
                            <a:ext cx="6680200" cy="6680200"/>
                          </a:xfrm>
                          <a:prstGeom prst="rect">
                            <a:avLst/>
                          </a:prstGeom>
                          <a:noFill/>
                          <a:ln w="9525">
                            <a:noFill/>
                            <a:headEnd/>
                            <a:tailEnd/>
                          </a:ln>
                        </pic:spPr>
                      </pic:pic>
                    </a:graphicData>
                  </a:graphic>
                </wp:inline>
              </w:drawing>
            </w:r>
          </w:p>
          <w:p w14:paraId="1D915199" w14:textId="77777777" w:rsidR="00A570B8" w:rsidRDefault="00000000">
            <w:pPr>
              <w:pStyle w:val="ImageCaption"/>
              <w:spacing w:before="200"/>
            </w:pPr>
            <w:r>
              <w:t>Figure 3- Orchard plots showing the overall meta-analytic mean effect size and 95% prediction intervals for each stressor category for the different measurement types.</w:t>
            </w:r>
          </w:p>
        </w:tc>
        <w:bookmarkEnd w:id="13"/>
      </w:tr>
      <w:tr w:rsidR="00A570B8" w14:paraId="24E395BB" w14:textId="77777777">
        <w:tc>
          <w:tcPr>
            <w:tcW w:w="7920" w:type="dxa"/>
          </w:tcPr>
          <w:p w14:paraId="3075BF7E" w14:textId="77777777" w:rsidR="00A570B8" w:rsidRDefault="00000000">
            <w:pPr>
              <w:pStyle w:val="Compact"/>
              <w:jc w:val="center"/>
            </w:pPr>
            <w:bookmarkStart w:id="14" w:name="fig-orchard_taxa"/>
            <w:r>
              <w:rPr>
                <w:noProof/>
              </w:rPr>
              <w:lastRenderedPageBreak/>
              <w:drawing>
                <wp:inline distT="0" distB="0" distL="0" distR="0" wp14:anchorId="32538083" wp14:editId="4875DE6E">
                  <wp:extent cx="6680200" cy="2226733"/>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esults_files/figure-docx/fig-orchard_taxa-1.png"/>
                          <pic:cNvPicPr>
                            <a:picLocks noChangeAspect="1" noChangeArrowheads="1"/>
                          </pic:cNvPicPr>
                        </pic:nvPicPr>
                        <pic:blipFill>
                          <a:blip r:embed="rId8"/>
                          <a:stretch>
                            <a:fillRect/>
                          </a:stretch>
                        </pic:blipFill>
                        <pic:spPr bwMode="auto">
                          <a:xfrm>
                            <a:off x="0" y="0"/>
                            <a:ext cx="6680200" cy="2226733"/>
                          </a:xfrm>
                          <a:prstGeom prst="rect">
                            <a:avLst/>
                          </a:prstGeom>
                          <a:noFill/>
                          <a:ln w="9525">
                            <a:noFill/>
                            <a:headEnd/>
                            <a:tailEnd/>
                          </a:ln>
                        </pic:spPr>
                      </pic:pic>
                    </a:graphicData>
                  </a:graphic>
                </wp:inline>
              </w:drawing>
            </w:r>
          </w:p>
          <w:p w14:paraId="30401147" w14:textId="77777777" w:rsidR="00A570B8" w:rsidRDefault="00000000">
            <w:pPr>
              <w:pStyle w:val="ImageCaption"/>
              <w:spacing w:before="200"/>
            </w:pPr>
            <w:r>
              <w:t>Figure 4- Orchard plots showing the overall meta-analytic mean effect size and 95% prediction intervals for each stressor category for the different measurement types.</w:t>
            </w:r>
          </w:p>
        </w:tc>
        <w:bookmarkEnd w:id="14"/>
      </w:tr>
      <w:tr w:rsidR="00A570B8" w14:paraId="0F48B832" w14:textId="77777777">
        <w:tc>
          <w:tcPr>
            <w:tcW w:w="7920" w:type="dxa"/>
          </w:tcPr>
          <w:p w14:paraId="49F3DE9B" w14:textId="77777777" w:rsidR="00A570B8" w:rsidRDefault="00000000">
            <w:pPr>
              <w:pStyle w:val="Compact"/>
              <w:jc w:val="center"/>
            </w:pPr>
            <w:bookmarkStart w:id="15" w:name="fig-orchard_prepost"/>
            <w:r>
              <w:rPr>
                <w:noProof/>
              </w:rPr>
              <w:drawing>
                <wp:inline distT="0" distB="0" distL="0" distR="0" wp14:anchorId="6CE30EAE" wp14:editId="5DB7188E">
                  <wp:extent cx="6680200" cy="35627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_files/figure-docx/fig-orchard_prepost-1.png"/>
                          <pic:cNvPicPr>
                            <a:picLocks noChangeAspect="1" noChangeArrowheads="1"/>
                          </pic:cNvPicPr>
                        </pic:nvPicPr>
                        <pic:blipFill>
                          <a:blip r:embed="rId9"/>
                          <a:stretch>
                            <a:fillRect/>
                          </a:stretch>
                        </pic:blipFill>
                        <pic:spPr bwMode="auto">
                          <a:xfrm>
                            <a:off x="0" y="0"/>
                            <a:ext cx="6680200" cy="3562773"/>
                          </a:xfrm>
                          <a:prstGeom prst="rect">
                            <a:avLst/>
                          </a:prstGeom>
                          <a:noFill/>
                          <a:ln w="9525">
                            <a:noFill/>
                            <a:headEnd/>
                            <a:tailEnd/>
                          </a:ln>
                        </pic:spPr>
                      </pic:pic>
                    </a:graphicData>
                  </a:graphic>
                </wp:inline>
              </w:drawing>
            </w:r>
          </w:p>
          <w:p w14:paraId="2BAFB893" w14:textId="77777777" w:rsidR="00A570B8" w:rsidRDefault="00000000">
            <w:pPr>
              <w:pStyle w:val="ImageCaption"/>
              <w:spacing w:before="200"/>
            </w:pPr>
            <w:r>
              <w:t>Figure 5- Orchard plots showing the overall meta-analytic mean effect size and 95% prediction intervals for each stressor category for pre-natal versus postnatal manipulations.</w:t>
            </w:r>
          </w:p>
        </w:tc>
        <w:bookmarkEnd w:id="15"/>
      </w:tr>
    </w:tbl>
    <w:p w14:paraId="73CF1301" w14:textId="77777777" w:rsidR="00A570B8" w:rsidRDefault="00000000">
      <w:pPr>
        <w:pStyle w:val="Heading1"/>
      </w:pPr>
      <w:bookmarkStart w:id="16" w:name="references"/>
      <w:bookmarkEnd w:id="5"/>
      <w:bookmarkEnd w:id="11"/>
      <w:r>
        <w:t>References</w:t>
      </w:r>
    </w:p>
    <w:p w14:paraId="6A18FA15" w14:textId="77777777" w:rsidR="00A570B8" w:rsidRDefault="00A570B8">
      <w:pPr>
        <w:pStyle w:val="FirstParagraph"/>
      </w:pPr>
    </w:p>
    <w:p w14:paraId="5B3EE70C" w14:textId="77777777" w:rsidR="00A570B8" w:rsidRDefault="00000000">
      <w:pPr>
        <w:pStyle w:val="Bibliography"/>
      </w:pPr>
      <w:bookmarkStart w:id="17" w:name="ref-Bonett2008"/>
      <w:bookmarkStart w:id="18"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17329506" w14:textId="77777777" w:rsidR="00A570B8" w:rsidRDefault="00000000">
      <w:pPr>
        <w:pStyle w:val="Bibliography"/>
      </w:pPr>
      <w:bookmarkStart w:id="19" w:name="ref-Bonett2009"/>
      <w:bookmarkEnd w:id="17"/>
      <w:r>
        <w:rPr>
          <w:smallCaps/>
        </w:rPr>
        <w:lastRenderedPageBreak/>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0A8BBC9B" w14:textId="77777777" w:rsidR="00A570B8" w:rsidRDefault="00000000">
      <w:pPr>
        <w:pStyle w:val="Bibliography"/>
      </w:pPr>
      <w:bookmarkStart w:id="20" w:name="ref-Borenstein2009"/>
      <w:bookmarkEnd w:id="19"/>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2DCF4D58" w14:textId="77777777" w:rsidR="00A570B8" w:rsidRDefault="00000000">
      <w:pPr>
        <w:pStyle w:val="Bibliography"/>
      </w:pPr>
      <w:bookmarkStart w:id="21" w:name="ref-kumar2022timetree"/>
      <w:bookmarkEnd w:id="20"/>
      <w:r>
        <w:rPr>
          <w:smallCaps/>
        </w:rPr>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04D6E3F1" w14:textId="77777777" w:rsidR="00A570B8" w:rsidRDefault="00000000">
      <w:pPr>
        <w:pStyle w:val="Bibliography"/>
      </w:pPr>
      <w:bookmarkStart w:id="22" w:name="ref-Michonneau2016-if"/>
      <w:bookmarkEnd w:id="21"/>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42F34627" w14:textId="77777777" w:rsidR="00A570B8" w:rsidRDefault="00000000">
      <w:pPr>
        <w:pStyle w:val="Bibliography"/>
      </w:pPr>
      <w:bookmarkStart w:id="23" w:name="ref-nakagawaorchard"/>
      <w:bookmarkEnd w:id="22"/>
      <w:r>
        <w:rPr>
          <w:smallCaps/>
        </w:rPr>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09D72974" w14:textId="77777777" w:rsidR="00A570B8" w:rsidRDefault="00000000">
      <w:pPr>
        <w:pStyle w:val="Bibliography"/>
      </w:pPr>
      <w:bookmarkStart w:id="24" w:name="ref-Nakagawa2021-ls"/>
      <w:bookmarkEnd w:id="23"/>
      <w:r>
        <w:rPr>
          <w:smallCaps/>
        </w:rPr>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1E5DEE1B" w14:textId="77777777" w:rsidR="00A570B8" w:rsidRDefault="00000000">
      <w:pPr>
        <w:pStyle w:val="Bibliography"/>
      </w:pPr>
      <w:bookmarkStart w:id="25" w:name="ref-Nakagawa2012-oc"/>
      <w:bookmarkEnd w:id="24"/>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148446AC" w14:textId="77777777" w:rsidR="00A570B8" w:rsidRDefault="00000000">
      <w:pPr>
        <w:pStyle w:val="Bibliography"/>
      </w:pPr>
      <w:bookmarkStart w:id="26" w:name="ref-Noble2022-ty"/>
      <w:bookmarkEnd w:id="25"/>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3197E530" w14:textId="77777777" w:rsidR="00A570B8" w:rsidRDefault="00000000">
      <w:pPr>
        <w:pStyle w:val="Bibliography"/>
      </w:pPr>
      <w:bookmarkStart w:id="27" w:name="ref-Paradis2019-gx"/>
      <w:bookmarkEnd w:id="26"/>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2B403ED3" w14:textId="77777777" w:rsidR="00A570B8" w:rsidRDefault="00000000">
      <w:pPr>
        <w:pStyle w:val="Bibliography"/>
      </w:pPr>
      <w:bookmarkStart w:id="28" w:name="ref-Revell2012-vq"/>
      <w:bookmarkEnd w:id="27"/>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5AB6FD11" w14:textId="77777777" w:rsidR="00A570B8" w:rsidRDefault="00000000">
      <w:pPr>
        <w:pStyle w:val="Bibliography"/>
      </w:pPr>
      <w:bookmarkStart w:id="29" w:name="ref-Viechtbauer2010-fn"/>
      <w:bookmarkEnd w:id="28"/>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39175BE7" w14:textId="77777777" w:rsidR="00A570B8" w:rsidRDefault="00000000">
      <w:pPr>
        <w:pStyle w:val="Bibliography"/>
      </w:pPr>
      <w:bookmarkStart w:id="30" w:name="ref-Yang2023"/>
      <w:bookmarkEnd w:id="29"/>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502D87E1" w14:textId="77777777" w:rsidR="00A570B8" w:rsidRDefault="00000000">
      <w:pPr>
        <w:pStyle w:val="Bibliography"/>
      </w:pPr>
      <w:bookmarkStart w:id="31" w:name="ref-Yu2017-wj"/>
      <w:bookmarkEnd w:id="30"/>
      <w:r>
        <w:rPr>
          <w:smallCaps/>
        </w:rPr>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18"/>
    <w:bookmarkEnd w:id="31"/>
    <w:p w14:paraId="7DC2B034" w14:textId="77777777" w:rsidR="00A570B8" w:rsidRDefault="00A570B8">
      <w:pPr>
        <w:pStyle w:val="BodyText"/>
      </w:pPr>
    </w:p>
    <w:p w14:paraId="30EEC98E" w14:textId="77777777" w:rsidR="00A570B8" w:rsidRDefault="00000000">
      <w:pPr>
        <w:pStyle w:val="Heading1"/>
      </w:pPr>
      <w:bookmarkStart w:id="32" w:name="supplementary-materials"/>
      <w:bookmarkEnd w:id="16"/>
      <w:r>
        <w:t>Supplementary Materials</w:t>
      </w:r>
    </w:p>
    <w:tbl>
      <w:tblPr>
        <w:tblStyle w:val="Table"/>
        <w:tblW w:w="5000" w:type="pct"/>
        <w:tblLayout w:type="fixed"/>
        <w:tblLook w:val="0000" w:firstRow="0" w:lastRow="0" w:firstColumn="0" w:lastColumn="0" w:noHBand="0" w:noVBand="0"/>
      </w:tblPr>
      <w:tblGrid>
        <w:gridCol w:w="10538"/>
      </w:tblGrid>
      <w:tr w:rsidR="00A570B8" w14:paraId="05BB86FC" w14:textId="77777777">
        <w:tc>
          <w:tcPr>
            <w:tcW w:w="7920" w:type="dxa"/>
          </w:tcPr>
          <w:p w14:paraId="53B7206E" w14:textId="77777777" w:rsidR="00A570B8" w:rsidRDefault="00000000">
            <w:pPr>
              <w:pStyle w:val="ImageCaption"/>
              <w:spacing w:before="200"/>
            </w:pPr>
            <w:bookmarkStart w:id="33" w:name="tbl-heterogeneity_cv"/>
            <w:r>
              <w:t>Table 2- Heterogeneity estimates using CV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A570B8" w14:paraId="07EA93ED"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63FF9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w:lastRenderedPageBreak/>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521A3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C4138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2D3B2A"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43AB6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134C8A"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6BED7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83172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BE9F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obs</m:t>
                          </m:r>
                        </m:sub>
                        <m:sup>
                          <m:r>
                            <w:rPr>
                              <w:rFonts w:ascii="Cambria Math" w:hAnsi="Cambria Math"/>
                            </w:rPr>
                            <m:t>2</m:t>
                          </m:r>
                        </m:sup>
                      </m:sSubSup>
                    </m:oMath>
                  </m:oMathPara>
                </w:p>
              </w:tc>
            </w:tr>
            <w:tr w:rsidR="00A570B8" w14:paraId="58061228"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A89D"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66DB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D02A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27A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CA52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8BC8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6894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E102A"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0.97</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ECFC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0.30</w:t>
                  </w:r>
                </w:p>
              </w:tc>
            </w:tr>
            <w:tr w:rsidR="00A570B8" w14:paraId="09E744DC"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374F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A881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815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11B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C7AC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E9BB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F9D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2153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447E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0.55</w:t>
                  </w:r>
                </w:p>
              </w:tc>
            </w:tr>
            <w:tr w:rsidR="00A570B8" w14:paraId="784B1866"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95A8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2C62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DF1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56B6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6977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E6DB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35D5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FDED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4C5F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2.44</w:t>
                  </w:r>
                </w:p>
              </w:tc>
            </w:tr>
            <w:tr w:rsidR="00A570B8" w14:paraId="7FB2D2BB"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3FD6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4E793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8E2B58"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1B77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89458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3CFCFA"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C1A76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F4D0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7A7A4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1.19</w:t>
                  </w:r>
                </w:p>
              </w:tc>
            </w:tr>
            <w:bookmarkEnd w:id="33"/>
          </w:tbl>
          <w:p w14:paraId="0A4B4C51" w14:textId="77777777" w:rsidR="00000000" w:rsidRDefault="00000000">
            <w:pPr>
              <w:spacing w:after="0"/>
              <w:rPr>
                <w:rFonts w:asciiTheme="minorHAnsi" w:hAnsiTheme="minorHAnsi"/>
              </w:rPr>
            </w:pPr>
          </w:p>
        </w:tc>
      </w:tr>
      <w:tr w:rsidR="00A570B8" w14:paraId="21E482F6" w14:textId="77777777">
        <w:tc>
          <w:tcPr>
            <w:tcW w:w="7920" w:type="dxa"/>
          </w:tcPr>
          <w:p w14:paraId="063636EF" w14:textId="77777777" w:rsidR="00A570B8" w:rsidRDefault="00000000">
            <w:pPr>
              <w:pStyle w:val="ImageCaption"/>
              <w:spacing w:before="200"/>
            </w:pPr>
            <w:bookmarkStart w:id="34" w:name="tbl-heterogeneity_m2"/>
            <w:r>
              <w:lastRenderedPageBreak/>
              <w:t>Table 3- Heterogeneity M2</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A570B8" w14:paraId="2C7D44C4"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E629F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E3E87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9852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703C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391A3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AEEAB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70818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25A6E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7FDE3B"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obs</m:t>
                          </m:r>
                        </m:sub>
                        <m:sup>
                          <m:r>
                            <w:rPr>
                              <w:rFonts w:ascii="Cambria Math" w:hAnsi="Cambria Math"/>
                            </w:rPr>
                            <m:t>2</m:t>
                          </m:r>
                        </m:sup>
                      </m:sSubSup>
                    </m:oMath>
                  </m:oMathPara>
                </w:p>
              </w:tc>
            </w:tr>
            <w:tr w:rsidR="00A570B8" w14:paraId="1EE8A81C"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3EA0B"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695D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3DE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5ECB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9AEB"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207E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7182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5FF6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3386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0.14</w:t>
                  </w:r>
                </w:p>
              </w:tc>
            </w:tr>
            <w:tr w:rsidR="00A570B8" w14:paraId="0085BE75"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5ECF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0EC2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FF93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7BE0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18AE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A858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15C1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5D1B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B35A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0.23</w:t>
                  </w:r>
                </w:p>
              </w:tc>
            </w:tr>
            <w:tr w:rsidR="00A570B8" w14:paraId="48EF3CC2"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834DE"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1027D"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9529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20634"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DE31"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0.76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CEDD2"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C59F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6046"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0.27</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E4DE5"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r>
            <w:tr w:rsidR="00A570B8" w14:paraId="6ADD6624"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AADE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EE3F13"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692AB"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659100"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786F89"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0.62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5BBFFF"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182B0"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5F66BC"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F54177" w14:textId="77777777" w:rsidR="00A570B8"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r>
            <w:bookmarkEnd w:id="34"/>
          </w:tbl>
          <w:p w14:paraId="4AA47335" w14:textId="77777777" w:rsidR="00000000" w:rsidRDefault="00000000">
            <w:pPr>
              <w:spacing w:after="0"/>
              <w:rPr>
                <w:rFonts w:asciiTheme="minorHAnsi" w:hAnsiTheme="minorHAnsi"/>
              </w:rPr>
            </w:pPr>
          </w:p>
        </w:tc>
      </w:tr>
      <w:bookmarkEnd w:id="32"/>
    </w:tbl>
    <w:p w14:paraId="5680CE83" w14:textId="77777777" w:rsidR="006545E7" w:rsidRDefault="006545E7"/>
    <w:sectPr w:rsidR="006545E7"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1196962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87B56"/>
    <w:rsid w:val="000F64AC"/>
    <w:rsid w:val="003335E6"/>
    <w:rsid w:val="00464B1F"/>
    <w:rsid w:val="00555E4A"/>
    <w:rsid w:val="00605CB1"/>
    <w:rsid w:val="006545E7"/>
    <w:rsid w:val="00682FBB"/>
    <w:rsid w:val="008E4461"/>
    <w:rsid w:val="009020E2"/>
    <w:rsid w:val="00A570B8"/>
    <w:rsid w:val="00AB1AC3"/>
    <w:rsid w:val="00BC137F"/>
    <w:rsid w:val="00BD308D"/>
    <w:rsid w:val="00C90626"/>
    <w:rsid w:val="00D416B8"/>
    <w:rsid w:val="00F75478"/>
    <w:rsid w:val="00F9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697A36"/>
  <w15:docId w15:val="{698CAFF8-60BA-B744-A34A-95FA2BE0F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2025-07-08T10:52:00Z</dcterms:created>
  <dcterms:modified xsi:type="dcterms:W3CDTF">2025-07-08T11:01:00Z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