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2AD63" w14:textId="77777777" w:rsidR="00FE2A2E" w:rsidRDefault="00000000">
      <w:pPr>
        <w:pStyle w:val="Heading1"/>
      </w:pPr>
      <w:bookmarkStart w:id="0" w:name="methods"/>
      <w:r>
        <w:t>Methods</w:t>
      </w:r>
    </w:p>
    <w:p w14:paraId="6342843B" w14:textId="77777777" w:rsidR="00FE2A2E" w:rsidRDefault="00000000">
      <w:pPr>
        <w:pStyle w:val="Heading3"/>
      </w:pPr>
      <w:bookmarkStart w:id="1" w:name="effect-size"/>
      <w:r>
        <w:rPr>
          <w:i/>
          <w:iCs/>
        </w:rPr>
        <w:t>Effect size</w:t>
      </w:r>
    </w:p>
    <w:p w14:paraId="09D7C066" w14:textId="77777777" w:rsidR="00FE2A2E" w:rsidRDefault="00000000">
      <w:pPr>
        <w:pStyle w:val="FirstParagraph"/>
      </w:pPr>
      <w:r>
        <w:t>To quantify the impacts of developmental stress on mitochondrial function we calculated the standardized mean difference, assuming heteroscedastic population variances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(Bonett, 2008, 2009) along with its associated sampling error. We used the </w:t>
      </w:r>
      <w:r>
        <w:rPr>
          <w:i/>
          <w:iCs/>
        </w:rPr>
        <w:t>escalc</w:t>
      </w:r>
      <w:r>
        <w:t xml:space="preserve"> function of the </w:t>
      </w:r>
      <w:r>
        <w:rPr>
          <w:i/>
          <w:iCs/>
        </w:rPr>
        <w:t>metafor</w:t>
      </w:r>
      <w:r>
        <w:t xml:space="preserve"> package (vers. 4.6.0) (Viechtbauer, 2010) in R (vers. 4.3.1) which implements a correction to account for possible bias resulting from effect sizes calculated with small sample sizes (Borenstein &amp; Hedges, 2009). We choose to use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is more robust to these types of measurement variables. We calculated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 ‘coined’ (multiplied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p w14:paraId="34FCD149" w14:textId="77777777" w:rsidR="00FE2A2E" w:rsidRDefault="00000000">
      <w:pPr>
        <w:pStyle w:val="Heading3"/>
      </w:pPr>
      <w:bookmarkStart w:id="2" w:name="meta-analysis"/>
      <w:bookmarkEnd w:id="1"/>
      <w:r>
        <w:rPr>
          <w:i/>
          <w:iCs/>
        </w:rPr>
        <w:t>Meta-Analysis</w:t>
      </w:r>
    </w:p>
    <w:p w14:paraId="61F5BB41" w14:textId="77777777" w:rsidR="00FE2A2E" w:rsidRDefault="00000000">
      <w:pPr>
        <w:pStyle w:val="FirstParagraph"/>
      </w:pPr>
      <w:r>
        <w:t xml:space="preserve">We analysed our data using multilevel meta-analytic (MLMA) and meta-regression (MLMR) models in R using </w:t>
      </w:r>
      <w:r>
        <w:rPr>
          <w:i/>
          <w:iCs/>
        </w:rPr>
        <w:t>metafor</w:t>
      </w:r>
      <w:r>
        <w:t xml:space="preserve"> (vers. 4.6.0 Viechtbauer, 2010). Meta-analytic mean estimates and meta-regression models were plotted using orchard plots which convey overall meta-analytic means, alongside raw effect sizes and prediction intervals, which describe effect heterogeneity (vers. 2.0, Nakagawa </w:t>
      </w:r>
      <w:r>
        <w:rPr>
          <w:i/>
          <w:iCs/>
        </w:rPr>
        <w:t>et al.</w:t>
      </w:r>
      <w:r>
        <w:t>, 2021, 2023).</w:t>
      </w:r>
    </w:p>
    <w:p w14:paraId="2B1D8F5F" w14:textId="77777777" w:rsidR="00FE2A2E" w:rsidRDefault="00000000">
      <w:pPr>
        <w:pStyle w:val="Heading4"/>
      </w:pPr>
      <w:bookmarkStart w:id="3" w:name="multi-level-meta-analysis-mlma-models"/>
      <w:r>
        <w:t>Multi-level Meta-analysis (MLMA) Models</w:t>
      </w:r>
    </w:p>
    <w:p w14:paraId="2811F26D" w14:textId="77777777" w:rsidR="00FE2A2E" w:rsidRDefault="00000000">
      <w:pPr>
        <w:pStyle w:val="FirstParagraph"/>
      </w:pPr>
      <w:r>
        <w:t xml:space="preserve">Using data subsets for each of our major stressor categories, we first fit multi-level meta-analysis (MLMA) models (i.e., intercept-only models) with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that included study, species, tissue type, and phylogeny as random effects to account for non-independence and identify sources of variability. Given </w:t>
      </w:r>
      <w:r>
        <w:rPr>
          <w:i/>
          <w:iCs/>
        </w:rPr>
        <w:t>metafor</w:t>
      </w:r>
      <w:r>
        <w:t xml:space="preserve"> does not estimate a residual variance by default we also included an observation-level random effect in our models. Our MLMA models allowed us to partition variation in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among these key sources while accounting for total sampling variance. This allowed us to calculate the proportion of total heterogeneity [i.e.,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w:t>
      </w:r>
      <w:r>
        <w:rPr>
          <w:i/>
          <w:iCs/>
        </w:rPr>
        <w:t>sensu</w:t>
      </w:r>
      <w:r>
        <w:t xml:space="preserve"> Nakagawa &amp; Santos (2012); Noble </w:t>
      </w:r>
      <w:r>
        <w:rPr>
          <w:i/>
          <w:iCs/>
        </w:rPr>
        <w:t>et al.</w:t>
      </w:r>
      <w:r>
        <w:t xml:space="preserve"> (2022)] along with various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metrics describing the proportion of variance explained by each random effect level (Nakagawa &amp; Santos, 2012). As a second measure of heterogeneity we also present 95% prediction intervals which describe the expected distribution of effects that are expected from future studies (Nakagawa </w:t>
      </w:r>
      <w:r>
        <w:rPr>
          <w:i/>
          <w:iCs/>
        </w:rPr>
        <w:t>et al.</w:t>
      </w:r>
      <w:r>
        <w:t xml:space="preserve">, 2021; Noble </w:t>
      </w:r>
      <w:r>
        <w:rPr>
          <w:i/>
          <w:iCs/>
        </w:rPr>
        <w:t>et al.</w:t>
      </w:r>
      <w:r>
        <w:t>, 2022).</w:t>
      </w:r>
    </w:p>
    <w:p w14:paraId="538DFAF1" w14:textId="77777777" w:rsidR="00FE2A2E" w:rsidRDefault="00000000">
      <w:pPr>
        <w:pStyle w:val="BodyText"/>
      </w:pPr>
      <w:r>
        <w:t xml:space="preserve">A phylogeny was derived by first cross-checking taxa names using the Open Tree of Life (OTL) with the </w:t>
      </w:r>
      <w:r>
        <w:rPr>
          <w:i/>
          <w:iCs/>
        </w:rPr>
        <w:t>rotl</w:t>
      </w:r>
      <w:r>
        <w:t xml:space="preserve"> package in R (vers. 3.1.0) (Michonneau, Brown, &amp; Winter, 2016), and plotting taxa using </w:t>
      </w:r>
      <w:r>
        <w:rPr>
          <w:i/>
          <w:iCs/>
        </w:rPr>
        <w:t>ggtree</w:t>
      </w:r>
      <w:r>
        <w:t xml:space="preserve"> to visualize the tree (vers. 3.9.0) (Yu </w:t>
      </w:r>
      <w:r>
        <w:rPr>
          <w:i/>
          <w:iCs/>
        </w:rPr>
        <w:t>et al.</w:t>
      </w:r>
      <w:r>
        <w:t xml:space="preserve">, 2017). We resolved any taxa names that were outdated or changed. Once names in the dataset and </w:t>
      </w:r>
      <w:r>
        <w:rPr>
          <w:i/>
          <w:iCs/>
        </w:rPr>
        <w:t>rotl</w:t>
      </w:r>
      <w:r>
        <w:t xml:space="preserve"> database matched we exported species names and built a time calibrated phylogeny for the species in our dataset using TimeTree [timetree.org; Kumar </w:t>
      </w:r>
      <w:r>
        <w:rPr>
          <w:i/>
          <w:iCs/>
        </w:rPr>
        <w:t>et al.</w:t>
      </w:r>
      <w:r>
        <w:t xml:space="preserve"> (2022)]. We used the R packages </w:t>
      </w:r>
      <w:r>
        <w:rPr>
          <w:i/>
          <w:iCs/>
        </w:rPr>
        <w:t>ape</w:t>
      </w:r>
      <w:r>
        <w:t xml:space="preserve"> (vers. 5.7.1) (Paradis &amp; Schliep, 2019) and </w:t>
      </w:r>
      <w:r>
        <w:rPr>
          <w:i/>
          <w:iCs/>
        </w:rPr>
        <w:t>phytools</w:t>
      </w:r>
      <w:r>
        <w:t xml:space="preserve"> (vers. 1.9.16) (Revell, 2012) to prune the tree for individual analyses and calculate phylogenetic correlation matrices used in meta-analytic models.</w:t>
      </w:r>
    </w:p>
    <w:p w14:paraId="08E0C400" w14:textId="77777777" w:rsidR="00FE2A2E" w:rsidRDefault="00000000">
      <w:pPr>
        <w:pStyle w:val="Heading4"/>
      </w:pPr>
      <w:bookmarkStart w:id="4" w:name="multi-level-meta-regression-mlmr-models"/>
      <w:bookmarkEnd w:id="3"/>
      <w:r>
        <w:lastRenderedPageBreak/>
        <w:t>Multi-level Meta-Regression (MLMR) Models</w:t>
      </w:r>
    </w:p>
    <w:p w14:paraId="31CBDC50" w14:textId="77777777" w:rsidR="00FE2A2E" w:rsidRDefault="00000000">
      <w:pPr>
        <w:pStyle w:val="FirstParagraph"/>
      </w:pPr>
      <w:r>
        <w:t>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p w14:paraId="74CFB842" w14:textId="77777777" w:rsidR="00FE2A2E" w:rsidRDefault="00000000">
      <w:pPr>
        <w:pStyle w:val="Heading1"/>
      </w:pPr>
      <w:bookmarkStart w:id="5" w:name="results"/>
      <w:bookmarkEnd w:id="0"/>
      <w:bookmarkEnd w:id="2"/>
      <w:bookmarkEnd w:id="4"/>
      <w:r>
        <w:t>Results</w:t>
      </w:r>
    </w:p>
    <w:tbl>
      <w:tblPr>
        <w:tblStyle w:val="Table"/>
        <w:tblW w:w="5000" w:type="pct"/>
        <w:tblLayout w:type="fixed"/>
        <w:tblLook w:val="0000" w:firstRow="0" w:lastRow="0" w:firstColumn="0" w:lastColumn="0" w:noHBand="0" w:noVBand="0"/>
      </w:tblPr>
      <w:tblGrid>
        <w:gridCol w:w="10538"/>
      </w:tblGrid>
      <w:tr w:rsidR="00FE2A2E" w14:paraId="0D7FEA61" w14:textId="77777777">
        <w:tc>
          <w:tcPr>
            <w:tcW w:w="7920" w:type="dxa"/>
          </w:tcPr>
          <w:p w14:paraId="5FDCBBF4" w14:textId="77777777" w:rsidR="00FE2A2E" w:rsidRDefault="00000000">
            <w:pPr>
              <w:pStyle w:val="ImageCaption"/>
              <w:spacing w:before="200"/>
            </w:pPr>
            <w:bookmarkStart w:id="6" w:name="tbl-heterogeneity"/>
            <w:r>
              <w:t>Table 1- Heterogeneity estimates for developmental stressor datasets</w:t>
            </w:r>
          </w:p>
          <w:tbl>
            <w:tblPr>
              <w:tblW w:w="0" w:type="auto"/>
              <w:jc w:val="center"/>
              <w:tblLayout w:type="fixed"/>
              <w:tblLook w:val="0420" w:firstRow="1" w:lastRow="0" w:firstColumn="0" w:lastColumn="0" w:noHBand="0" w:noVBand="1"/>
            </w:tblPr>
            <w:tblGrid>
              <w:gridCol w:w="2160"/>
              <w:gridCol w:w="936"/>
              <w:gridCol w:w="936"/>
              <w:gridCol w:w="936"/>
              <w:gridCol w:w="936"/>
              <w:gridCol w:w="936"/>
              <w:gridCol w:w="936"/>
              <w:gridCol w:w="936"/>
              <w:gridCol w:w="936"/>
              <w:gridCol w:w="936"/>
            </w:tblGrid>
            <w:tr w:rsidR="00FE2A2E" w14:paraId="05F9DC0D" w14:textId="77777777">
              <w:trPr>
                <w:tblHeade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362C6"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pPr>
                  <m:oMathPara>
                    <m:oMath>
                      <m:r>
                        <w:rPr>
                          <w:rFonts w:ascii="Cambria Math" w:hAnsi="Cambria Math"/>
                        </w:rPr>
                        <m:t>Stressor</m:t>
                      </m:r>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910552"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
                        <m:sSubPr>
                          <m:ctrlPr>
                            <w:rPr>
                              <w:rFonts w:ascii="Cambria Math" w:hAnsi="Cambria Math"/>
                            </w:rPr>
                          </m:ctrlPr>
                        </m:sSubPr>
                        <m:e>
                          <m:r>
                            <w:rPr>
                              <w:rFonts w:ascii="Cambria Math" w:hAnsi="Cambria Math"/>
                            </w:rPr>
                            <m:t>n</m:t>
                          </m:r>
                        </m:e>
                        <m:sub>
                          <m:r>
                            <w:rPr>
                              <w:rFonts w:ascii="Cambria Math" w:hAnsi="Cambria Math"/>
                            </w:rPr>
                            <m:t>effects</m:t>
                          </m:r>
                        </m:sub>
                      </m:sSub>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5E7E3"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
                        <m:sSubPr>
                          <m:ctrlPr>
                            <w:rPr>
                              <w:rFonts w:ascii="Cambria Math" w:hAnsi="Cambria Math"/>
                            </w:rPr>
                          </m:ctrlPr>
                        </m:sSubPr>
                        <m:e>
                          <m:r>
                            <w:rPr>
                              <w:rFonts w:ascii="Cambria Math" w:hAnsi="Cambria Math"/>
                            </w:rPr>
                            <m:t>n</m:t>
                          </m:r>
                        </m:e>
                        <m:sub>
                          <m:r>
                            <w:rPr>
                              <w:rFonts w:ascii="Cambria Math" w:hAnsi="Cambria Math"/>
                            </w:rPr>
                            <m:t>species</m:t>
                          </m:r>
                        </m:sub>
                      </m:sSub>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1DEC26"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
                        <m:sSubPr>
                          <m:ctrlPr>
                            <w:rPr>
                              <w:rFonts w:ascii="Cambria Math" w:hAnsi="Cambria Math"/>
                            </w:rPr>
                          </m:ctrlPr>
                        </m:sSubPr>
                        <m:e>
                          <m:r>
                            <w:rPr>
                              <w:rFonts w:ascii="Cambria Math" w:hAnsi="Cambria Math"/>
                            </w:rPr>
                            <m:t>n</m:t>
                          </m:r>
                        </m:e>
                        <m:sub>
                          <m:r>
                            <w:rPr>
                              <w:rFonts w:ascii="Cambria Math" w:hAnsi="Cambria Math"/>
                            </w:rPr>
                            <m:t>study</m:t>
                          </m:r>
                        </m:sub>
                      </m:sSub>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F92ADE"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EE8846"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EC868"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phylogeny</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8B3BF6"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8821B7"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tissue</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8218AF"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obs</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r>
            <w:tr w:rsidR="00FE2A2E" w14:paraId="7DCF7C1A" w14:textId="77777777">
              <w:trPr>
                <w:jc w:val="center"/>
              </w:trPr>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9678"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Corticosterone</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858D3"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184</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91B0"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5CA27"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9235E"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EA7E4"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2.8</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B8808"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0.00</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6935"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6E8F9"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80.53</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486AC"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w:t>
                  </w:r>
                </w:p>
              </w:tc>
            </w:tr>
            <w:tr w:rsidR="00FE2A2E" w14:paraId="1D66DAEC"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8E8CF"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Social Deprevation</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0E4F"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9E6FC"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15CF"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46BE2"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B9419"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11.4</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D3224"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94541"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2A599"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7A4B7"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74</w:t>
                  </w:r>
                </w:p>
              </w:tc>
            </w:tr>
            <w:tr w:rsidR="00FE2A2E" w14:paraId="53D7E1BD"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94C6E"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Disturbance</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5D062"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810D3"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4498"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6622C"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FB7D"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35.1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CB85"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87060"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C0285"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5.29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97486"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w:t>
                  </w:r>
                </w:p>
              </w:tc>
            </w:tr>
            <w:tr w:rsidR="00FE2A2E" w14:paraId="5CF68608"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BFE2F"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Nutrition</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3017B"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745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C8C32"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B4311"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8A20A"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D42B0"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0061"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0.72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43B0"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45E21"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0.56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BCB64"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59</w:t>
                  </w:r>
                </w:p>
              </w:tc>
            </w:tr>
            <w:tr w:rsidR="00FE2A2E" w14:paraId="495BCC33" w14:textId="77777777">
              <w:trPr>
                <w:jc w:val="center"/>
              </w:trPr>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80BE6A"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Temperature</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15DCB8"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438</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C1748F"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A15336"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34</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02207A"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93</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A4A457"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21.0</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16409"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1.89</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7A395"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3B5DB3"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0.24</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867C50" w14:textId="77777777" w:rsidR="00FE2A2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70</w:t>
                  </w:r>
                </w:p>
              </w:tc>
            </w:tr>
            <w:bookmarkEnd w:id="6"/>
          </w:tbl>
          <w:p w14:paraId="61B590C6" w14:textId="77777777" w:rsidR="00000000" w:rsidRDefault="00000000">
            <w:pPr>
              <w:spacing w:after="0"/>
              <w:rPr>
                <w:rFonts w:asciiTheme="minorHAnsi" w:hAnsiTheme="minorHAnsi"/>
              </w:rPr>
            </w:pPr>
          </w:p>
        </w:tc>
      </w:tr>
    </w:tbl>
    <w:p w14:paraId="7F4F34AC" w14:textId="77777777" w:rsidR="00FE2A2E" w:rsidRDefault="00000000">
      <w:pPr>
        <w:pStyle w:val="Heading2"/>
      </w:pPr>
      <w:bookmarkStart w:id="7" w:name="Xe2bc17fd9e9f4877f1c79190d12acc279eca167"/>
      <w:r>
        <w:t>Corticosterone developmental impacts on mitochondrial function</w:t>
      </w:r>
    </w:p>
    <w:p w14:paraId="1CA4957C" w14:textId="77777777" w:rsidR="00FE2A2E" w:rsidRDefault="00000000">
      <w:pPr>
        <w:pStyle w:val="FirstParagraph"/>
      </w:pPr>
      <w:r>
        <w:t>Overall, exposure to corticosterone during development had a positive, but non-significant,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0.18, 95% CI = -0.88 to 1.23, </w:t>
      </w:r>
      <m:oMath>
        <m:r>
          <w:rPr>
            <w:rFonts w:ascii="Cambria Math" w:hAnsi="Cambria Math"/>
          </w:rPr>
          <m:t>p</m:t>
        </m:r>
      </m:oMath>
      <w:r>
        <w:t xml:space="preserve"> = 0.7; </w:t>
      </w:r>
      <w:hyperlink w:anchor="fig-orchard_int">
        <w:r>
          <w:rPr>
            <w:rStyle w:val="Hyperlink"/>
          </w:rPr>
          <w:t>Figure 1</w:t>
        </w:r>
      </w:hyperlink>
      <w:r>
        <w:t xml:space="preserve">a). However, effect heterogeneity was high (95% Prediction Intervals: -3.13 to 3.48; </w:t>
      </w:r>
      <w:hyperlink w:anchor="tbl-heterogeneity">
        <w:r>
          <w:rPr>
            <w:rStyle w:val="Hyperlink"/>
          </w:rPr>
          <w:t>Table 1</w:t>
        </w:r>
      </w:hyperlink>
      <w:r>
        <w:t>), with 80.53% of variation being driven by the type of tissue measured (</w:t>
      </w:r>
      <m:oMath>
        <m:sSubSup>
          <m:sSubSupPr>
            <m:ctrlPr>
              <w:rPr>
                <w:rFonts w:ascii="Cambria Math" w:hAnsi="Cambria Math"/>
              </w:rPr>
            </m:ctrlPr>
          </m:sSubSupPr>
          <m:e>
            <m:r>
              <w:rPr>
                <w:rFonts w:ascii="Cambria Math" w:hAnsi="Cambria Math"/>
              </w:rPr>
              <m:t>I</m:t>
            </m:r>
          </m:e>
          <m:sub>
            <m:r>
              <w:rPr>
                <w:rFonts w:ascii="Cambria Math" w:hAnsi="Cambria Math"/>
              </w:rPr>
              <m:t>tissue</m:t>
            </m:r>
          </m:sub>
          <m:sup>
            <m:r>
              <w:rPr>
                <w:rFonts w:ascii="Cambria Math" w:hAnsi="Cambria Math"/>
              </w:rPr>
              <m:t>2</m:t>
            </m:r>
          </m:sup>
        </m:sSubSup>
      </m:oMath>
      <w:r>
        <w:t xml:space="preserve">; </w:t>
      </w:r>
      <w:hyperlink w:anchor="tbl-heterogeneity">
        <w:r>
          <w:rPr>
            <w:rStyle w:val="Hyperlink"/>
          </w:rPr>
          <w:t>Table 1</w:t>
        </w:r>
      </w:hyperlink>
      <w:r>
        <w:t>) with little to no variation explained by species/phylogeny and very small amount of between study variation (</w:t>
      </w:r>
      <w:hyperlink w:anchor="tbl-heterogeneity">
        <w:r>
          <w:rPr>
            <w:rStyle w:val="Hyperlink"/>
          </w:rPr>
          <w:t>Table 1</w:t>
        </w:r>
      </w:hyperlink>
      <w:r>
        <w:t>).</w:t>
      </w:r>
    </w:p>
    <w:p w14:paraId="71077835" w14:textId="77777777" w:rsidR="00FE2A2E" w:rsidRDefault="00000000">
      <w:pPr>
        <w:pStyle w:val="Heading2"/>
      </w:pPr>
      <w:bookmarkStart w:id="8" w:name="X3eaa2f4fc97f53eb296ff61b4cde54c31beee68"/>
      <w:bookmarkEnd w:id="7"/>
      <w:r>
        <w:t>Social deprivation developmental impacts on mitochondrial function</w:t>
      </w:r>
    </w:p>
    <w:p w14:paraId="469B7201" w14:textId="77777777" w:rsidR="00FE2A2E" w:rsidRDefault="00000000">
      <w:pPr>
        <w:pStyle w:val="FirstParagraph"/>
      </w:pPr>
      <w:r>
        <w:t>Social deprivation during development had a negative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-0.47, 95% CI = -3.24 to 2.3, </w:t>
      </w:r>
      <m:oMath>
        <m:r>
          <w:rPr>
            <w:rFonts w:ascii="Cambria Math" w:hAnsi="Cambria Math"/>
          </w:rPr>
          <m:t>p</m:t>
        </m:r>
      </m:oMath>
      <w:r>
        <w:t xml:space="preserve"> = 0.28; </w:t>
      </w:r>
      <w:hyperlink w:anchor="fig-orchard_int">
        <w:r>
          <w:rPr>
            <w:rStyle w:val="Hyperlink"/>
          </w:rPr>
          <w:t>Figure 1</w:t>
        </w:r>
      </w:hyperlink>
      <w:r>
        <w:t xml:space="preserve">b). Effect heterogeneity was again high (95% Prediction Intervals: -19.2 to 18.26; </w:t>
      </w:r>
      <w:hyperlink w:anchor="tbl-heterogeneity">
        <w:r>
          <w:rPr>
            <w:rStyle w:val="Hyperlink"/>
          </w:rPr>
          <w:t>Table 1</w:t>
        </w:r>
      </w:hyperlink>
      <w:r>
        <w:t>), with only a small amount of variation across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11.41%) and little to no variation explained by species/phylogeny (</w:t>
      </w:r>
      <w:hyperlink w:anchor="tbl-heterogeneity">
        <w:r>
          <w:rPr>
            <w:rStyle w:val="Hyperlink"/>
          </w:rPr>
          <w:t>Table 1</w:t>
        </w:r>
      </w:hyperlink>
      <w:r>
        <w:t>).</w:t>
      </w:r>
    </w:p>
    <w:p w14:paraId="547167A7" w14:textId="77777777" w:rsidR="00FE2A2E" w:rsidRDefault="00000000">
      <w:pPr>
        <w:pStyle w:val="Heading2"/>
      </w:pPr>
      <w:bookmarkStart w:id="9" w:name="X1993f06334642c2668eb710601bf8c404293b64"/>
      <w:bookmarkEnd w:id="8"/>
      <w:r>
        <w:t>Disturbance developmental impacts on mitochondrial function</w:t>
      </w:r>
    </w:p>
    <w:p w14:paraId="1DA262F6" w14:textId="77777777" w:rsidR="00FE2A2E" w:rsidRDefault="00000000">
      <w:pPr>
        <w:pStyle w:val="FirstParagraph"/>
      </w:pPr>
      <w:r>
        <w:t>Disturbance during development had a positive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0.57, 95% CI = -0.91 to 2.06, </w:t>
      </w:r>
      <m:oMath>
        <m:r>
          <w:rPr>
            <w:rFonts w:ascii="Cambria Math" w:hAnsi="Cambria Math"/>
          </w:rPr>
          <m:t>p</m:t>
        </m:r>
      </m:oMath>
      <w:r>
        <w:t xml:space="preserve"> = 0.37; </w:t>
      </w:r>
      <w:hyperlink w:anchor="fig-orchard_int">
        <w:r>
          <w:rPr>
            <w:rStyle w:val="Hyperlink"/>
          </w:rPr>
          <w:t>Figure 1</w:t>
        </w:r>
      </w:hyperlink>
      <w:r>
        <w:t xml:space="preserve">c). Effect heterogeneity was high (95% Prediction Intervals: -3.83 to 4.98; </w:t>
      </w:r>
      <w:hyperlink w:anchor="tbl-heterogeneity">
        <w:r>
          <w:rPr>
            <w:rStyle w:val="Hyperlink"/>
          </w:rPr>
          <w:t>Table 1</w:t>
        </w:r>
      </w:hyperlink>
      <w:r>
        <w:t>), with a moderate amount of variation being driven by differences between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35.07%) and species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28.63%) (</w:t>
      </w:r>
      <w:hyperlink w:anchor="tbl-heterogeneity">
        <w:r>
          <w:rPr>
            <w:rStyle w:val="Hyperlink"/>
          </w:rPr>
          <w:t>Table 1</w:t>
        </w:r>
      </w:hyperlink>
      <w:r>
        <w:t>).</w:t>
      </w:r>
    </w:p>
    <w:p w14:paraId="79BB436B" w14:textId="77777777" w:rsidR="00FE2A2E" w:rsidRDefault="00000000">
      <w:pPr>
        <w:pStyle w:val="Heading2"/>
      </w:pPr>
      <w:bookmarkStart w:id="10" w:name="Xa705be15309f24333faaeb6831ae288750d7037"/>
      <w:bookmarkEnd w:id="9"/>
      <w:r>
        <w:t>Nutrition developmental impacts on mitochondrial function</w:t>
      </w:r>
    </w:p>
    <w:p w14:paraId="201647B9" w14:textId="77777777" w:rsidR="00FE2A2E" w:rsidRDefault="00000000">
      <w:pPr>
        <w:pStyle w:val="FirstParagraph"/>
      </w:pPr>
      <w:r>
        <w:t>Nutritional stress during development also had limited impact on mitochondrial function overall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-0.05, 95% CI = -0.36 to 0.26, </w:t>
      </w:r>
      <m:oMath>
        <m:r>
          <w:rPr>
            <w:rFonts w:ascii="Cambria Math" w:hAnsi="Cambria Math"/>
          </w:rPr>
          <m:t>p</m:t>
        </m:r>
      </m:oMath>
      <w:r>
        <w:t xml:space="preserve"> = 0.74; </w:t>
      </w:r>
      <w:hyperlink w:anchor="fig-orchard_int">
        <w:r>
          <w:rPr>
            <w:rStyle w:val="Hyperlink"/>
          </w:rPr>
          <w:t>Figure 1</w:t>
        </w:r>
      </w:hyperlink>
      <w:r>
        <w:t xml:space="preserve">d), but as expected, effect heterogeneity was high (95% </w:t>
      </w:r>
      <w:r>
        <w:lastRenderedPageBreak/>
        <w:t xml:space="preserve">Prediction Intervals: -2.78 to 2.68; </w:t>
      </w:r>
      <w:hyperlink w:anchor="tbl-heterogeneity">
        <w:r>
          <w:rPr>
            <w:rStyle w:val="Hyperlink"/>
          </w:rPr>
          <w:t>Table 1</w:t>
        </w:r>
      </w:hyperlink>
      <w:r>
        <w:t>), with a moderate amount of variation being driven by differences between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21.14%; </w:t>
      </w:r>
      <w:hyperlink w:anchor="tbl-heterogeneity">
        <w:r>
          <w:rPr>
            <w:rStyle w:val="Hyperlink"/>
          </w:rPr>
          <w:t>Table 1</w:t>
        </w:r>
      </w:hyperlink>
      <w:r>
        <w:t>).</w:t>
      </w:r>
    </w:p>
    <w:p w14:paraId="11CA549C" w14:textId="77777777" w:rsidR="00FE2A2E" w:rsidRDefault="00000000">
      <w:pPr>
        <w:pStyle w:val="Heading2"/>
      </w:pPr>
      <w:bookmarkStart w:id="11" w:name="X95e6238f10c71954ca3fa070dfb9ae8ad93513b"/>
      <w:bookmarkEnd w:id="10"/>
      <w:r>
        <w:t>Temperature developmental impacts on mitochondrial function</w:t>
      </w:r>
    </w:p>
    <w:p w14:paraId="1A1C9454" w14:textId="77777777" w:rsidR="00FE2A2E" w:rsidRDefault="00000000">
      <w:pPr>
        <w:pStyle w:val="FirstParagraph"/>
      </w:pPr>
      <w:r>
        <w:t>Temperature stress had a positive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0.37, 95% CI = -0.14 to 0.88, </w:t>
      </w:r>
      <m:oMath>
        <m:r>
          <w:rPr>
            <w:rFonts w:ascii="Cambria Math" w:hAnsi="Cambria Math"/>
          </w:rPr>
          <m:t>p</m:t>
        </m:r>
      </m:oMath>
      <w:r>
        <w:t xml:space="preserve"> = 0.14; </w:t>
      </w:r>
      <w:hyperlink w:anchor="fig-orchard_int">
        <w:r>
          <w:rPr>
            <w:rStyle w:val="Hyperlink"/>
          </w:rPr>
          <w:t>Figure 1</w:t>
        </w:r>
      </w:hyperlink>
      <w:r>
        <w:t xml:space="preserve">e) with effect heterogeneity being around 92.66% (95% Prediction Intervals: -3.59 to 4.33; </w:t>
      </w:r>
      <w:hyperlink w:anchor="tbl-heterogeneity">
        <w:r>
          <w:rPr>
            <w:rStyle w:val="Hyperlink"/>
          </w:rPr>
          <w:t>Table 1</w:t>
        </w:r>
      </w:hyperlink>
      <w:r>
        <w:t>), with a moderate amount of variation being driven by differences between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20.97%)(</w:t>
      </w:r>
      <w:hyperlink w:anchor="tbl-heterogeneity">
        <w:r>
          <w:rPr>
            <w:rStyle w:val="Hyperlink"/>
          </w:rPr>
          <w:t>Table 1</w:t>
        </w:r>
      </w:hyperlink>
      <w:r>
        <w:t>).</w:t>
      </w:r>
    </w:p>
    <w:tbl>
      <w:tblPr>
        <w:tblStyle w:val="Table"/>
        <w:tblW w:w="5000" w:type="pct"/>
        <w:tblLayout w:type="fixed"/>
        <w:tblLook w:val="0000" w:firstRow="0" w:lastRow="0" w:firstColumn="0" w:lastColumn="0" w:noHBand="0" w:noVBand="0"/>
      </w:tblPr>
      <w:tblGrid>
        <w:gridCol w:w="10538"/>
      </w:tblGrid>
      <w:tr w:rsidR="00FE2A2E" w14:paraId="36B7EA01" w14:textId="77777777">
        <w:tc>
          <w:tcPr>
            <w:tcW w:w="7920" w:type="dxa"/>
          </w:tcPr>
          <w:p w14:paraId="55732212" w14:textId="77777777" w:rsidR="00FE2A2E" w:rsidRDefault="00000000">
            <w:pPr>
              <w:pStyle w:val="Compact"/>
              <w:jc w:val="center"/>
            </w:pPr>
            <w:bookmarkStart w:id="12" w:name="fig-orchard_int"/>
            <w:r>
              <w:rPr>
                <w:noProof/>
              </w:rPr>
              <w:lastRenderedPageBreak/>
              <w:drawing>
                <wp:inline distT="0" distB="0" distL="0" distR="0" wp14:anchorId="568D9709" wp14:editId="10E816F4">
                  <wp:extent cx="6680200" cy="854444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sults_files/figure-docx/fig-orchard_int-1.png"/>
                          <pic:cNvPicPr>
                            <a:picLocks noChangeAspect="1" noChangeArrowheads="1"/>
                          </pic:cNvPicPr>
                        </pic:nvPicPr>
                        <pic:blipFill>
                          <a:blip r:embed="rId5"/>
                          <a:stretch>
                            <a:fillRect/>
                          </a:stretch>
                        </pic:blipFill>
                        <pic:spPr bwMode="auto">
                          <a:xfrm>
                            <a:off x="0" y="0"/>
                            <a:ext cx="6680200" cy="8544441"/>
                          </a:xfrm>
                          <a:prstGeom prst="rect">
                            <a:avLst/>
                          </a:prstGeom>
                          <a:noFill/>
                          <a:ln w="9525">
                            <a:noFill/>
                            <a:headEnd/>
                            <a:tailEnd/>
                          </a:ln>
                        </pic:spPr>
                      </pic:pic>
                    </a:graphicData>
                  </a:graphic>
                </wp:inline>
              </w:drawing>
            </w:r>
          </w:p>
          <w:p w14:paraId="3CEEF849" w14:textId="77777777" w:rsidR="00FE2A2E" w:rsidRDefault="00000000">
            <w:pPr>
              <w:pStyle w:val="ImageCaption"/>
              <w:spacing w:before="200"/>
            </w:pPr>
            <w:r>
              <w:lastRenderedPageBreak/>
              <w:t>Figure 1- Orchard plots showing the overall meta-analytic mean effect size and 95% prediction intervals for each stressor category.</w:t>
            </w:r>
          </w:p>
        </w:tc>
        <w:bookmarkEnd w:id="12"/>
      </w:tr>
    </w:tbl>
    <w:p w14:paraId="4898E7E7" w14:textId="77777777" w:rsidR="00FE2A2E" w:rsidRDefault="00000000">
      <w:pPr>
        <w:pStyle w:val="Heading1"/>
      </w:pPr>
      <w:bookmarkStart w:id="13" w:name="references"/>
      <w:bookmarkEnd w:id="5"/>
      <w:bookmarkEnd w:id="11"/>
      <w:r>
        <w:lastRenderedPageBreak/>
        <w:t>References</w:t>
      </w:r>
    </w:p>
    <w:p w14:paraId="2D0563F5" w14:textId="77777777" w:rsidR="00FE2A2E" w:rsidRDefault="00000000">
      <w:pPr>
        <w:pStyle w:val="Bibliography"/>
      </w:pPr>
      <w:bookmarkStart w:id="14" w:name="ref-Bonett2008"/>
      <w:bookmarkStart w:id="15" w:name="refs"/>
      <w:r>
        <w:rPr>
          <w:smallCaps/>
        </w:rPr>
        <w:t>Bonett, D.G.</w:t>
      </w:r>
      <w:r>
        <w:t xml:space="preserve"> (2008) Confidence intervals for standardized linear contrasts of means. </w:t>
      </w:r>
      <w:r>
        <w:rPr>
          <w:i/>
          <w:iCs/>
        </w:rPr>
        <w:t>Psychological Methods</w:t>
      </w:r>
      <w:r>
        <w:t xml:space="preserve"> </w:t>
      </w:r>
      <w:r>
        <w:rPr>
          <w:b/>
          <w:bCs/>
        </w:rPr>
        <w:t>13</w:t>
      </w:r>
      <w:r>
        <w:t>, 99. American Psychological Association.</w:t>
      </w:r>
    </w:p>
    <w:p w14:paraId="42D87C14" w14:textId="77777777" w:rsidR="00FE2A2E" w:rsidRDefault="00000000">
      <w:pPr>
        <w:pStyle w:val="Bibliography"/>
      </w:pPr>
      <w:bookmarkStart w:id="16" w:name="ref-Bonett2009"/>
      <w:bookmarkEnd w:id="14"/>
      <w:r>
        <w:rPr>
          <w:smallCaps/>
        </w:rPr>
        <w:t>Bonett, D.G.</w:t>
      </w:r>
      <w:r>
        <w:t xml:space="preserve"> (2009) Meta-analytic interval estimation for standardized and unstandardized mean differences. </w:t>
      </w:r>
      <w:r>
        <w:rPr>
          <w:i/>
          <w:iCs/>
        </w:rPr>
        <w:t>Psychological methods</w:t>
      </w:r>
      <w:r>
        <w:t xml:space="preserve"> </w:t>
      </w:r>
      <w:r>
        <w:rPr>
          <w:b/>
          <w:bCs/>
        </w:rPr>
        <w:t>14</w:t>
      </w:r>
      <w:r>
        <w:t>, 225. American Psychological Association.</w:t>
      </w:r>
    </w:p>
    <w:p w14:paraId="061CEF73" w14:textId="77777777" w:rsidR="00FE2A2E" w:rsidRDefault="00000000">
      <w:pPr>
        <w:pStyle w:val="Bibliography"/>
      </w:pPr>
      <w:bookmarkStart w:id="17" w:name="ref-Borenstein2009"/>
      <w:bookmarkEnd w:id="16"/>
      <w:r>
        <w:rPr>
          <w:smallCaps/>
        </w:rPr>
        <w:t>Borenstein, M.</w:t>
      </w:r>
      <w:r>
        <w:t xml:space="preserve"> &amp; </w:t>
      </w:r>
      <w:r>
        <w:rPr>
          <w:smallCaps/>
        </w:rPr>
        <w:t>Hedges, L.V.</w:t>
      </w:r>
      <w:r>
        <w:t xml:space="preserve"> (2009) Effect sizes for meta-analysis. </w:t>
      </w:r>
      <w:r>
        <w:rPr>
          <w:i/>
          <w:iCs/>
        </w:rPr>
        <w:t>In: The Handbook of Research Synthesis and Meta-analysis (eds Cooper H, Hedges LV, Valentine JC). Russell Sage Foundation, New York.</w:t>
      </w:r>
      <w:r>
        <w:t>, 207–243.</w:t>
      </w:r>
    </w:p>
    <w:p w14:paraId="1F1ABCA3" w14:textId="77777777" w:rsidR="00FE2A2E" w:rsidRDefault="00000000">
      <w:pPr>
        <w:pStyle w:val="Bibliography"/>
      </w:pPr>
      <w:bookmarkStart w:id="18" w:name="ref-kumar2022timetree"/>
      <w:bookmarkEnd w:id="17"/>
      <w:r>
        <w:rPr>
          <w:smallCaps/>
        </w:rPr>
        <w:t>Kumar, S.</w:t>
      </w:r>
      <w:r>
        <w:t xml:space="preserve">, </w:t>
      </w:r>
      <w:r>
        <w:rPr>
          <w:smallCaps/>
        </w:rPr>
        <w:t>Suleski, M.</w:t>
      </w:r>
      <w:r>
        <w:t xml:space="preserve">, </w:t>
      </w:r>
      <w:r>
        <w:rPr>
          <w:smallCaps/>
        </w:rPr>
        <w:t>Craig, J.M.</w:t>
      </w:r>
      <w:r>
        <w:t xml:space="preserve">, </w:t>
      </w:r>
      <w:r>
        <w:rPr>
          <w:smallCaps/>
        </w:rPr>
        <w:t>Kasprowicz, A.E.</w:t>
      </w:r>
      <w:r>
        <w:t xml:space="preserve">, </w:t>
      </w:r>
      <w:r>
        <w:rPr>
          <w:smallCaps/>
        </w:rPr>
        <w:t>Sanderford, M.</w:t>
      </w:r>
      <w:r>
        <w:t xml:space="preserve">, </w:t>
      </w:r>
      <w:r>
        <w:rPr>
          <w:smallCaps/>
        </w:rPr>
        <w:t>Li, M.</w:t>
      </w:r>
      <w:r>
        <w:t xml:space="preserve">, </w:t>
      </w:r>
      <w:r>
        <w:rPr>
          <w:smallCaps/>
        </w:rPr>
        <w:t>Stecher, G.</w:t>
      </w:r>
      <w:r>
        <w:t xml:space="preserve"> &amp; </w:t>
      </w:r>
      <w:r>
        <w:rPr>
          <w:smallCaps/>
        </w:rPr>
        <w:t>Hedges, S.B.</w:t>
      </w:r>
      <w:r>
        <w:t xml:space="preserve"> (2022) TimeTree 5: An expanded resource for species divergence times. </w:t>
      </w:r>
      <w:r>
        <w:rPr>
          <w:i/>
          <w:iCs/>
        </w:rPr>
        <w:t>Molecular biology and evolution</w:t>
      </w:r>
      <w:r>
        <w:t xml:space="preserve"> </w:t>
      </w:r>
      <w:r>
        <w:rPr>
          <w:b/>
          <w:bCs/>
        </w:rPr>
        <w:t>39</w:t>
      </w:r>
      <w:r>
        <w:t>, msac174. Oxford University Press.</w:t>
      </w:r>
    </w:p>
    <w:p w14:paraId="5FC372FC" w14:textId="77777777" w:rsidR="00FE2A2E" w:rsidRDefault="00000000">
      <w:pPr>
        <w:pStyle w:val="Bibliography"/>
      </w:pPr>
      <w:bookmarkStart w:id="19" w:name="ref-Michonneau2016-if"/>
      <w:bookmarkEnd w:id="18"/>
      <w:r>
        <w:rPr>
          <w:smallCaps/>
        </w:rPr>
        <w:t>Michonneau, F.</w:t>
      </w:r>
      <w:r>
        <w:t xml:space="preserve">, </w:t>
      </w:r>
      <w:r>
        <w:rPr>
          <w:smallCaps/>
        </w:rPr>
        <w:t>Brown, J.W.</w:t>
      </w:r>
      <w:r>
        <w:t xml:space="preserve"> &amp; </w:t>
      </w:r>
      <w:r>
        <w:rPr>
          <w:smallCaps/>
        </w:rPr>
        <w:t>Winter, D.J.</w:t>
      </w:r>
      <w:r>
        <w:t xml:space="preserve"> (2016) Rotl: An R package to interact with the open tree of life data. </w:t>
      </w:r>
      <w:r>
        <w:rPr>
          <w:i/>
          <w:iCs/>
        </w:rPr>
        <w:t>Methods Ecol. Evol.</w:t>
      </w:r>
      <w:r>
        <w:t xml:space="preserve"> </w:t>
      </w:r>
      <w:r>
        <w:rPr>
          <w:b/>
          <w:bCs/>
        </w:rPr>
        <w:t>7</w:t>
      </w:r>
      <w:r>
        <w:t>, 1476-1481. doi:10.1111/2041-210X.12593.</w:t>
      </w:r>
    </w:p>
    <w:p w14:paraId="681F091B" w14:textId="77777777" w:rsidR="00FE2A2E" w:rsidRDefault="00000000">
      <w:pPr>
        <w:pStyle w:val="Bibliography"/>
      </w:pPr>
      <w:bookmarkStart w:id="20" w:name="ref-nakagawaorchard"/>
      <w:bookmarkEnd w:id="19"/>
      <w:r>
        <w:rPr>
          <w:smallCaps/>
        </w:rPr>
        <w:t>Nakagawa, S.</w:t>
      </w:r>
      <w:r>
        <w:t xml:space="preserve">, </w:t>
      </w:r>
      <w:r>
        <w:rPr>
          <w:smallCaps/>
        </w:rPr>
        <w:t>Lagisz, M.</w:t>
      </w:r>
      <w:r>
        <w:t xml:space="preserve">, </w:t>
      </w:r>
      <w:r>
        <w:rPr>
          <w:smallCaps/>
        </w:rPr>
        <w:t>O’Dea, R.E.</w:t>
      </w:r>
      <w:r>
        <w:t xml:space="preserve">, </w:t>
      </w:r>
      <w:r>
        <w:rPr>
          <w:smallCaps/>
        </w:rPr>
        <w:t>Pottier, P.</w:t>
      </w:r>
      <w:r>
        <w:t xml:space="preserve">, </w:t>
      </w:r>
      <w:r>
        <w:rPr>
          <w:smallCaps/>
        </w:rPr>
        <w:t>Rutkowska, J.</w:t>
      </w:r>
      <w:r>
        <w:t xml:space="preserve">, </w:t>
      </w:r>
      <w:r>
        <w:rPr>
          <w:smallCaps/>
        </w:rPr>
        <w:t>Senior, A.M.</w:t>
      </w:r>
      <w:r>
        <w:t xml:space="preserve">, </w:t>
      </w:r>
      <w:r>
        <w:rPr>
          <w:smallCaps/>
        </w:rPr>
        <w:t>Yang, Y.</w:t>
      </w:r>
      <w:r>
        <w:t xml:space="preserve"> &amp; </w:t>
      </w:r>
      <w:r>
        <w:rPr>
          <w:smallCaps/>
        </w:rPr>
        <w:t>Noble, D.W.</w:t>
      </w:r>
      <w:r>
        <w:t xml:space="preserve"> (2023) orchaRd 2.0: An r package for visualising meta-analyses with orchard plots. </w:t>
      </w:r>
      <w:r>
        <w:rPr>
          <w:i/>
          <w:iCs/>
        </w:rPr>
        <w:t>Methods in Ecology and Evolution</w:t>
      </w:r>
      <w:r>
        <w:t xml:space="preserve"> </w:t>
      </w:r>
      <w:r>
        <w:rPr>
          <w:b/>
          <w:bCs/>
        </w:rPr>
        <w:t>14</w:t>
      </w:r>
      <w:r>
        <w:t>, 2003–2010. Wiley Online Library.</w:t>
      </w:r>
    </w:p>
    <w:p w14:paraId="09AD4FAA" w14:textId="77777777" w:rsidR="00FE2A2E" w:rsidRDefault="00000000">
      <w:pPr>
        <w:pStyle w:val="Bibliography"/>
      </w:pPr>
      <w:bookmarkStart w:id="21" w:name="ref-Nakagawa2021-ls"/>
      <w:bookmarkEnd w:id="20"/>
      <w:r>
        <w:rPr>
          <w:smallCaps/>
        </w:rPr>
        <w:t>Nakagawa, S.</w:t>
      </w:r>
      <w:r>
        <w:t xml:space="preserve">, </w:t>
      </w:r>
      <w:r>
        <w:rPr>
          <w:smallCaps/>
        </w:rPr>
        <w:t>Lagisz, M.</w:t>
      </w:r>
      <w:r>
        <w:t xml:space="preserve">, </w:t>
      </w:r>
      <w:r>
        <w:rPr>
          <w:smallCaps/>
        </w:rPr>
        <w:t>O’Dea, R.E.</w:t>
      </w:r>
      <w:r>
        <w:t xml:space="preserve">, </w:t>
      </w:r>
      <w:r>
        <w:rPr>
          <w:smallCaps/>
        </w:rPr>
        <w:t>Rutkowska, J.</w:t>
      </w:r>
      <w:r>
        <w:t xml:space="preserve">, </w:t>
      </w:r>
      <w:r>
        <w:rPr>
          <w:smallCaps/>
        </w:rPr>
        <w:t>Yang, Y.</w:t>
      </w:r>
      <w:r>
        <w:t xml:space="preserve">, </w:t>
      </w:r>
      <w:r>
        <w:rPr>
          <w:smallCaps/>
        </w:rPr>
        <w:t>Noble, D.W.</w:t>
      </w:r>
      <w:r>
        <w:t xml:space="preserve"> &amp; </w:t>
      </w:r>
      <w:r>
        <w:rPr>
          <w:smallCaps/>
        </w:rPr>
        <w:t>Senior, A.M.</w:t>
      </w:r>
      <w:r>
        <w:t xml:space="preserve"> (2021) The orchard plot: Cultivating forest plots for use in ecology, evolution and beyond. </w:t>
      </w:r>
      <w:r>
        <w:rPr>
          <w:i/>
          <w:iCs/>
        </w:rPr>
        <w:t>Research Synthesis Methods</w:t>
      </w:r>
      <w:r>
        <w:t xml:space="preserve"> </w:t>
      </w:r>
      <w:r>
        <w:rPr>
          <w:b/>
          <w:bCs/>
        </w:rPr>
        <w:t>12</w:t>
      </w:r>
      <w:r>
        <w:t>, 4–12.</w:t>
      </w:r>
    </w:p>
    <w:p w14:paraId="58D5F417" w14:textId="77777777" w:rsidR="00FE2A2E" w:rsidRDefault="00000000">
      <w:pPr>
        <w:pStyle w:val="Bibliography"/>
      </w:pPr>
      <w:bookmarkStart w:id="22" w:name="ref-Nakagawa2012-oc"/>
      <w:bookmarkEnd w:id="21"/>
      <w:r>
        <w:rPr>
          <w:smallCaps/>
        </w:rPr>
        <w:t>Nakagawa, S.</w:t>
      </w:r>
      <w:r>
        <w:t xml:space="preserve"> &amp; </w:t>
      </w:r>
      <w:r>
        <w:rPr>
          <w:smallCaps/>
        </w:rPr>
        <w:t>Santos, E.S.A.</w:t>
      </w:r>
      <w:r>
        <w:t xml:space="preserve"> (2012) Methodological issues and advances in biological meta-analysis. </w:t>
      </w:r>
      <w:r>
        <w:rPr>
          <w:i/>
          <w:iCs/>
        </w:rPr>
        <w:t>Evol. Ecol.</w:t>
      </w:r>
      <w:r>
        <w:t xml:space="preserve"> </w:t>
      </w:r>
      <w:r>
        <w:rPr>
          <w:b/>
          <w:bCs/>
        </w:rPr>
        <w:t>26</w:t>
      </w:r>
      <w:r>
        <w:t>, 1253–1274. Springer.</w:t>
      </w:r>
    </w:p>
    <w:p w14:paraId="2301ED33" w14:textId="77777777" w:rsidR="00FE2A2E" w:rsidRDefault="00000000">
      <w:pPr>
        <w:pStyle w:val="Bibliography"/>
      </w:pPr>
      <w:bookmarkStart w:id="23" w:name="ref-Noble2022-ty"/>
      <w:bookmarkEnd w:id="22"/>
      <w:r>
        <w:rPr>
          <w:smallCaps/>
        </w:rPr>
        <w:t>Noble, D.W.</w:t>
      </w:r>
      <w:r>
        <w:t xml:space="preserve">, </w:t>
      </w:r>
      <w:r>
        <w:rPr>
          <w:smallCaps/>
        </w:rPr>
        <w:t>Pottier, P.</w:t>
      </w:r>
      <w:r>
        <w:t xml:space="preserve">, </w:t>
      </w:r>
      <w:r>
        <w:rPr>
          <w:smallCaps/>
        </w:rPr>
        <w:t>Lagisz, M.</w:t>
      </w:r>
      <w:r>
        <w:t xml:space="preserve">, </w:t>
      </w:r>
      <w:r>
        <w:rPr>
          <w:smallCaps/>
        </w:rPr>
        <w:t>Burke, S.</w:t>
      </w:r>
      <w:r>
        <w:t xml:space="preserve">, </w:t>
      </w:r>
      <w:r>
        <w:rPr>
          <w:smallCaps/>
        </w:rPr>
        <w:t>Drobniak, S.M.</w:t>
      </w:r>
      <w:r>
        <w:t xml:space="preserve">, </w:t>
      </w:r>
      <w:r>
        <w:rPr>
          <w:smallCaps/>
        </w:rPr>
        <w:t>O’Dea, R.E.</w:t>
      </w:r>
      <w:r>
        <w:t xml:space="preserve"> &amp; </w:t>
      </w:r>
      <w:r>
        <w:rPr>
          <w:smallCaps/>
        </w:rPr>
        <w:t>Nakagawa, S.</w:t>
      </w:r>
      <w:r>
        <w:t xml:space="preserve"> (2022) Meta-analytic approaches and effect sizes to account for ‘nuisance heterogeneity’ in comparative physiology. </w:t>
      </w:r>
      <w:r>
        <w:rPr>
          <w:i/>
          <w:iCs/>
        </w:rPr>
        <w:t>Journal of Experimental Biology</w:t>
      </w:r>
      <w:r>
        <w:t xml:space="preserve"> </w:t>
      </w:r>
      <w:r>
        <w:rPr>
          <w:b/>
          <w:bCs/>
        </w:rPr>
        <w:t>225</w:t>
      </w:r>
      <w:r>
        <w:t>, jeb243225.</w:t>
      </w:r>
    </w:p>
    <w:p w14:paraId="1BF58503" w14:textId="77777777" w:rsidR="00FE2A2E" w:rsidRDefault="00000000">
      <w:pPr>
        <w:pStyle w:val="Bibliography"/>
      </w:pPr>
      <w:bookmarkStart w:id="24" w:name="ref-Paradis2019-gx"/>
      <w:bookmarkEnd w:id="23"/>
      <w:r>
        <w:rPr>
          <w:smallCaps/>
        </w:rPr>
        <w:t>Paradis, E.</w:t>
      </w:r>
      <w:r>
        <w:t xml:space="preserve"> &amp; </w:t>
      </w:r>
      <w:r>
        <w:rPr>
          <w:smallCaps/>
        </w:rPr>
        <w:t>Schliep, K.</w:t>
      </w:r>
      <w:r>
        <w:t xml:space="preserve"> (2019) Ape 5.0: An environment for modern phylogenetics and evolutionary analyses in R. </w:t>
      </w:r>
      <w:r>
        <w:rPr>
          <w:i/>
          <w:iCs/>
        </w:rPr>
        <w:t>Bioinformatics</w:t>
      </w:r>
      <w:r>
        <w:t xml:space="preserve"> </w:t>
      </w:r>
      <w:r>
        <w:rPr>
          <w:b/>
          <w:bCs/>
        </w:rPr>
        <w:t>35</w:t>
      </w:r>
      <w:r>
        <w:t>, 526–528.</w:t>
      </w:r>
    </w:p>
    <w:p w14:paraId="34FC8282" w14:textId="77777777" w:rsidR="00FE2A2E" w:rsidRDefault="00000000">
      <w:pPr>
        <w:pStyle w:val="Bibliography"/>
      </w:pPr>
      <w:bookmarkStart w:id="25" w:name="ref-Revell2012-vq"/>
      <w:bookmarkEnd w:id="24"/>
      <w:r>
        <w:rPr>
          <w:smallCaps/>
        </w:rPr>
        <w:t>Revell, L.J.</w:t>
      </w:r>
      <w:r>
        <w:t xml:space="preserve"> (2012) Phytools: An R package for phylogenetic comparative biology (and other things). </w:t>
      </w:r>
      <w:r>
        <w:rPr>
          <w:i/>
          <w:iCs/>
        </w:rPr>
        <w:t>Methods Ecol. Evol.</w:t>
      </w:r>
      <w:r>
        <w:t xml:space="preserve"> </w:t>
      </w:r>
      <w:r>
        <w:rPr>
          <w:b/>
          <w:bCs/>
        </w:rPr>
        <w:t>3</w:t>
      </w:r>
      <w:r>
        <w:t>, 217–223.</w:t>
      </w:r>
    </w:p>
    <w:p w14:paraId="56277477" w14:textId="77777777" w:rsidR="00FE2A2E" w:rsidRDefault="00000000">
      <w:pPr>
        <w:pStyle w:val="Bibliography"/>
      </w:pPr>
      <w:bookmarkStart w:id="26" w:name="ref-Viechtbauer2010-fn"/>
      <w:bookmarkEnd w:id="25"/>
      <w:r>
        <w:rPr>
          <w:smallCaps/>
        </w:rPr>
        <w:t>Viechtbauer, W.</w:t>
      </w:r>
      <w:r>
        <w:t xml:space="preserve"> (2010) Conducting meta-analyses in R with the metafor package. </w:t>
      </w:r>
      <w:r>
        <w:rPr>
          <w:i/>
          <w:iCs/>
        </w:rPr>
        <w:t>J. Stat. Softw.</w:t>
      </w:r>
      <w:r>
        <w:t xml:space="preserve"> </w:t>
      </w:r>
      <w:r>
        <w:rPr>
          <w:b/>
          <w:bCs/>
        </w:rPr>
        <w:t>36</w:t>
      </w:r>
      <w:r>
        <w:t>, 1–48. URL: https://www.jstatsoft.org/v36/i03/.</w:t>
      </w:r>
    </w:p>
    <w:p w14:paraId="42ABDEC2" w14:textId="77777777" w:rsidR="00FE2A2E" w:rsidRDefault="00000000">
      <w:pPr>
        <w:pStyle w:val="Bibliography"/>
      </w:pPr>
      <w:bookmarkStart w:id="27" w:name="ref-Yu2017-wj"/>
      <w:bookmarkEnd w:id="26"/>
      <w:r>
        <w:rPr>
          <w:smallCaps/>
        </w:rPr>
        <w:t>Yu, G.</w:t>
      </w:r>
      <w:r>
        <w:t xml:space="preserve">, </w:t>
      </w:r>
      <w:r>
        <w:rPr>
          <w:smallCaps/>
        </w:rPr>
        <w:t>Smith, D.</w:t>
      </w:r>
      <w:r>
        <w:t xml:space="preserve">, </w:t>
      </w:r>
      <w:r>
        <w:rPr>
          <w:smallCaps/>
        </w:rPr>
        <w:t>Zhu, H.</w:t>
      </w:r>
      <w:r>
        <w:t xml:space="preserve">, </w:t>
      </w:r>
      <w:r>
        <w:rPr>
          <w:smallCaps/>
        </w:rPr>
        <w:t>Guan, Y.</w:t>
      </w:r>
      <w:r>
        <w:t xml:space="preserve"> &amp; </w:t>
      </w:r>
      <w:r>
        <w:rPr>
          <w:smallCaps/>
        </w:rPr>
        <w:t>Lam, T.T.-Y.</w:t>
      </w:r>
      <w:r>
        <w:t xml:space="preserve"> (2017) Ggtree: An R package for visualization and annotation of phylogenetic trees with their covariates and other associated data. </w:t>
      </w:r>
      <w:r>
        <w:rPr>
          <w:i/>
          <w:iCs/>
        </w:rPr>
        <w:t>Methods Ecol. Evol.</w:t>
      </w:r>
      <w:r>
        <w:t xml:space="preserve"> </w:t>
      </w:r>
      <w:r>
        <w:rPr>
          <w:b/>
          <w:bCs/>
        </w:rPr>
        <w:t>8</w:t>
      </w:r>
      <w:r>
        <w:t>, 28–36, doi:10.1111/2041–210X.12628.</w:t>
      </w:r>
      <w:bookmarkEnd w:id="13"/>
      <w:bookmarkEnd w:id="15"/>
      <w:bookmarkEnd w:id="27"/>
    </w:p>
    <w:sectPr w:rsidR="00FE2A2E" w:rsidSect="00074B3C">
      <w:pgSz w:w="12240" w:h="15840"/>
      <w:pgMar w:top="1134" w:right="851" w:bottom="1134"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AA44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97426423">
    <w:abstractNumId w:val="0"/>
  </w:num>
  <w:num w:numId="2" w16cid:durableId="419761100">
    <w:abstractNumId w:val="0"/>
  </w:num>
  <w:num w:numId="3" w16cid:durableId="1063213114">
    <w:abstractNumId w:val="0"/>
  </w:num>
  <w:num w:numId="4" w16cid:durableId="1194343130">
    <w:abstractNumId w:val="0"/>
  </w:num>
  <w:num w:numId="5" w16cid:durableId="2007049763">
    <w:abstractNumId w:val="0"/>
  </w:num>
  <w:num w:numId="6" w16cid:durableId="7335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36E2F"/>
    <w:rsid w:val="00074B3C"/>
    <w:rsid w:val="000F64AC"/>
    <w:rsid w:val="003335E6"/>
    <w:rsid w:val="00442AC5"/>
    <w:rsid w:val="00464B1F"/>
    <w:rsid w:val="00555E4A"/>
    <w:rsid w:val="00605CB1"/>
    <w:rsid w:val="00682FBB"/>
    <w:rsid w:val="008E4461"/>
    <w:rsid w:val="009020E2"/>
    <w:rsid w:val="009462AF"/>
    <w:rsid w:val="00BC137F"/>
    <w:rsid w:val="00BD308D"/>
    <w:rsid w:val="00C90626"/>
    <w:rsid w:val="00D416B8"/>
    <w:rsid w:val="00F75478"/>
    <w:rsid w:val="00F974DC"/>
    <w:rsid w:val="00FE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C5A12"/>
  <w15:docId w15:val="{2AF254F2-F1BC-0846-B275-71187D82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E2F"/>
    <w:rPr>
      <w:rFonts w:ascii="Times New Roman" w:hAnsi="Times New Roman"/>
    </w:rPr>
  </w:style>
  <w:style w:type="paragraph" w:styleId="Heading1">
    <w:name w:val="heading 1"/>
    <w:basedOn w:val="Normal"/>
    <w:next w:val="BodyText"/>
    <w:link w:val="Heading1Char"/>
    <w:uiPriority w:val="9"/>
    <w:qFormat/>
    <w:rsid w:val="008E4461"/>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BodyText"/>
    <w:link w:val="Heading2Char"/>
    <w:uiPriority w:val="9"/>
    <w:semiHidden/>
    <w:unhideWhenUsed/>
    <w:qFormat/>
    <w:rsid w:val="00682FBB"/>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BodyText"/>
    <w:link w:val="Heading3Char"/>
    <w:uiPriority w:val="9"/>
    <w:semiHidden/>
    <w:unhideWhenUsed/>
    <w:qFormat/>
    <w:rsid w:val="008E4461"/>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BodyText"/>
    <w:link w:val="Heading4Char"/>
    <w:uiPriority w:val="9"/>
    <w:semiHidden/>
    <w:unhideWhenUsed/>
    <w:qFormat/>
    <w:rsid w:val="008E4461"/>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C137F"/>
    <w:pPr>
      <w:spacing w:before="180" w:after="180"/>
    </w:pPr>
  </w:style>
  <w:style w:type="paragraph" w:customStyle="1" w:styleId="FirstParagraph">
    <w:name w:val="First Paragraph"/>
    <w:basedOn w:val="BodyText"/>
    <w:next w:val="BodyText"/>
    <w:qFormat/>
    <w:rsid w:val="008E4461"/>
    <w:rPr>
      <w:color w:val="000000" w:themeColor="text1"/>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8E4461"/>
    <w:pPr>
      <w:spacing w:after="8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E4461"/>
    <w:rPr>
      <w:rFonts w:ascii="Times New Roman" w:eastAsiaTheme="majorEastAsia" w:hAnsi="Times New Roman"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rsid w:val="008E4461"/>
  </w:style>
  <w:style w:type="character" w:customStyle="1" w:styleId="Heading1Char">
    <w:name w:val="Heading 1 Char"/>
    <w:basedOn w:val="DefaultParagraphFont"/>
    <w:link w:val="Heading1"/>
    <w:uiPriority w:val="9"/>
    <w:rsid w:val="008E4461"/>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682FB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8E4461"/>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8E4461"/>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036E2F"/>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036E2F"/>
    <w:rPr>
      <w:rFonts w:ascii="Times New Roman" w:hAnsi="Times New Roman"/>
      <w:color w:val="000000" w:themeColor="text1"/>
      <w:sz w:val="24"/>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036E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Daniel Noble</cp:lastModifiedBy>
  <cp:revision>1</cp:revision>
  <dcterms:created xsi:type="dcterms:W3CDTF">2025-03-12T03:31:00Z</dcterms:created>
  <dcterms:modified xsi:type="dcterms:W3CDTF">2025-03-12T03:32:00Z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