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0F59D524"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30480162" w14:textId="3B91CB7E"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and exclusion </w:t>
      </w:r>
    </w:p>
    <w:p w14:paraId="5569DEDF" w14:textId="77777777" w:rsidR="00EE4458" w:rsidRDefault="00EE4458" w:rsidP="00EE4458">
      <w:pPr>
        <w:rPr>
          <w:rFonts w:ascii="Garamond" w:hAnsi="Garamond"/>
        </w:rPr>
      </w:pPr>
    </w:p>
    <w:p w14:paraId="5997FBC9" w14:textId="0843929C" w:rsidR="00EE4458" w:rsidRDefault="00EE4458" w:rsidP="00EE4458">
      <w:pPr>
        <w:rPr>
          <w:rFonts w:ascii="Garamond" w:hAnsi="Garamond"/>
        </w:rPr>
      </w:pPr>
      <w:r w:rsidRPr="00C76D6E">
        <w:rPr>
          <w:rFonts w:ascii="Garamond" w:hAnsi="Garamond"/>
          <w:b/>
        </w:rPr>
        <w:t xml:space="preserve">Table </w:t>
      </w:r>
      <w:r w:rsidRPr="00C76D6E">
        <w:rPr>
          <w:rFonts w:ascii="Garamond" w:hAnsi="Garamond"/>
          <w:b/>
        </w:rPr>
        <w:t>S14</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w:t>
      </w:r>
      <w:r>
        <w:rPr>
          <w:rFonts w:ascii="Garamond" w:hAnsi="Garamond"/>
        </w:rPr>
        <w:t xml:space="preserve">conducted </w:t>
      </w:r>
      <w:r>
        <w:rPr>
          <w:rFonts w:ascii="Garamond" w:hAnsi="Garamond"/>
        </w:rPr>
        <w:t xml:space="preserve">on 11 December 2018. Keyword searches differed slightly to account for how operator terms are employed by each database. The searches were further refined by using relevant biology field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77777777"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mating system for mating system and “species name” AND parental care for parental care. For birds, we also searched the </w:t>
      </w:r>
      <w:r>
        <w:rPr>
          <w:rFonts w:ascii="Garamond" w:hAnsi="Garamond"/>
          <w:i/>
        </w:rPr>
        <w:t xml:space="preserve">CRC Handbook of Avian Body Masses </w:t>
      </w:r>
      <w:r>
        <w:rPr>
          <w:rFonts w:ascii="Garamond" w:hAnsi="Garamond"/>
        </w:rPr>
        <w:fldChar w:fldCharType="begin" w:fldLock="1"/>
      </w:r>
      <w:r>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we did not have enough data for enough species to run our proposed meta-regression models. The location of data collected for both parental care and mating system are provided in the accompanying Supplementary data files (see sexual_selection.csv). </w:t>
      </w:r>
    </w:p>
    <w:p w14:paraId="41FEBB55" w14:textId="6C3AF88B" w:rsidR="00EE4458" w:rsidRDefault="00EE4458" w:rsidP="00EE4458">
      <w:pPr>
        <w:rPr>
          <w:rFonts w:ascii="Garamond" w:hAnsi="Garamond"/>
          <w:i/>
        </w:rPr>
      </w:pPr>
    </w:p>
    <w:p w14:paraId="2D5DCE34" w14:textId="0A79A513" w:rsidR="00EE4458" w:rsidRPr="0027119C"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bookmarkStart w:id="0" w:name="_GoBack"/>
      <w:bookmarkEnd w:id="0"/>
    </w:p>
    <w:p w14:paraId="71EA0D41" w14:textId="77777777" w:rsidR="00EE4458" w:rsidRDefault="00EE4458" w:rsidP="00EE4458">
      <w:pPr>
        <w:rPr>
          <w:rFonts w:ascii="Garamond" w:hAnsi="Garamond"/>
          <w:i/>
        </w:rPr>
      </w:pPr>
      <w:r w:rsidRPr="00546758">
        <w:rPr>
          <w:rFonts w:ascii="Garamond" w:hAnsi="Garamond"/>
          <w:i/>
        </w:rPr>
        <w:t>Expand on exclusion terms, what was excluded (i.e. papers that were missing sample sizes, error, means were 0 so we couldn’t use them in our models etc). lots of ns for transparency…</w:t>
      </w:r>
    </w:p>
    <w:p w14:paraId="3B0B7B89" w14:textId="77777777" w:rsidR="00EE4458" w:rsidRDefault="00EE4458" w:rsidP="00EE4458">
      <w:pPr>
        <w:rPr>
          <w:rFonts w:ascii="Garamond" w:hAnsi="Garamond"/>
          <w:i/>
        </w:rPr>
      </w:pPr>
    </w:p>
    <w:p w14:paraId="06D5F2D4" w14:textId="36EE7631" w:rsidR="00EE4458" w:rsidRDefault="00EE4458" w:rsidP="00EE4458">
      <w:pPr>
        <w:rPr>
          <w:rFonts w:ascii="Garamond" w:hAnsi="Garamond"/>
        </w:rPr>
      </w:pPr>
      <w:r>
        <w:rPr>
          <w:rFonts w:ascii="Garamond" w:hAnsi="Garamond"/>
        </w:rPr>
        <w:t>There are</w:t>
      </w:r>
      <w:r w:rsidRPr="003B0E0A">
        <w:rPr>
          <w:rFonts w:ascii="Garamond" w:hAnsi="Garamond"/>
        </w:rPr>
        <w:t xml:space="preserve"> 3 </w:t>
      </w:r>
      <w:r>
        <w:rPr>
          <w:rFonts w:ascii="Garamond" w:hAnsi="Garamond"/>
        </w:rPr>
        <w:t>studies</w:t>
      </w:r>
      <w:r w:rsidRPr="003B0E0A">
        <w:rPr>
          <w:rFonts w:ascii="Garamond" w:hAnsi="Garamond"/>
        </w:rPr>
        <w:t xml:space="preserve"> in our dataset (P172, P210 and P231) that </w:t>
      </w:r>
      <w:r>
        <w:rPr>
          <w:rFonts w:ascii="Garamond" w:hAnsi="Garamond"/>
        </w:rPr>
        <w:t xml:space="preserve">we were concerned </w:t>
      </w:r>
      <w:r w:rsidRPr="003B0E0A">
        <w:rPr>
          <w:rFonts w:ascii="Garamond" w:hAnsi="Garamond"/>
        </w:rPr>
        <w:t>might have issues with data duplication/unreliability</w:t>
      </w:r>
      <w:r>
        <w:rPr>
          <w:rFonts w:ascii="Garamond" w:hAnsi="Garamond"/>
        </w:rPr>
        <w:t xml:space="preserve">. </w:t>
      </w:r>
      <w:r w:rsidRPr="003B0E0A">
        <w:rPr>
          <w:rFonts w:ascii="Garamond" w:hAnsi="Garamond"/>
        </w:rPr>
        <w:t xml:space="preserve">LMH checked the retraction database </w:t>
      </w:r>
      <w:r w:rsidRPr="007D40C2">
        <w:rPr>
          <w:rFonts w:ascii="Garamond" w:hAnsi="Garamond"/>
          <w:i/>
        </w:rPr>
        <w:t>retractiondatabase.org</w:t>
      </w:r>
      <w:r>
        <w:rPr>
          <w:rFonts w:ascii="Garamond" w:hAnsi="Garamond"/>
        </w:rPr>
        <w:t xml:space="preserve"> regularly during data analysis</w:t>
      </w:r>
      <w:r w:rsidRPr="003B0E0A">
        <w:rPr>
          <w:rFonts w:ascii="Garamond" w:hAnsi="Garamond"/>
        </w:rPr>
        <w:t xml:space="preserve"> to check if these </w:t>
      </w:r>
      <w:r>
        <w:rPr>
          <w:rFonts w:ascii="Garamond" w:hAnsi="Garamond"/>
        </w:rPr>
        <w:t xml:space="preserve">studies </w:t>
      </w:r>
      <w:r w:rsidRPr="003B0E0A">
        <w:rPr>
          <w:rFonts w:ascii="Garamond" w:hAnsi="Garamond"/>
        </w:rPr>
        <w:t>were retracted or flagged</w:t>
      </w:r>
      <w:r>
        <w:rPr>
          <w:rFonts w:ascii="Garamond" w:hAnsi="Garamond"/>
        </w:rPr>
        <w:t xml:space="preserve"> for concern</w:t>
      </w:r>
      <w:r w:rsidRPr="003B0E0A">
        <w:rPr>
          <w:rFonts w:ascii="Garamond" w:hAnsi="Garamond"/>
        </w:rPr>
        <w:t>.</w:t>
      </w:r>
      <w:r>
        <w:rPr>
          <w:rFonts w:ascii="Garamond" w:hAnsi="Garamond"/>
        </w:rPr>
        <w:t xml:space="preserve"> </w:t>
      </w:r>
      <w:r w:rsidRPr="003B0E0A">
        <w:rPr>
          <w:rFonts w:ascii="Garamond" w:hAnsi="Garamond"/>
        </w:rPr>
        <w:t xml:space="preserve">As of 31 August 2020, none of the 3 </w:t>
      </w:r>
      <w:r>
        <w:rPr>
          <w:rFonts w:ascii="Garamond" w:hAnsi="Garamond"/>
        </w:rPr>
        <w:t>studies</w:t>
      </w:r>
      <w:r w:rsidRPr="003B0E0A">
        <w:rPr>
          <w:rFonts w:ascii="Garamond" w:hAnsi="Garamond"/>
        </w:rPr>
        <w:t xml:space="preserve"> had been retracted</w:t>
      </w:r>
      <w:r>
        <w:rPr>
          <w:rFonts w:ascii="Garamond" w:hAnsi="Garamond"/>
        </w:rPr>
        <w:t>, nor had any other issues</w:t>
      </w:r>
      <w:r w:rsidRPr="003B0E0A">
        <w:rPr>
          <w:rFonts w:ascii="Garamond" w:hAnsi="Garamond"/>
        </w:rPr>
        <w:t xml:space="preserve">, so we </w:t>
      </w:r>
      <w:r>
        <w:rPr>
          <w:rFonts w:ascii="Garamond" w:hAnsi="Garamond"/>
        </w:rPr>
        <w:t>kept</w:t>
      </w:r>
      <w:r w:rsidRPr="003B0E0A">
        <w:rPr>
          <w:rFonts w:ascii="Garamond" w:hAnsi="Garamond"/>
        </w:rPr>
        <w:t xml:space="preserve"> these studies in our final dataset.</w:t>
      </w:r>
    </w:p>
    <w:p w14:paraId="58D1663D" w14:textId="77777777" w:rsidR="00EE4458" w:rsidRDefault="00EE4458" w:rsidP="00EE4458">
      <w:pPr>
        <w:rPr>
          <w:rFonts w:ascii="Garamond" w:hAnsi="Garamond"/>
        </w:rPr>
      </w:pPr>
    </w:p>
    <w:p w14:paraId="744C06FA" w14:textId="77777777" w:rsidR="00EE4458" w:rsidRPr="003B0E0A" w:rsidRDefault="00EE4458" w:rsidP="00EE4458">
      <w:pPr>
        <w:rPr>
          <w:rFonts w:ascii="Garamond" w:hAnsi="Garamond"/>
        </w:rPr>
      </w:pPr>
      <w:r>
        <w:rPr>
          <w:rFonts w:ascii="Garamond" w:hAnsi="Garamond"/>
        </w:rPr>
        <w:t xml:space="preserve">**Sample sizes for males and females in P??? were obtained via email correspondence with co-author of study. </w:t>
      </w:r>
    </w:p>
    <w:p w14:paraId="5AAD4FBD" w14:textId="77777777" w:rsidR="00EE4458" w:rsidRDefault="00EE4458" w:rsidP="00EE4458">
      <w:pPr>
        <w:rPr>
          <w:rFonts w:ascii="Garamond" w:hAnsi="Garamond"/>
          <w:i/>
        </w:rPr>
      </w:pPr>
    </w:p>
    <w:p w14:paraId="45D8E3EB" w14:textId="71659B78" w:rsidR="00EE4458" w:rsidRPr="0027119C" w:rsidRDefault="00EE4458" w:rsidP="0027119C">
      <w:pPr>
        <w:pStyle w:val="ListParagraph"/>
        <w:numPr>
          <w:ilvl w:val="0"/>
          <w:numId w:val="1"/>
        </w:numPr>
        <w:rPr>
          <w:rFonts w:ascii="Garamond" w:hAnsi="Garamond"/>
        </w:rPr>
      </w:pPr>
      <w:r w:rsidRPr="0027119C">
        <w:rPr>
          <w:rFonts w:ascii="Garamond" w:hAnsi="Garamond"/>
          <w:i/>
        </w:rPr>
        <w:t>Data transformations</w:t>
      </w:r>
    </w:p>
    <w:p w14:paraId="2CAC9B8B" w14:textId="77777777" w:rsidR="00EE4458" w:rsidRDefault="00EE4458" w:rsidP="00EE4458">
      <w:pPr>
        <w:rPr>
          <w:rFonts w:ascii="Garamond" w:hAnsi="Garamond"/>
        </w:rPr>
      </w:pPr>
    </w:p>
    <w:p w14:paraId="74D7EFEC" w14:textId="77777777" w:rsidR="00EE4458" w:rsidRDefault="00EE4458" w:rsidP="00EE4458">
      <w:pPr>
        <w:rPr>
          <w:rFonts w:ascii="Garamond" w:hAnsi="Garamond"/>
          <w:i/>
        </w:rPr>
      </w:pPr>
      <w:r>
        <w:rPr>
          <w:rFonts w:ascii="Garamond" w:hAnsi="Garamond"/>
          <w:i/>
        </w:rPr>
        <w:t>Score data</w:t>
      </w:r>
    </w:p>
    <w:p w14:paraId="1B1C1511" w14:textId="7777777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2F047FF3" w14:textId="77777777" w:rsidR="00EE4458" w:rsidRDefault="00EE4458">
      <w:pPr>
        <w:rPr>
          <w:rFonts w:ascii="Garamond" w:hAnsi="Garamond"/>
          <w:i/>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FF1ADF">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FF1ADF"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59DDDCA9"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(Nakagawa &amp; Santos 2012). </w:t>
      </w:r>
    </w:p>
    <w:p w14:paraId="1CDE26FC" w14:textId="77777777" w:rsidR="00546758" w:rsidRDefault="00546758">
      <w:pPr>
        <w:rPr>
          <w:rFonts w:ascii="Garamond" w:hAnsi="Garamond"/>
          <w:i/>
        </w:rPr>
      </w:pPr>
    </w:p>
    <w:p w14:paraId="27CFEE09" w14:textId="618E11D1" w:rsidR="00B876BE" w:rsidRPr="0027119C"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33D381AC" w14:textId="433098BD"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t>
      </w:r>
      <w:r>
        <w:rPr>
          <w:rFonts w:ascii="Garamond" w:hAnsi="Garamond"/>
        </w:rPr>
        <w:t xml:space="preserve">Where </w:t>
      </w:r>
      <w:r>
        <w:rPr>
          <w:rFonts w:ascii="Garamond" w:hAnsi="Garamond"/>
        </w:rPr>
        <w:t>mating system</w:t>
      </w:r>
      <w:r>
        <w:rPr>
          <w:rFonts w:ascii="Garamond" w:hAnsi="Garamond"/>
        </w:rPr>
        <w:t xml:space="preserve"> </w:t>
      </w:r>
      <w:r>
        <w:rPr>
          <w:rFonts w:ascii="Garamond" w:hAnsi="Garamond"/>
        </w:rPr>
        <w:t>was</w:t>
      </w:r>
      <w:r>
        <w:rPr>
          <w:rFonts w:ascii="Garamond" w:hAnsi="Garamond"/>
        </w:rPr>
        <w:t xml:space="preserve">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w:t>
      </w:r>
      <w:r>
        <w:rPr>
          <w:rFonts w:ascii="Garamond" w:hAnsi="Garamond"/>
        </w:rPr>
        <w:t>“mating system”</w:t>
      </w:r>
      <w:r>
        <w:rPr>
          <w:rFonts w:ascii="Garamond" w:hAnsi="Garamond"/>
        </w:rPr>
        <w:t xml:space="preserve">.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proofErr w:type="spellStart"/>
      <w:r>
        <w:rPr>
          <w:rFonts w:ascii="Garamond" w:hAnsi="Garamond"/>
        </w:rPr>
        <w:t>The</w:t>
      </w:r>
      <w:proofErr w:type="spellEnd"/>
      <w:r>
        <w:rPr>
          <w:rFonts w:ascii="Garamond" w:hAnsi="Garamond"/>
        </w:rPr>
        <w:t xml:space="preserve"> </w:t>
      </w:r>
      <w:r>
        <w:rPr>
          <w:rFonts w:ascii="Garamond" w:hAnsi="Garamond"/>
        </w:rPr>
        <w:lastRenderedPageBreak/>
        <w:t xml:space="preserve">location of data collected for </w:t>
      </w:r>
      <w:r w:rsidR="0097321B">
        <w:rPr>
          <w:rFonts w:ascii="Garamond" w:hAnsi="Garamond"/>
        </w:rPr>
        <w:t>mating system</w:t>
      </w:r>
      <w:r>
        <w:rPr>
          <w:rFonts w:ascii="Garamond" w:hAnsi="Garamond"/>
        </w:rPr>
        <w:t xml:space="preserve"> is provided in the Supplementary Material</w:t>
      </w:r>
      <w:r>
        <w:rPr>
          <w:rFonts w:ascii="Garamond" w:hAnsi="Garamond"/>
        </w:rPr>
        <w:t xml:space="preserve"> data files (see sexual_selection.csv)</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1418B654" w:rsidR="00C577E7" w:rsidRDefault="000F2867" w:rsidP="00C577E7">
      <w:pPr>
        <w:rPr>
          <w:rFonts w:ascii="Garamond" w:hAnsi="Garamond"/>
        </w:rPr>
      </w:pPr>
      <w:r>
        <w:rPr>
          <w:rFonts w:ascii="Garamond" w:hAnsi="Garamond"/>
        </w:rPr>
        <w:t xml:space="preserve">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5FC48E00"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w:t>
      </w:r>
      <w:r w:rsidR="00003053">
        <w:rPr>
          <w:rFonts w:ascii="Garamond" w:hAnsi="Garamond"/>
        </w:rPr>
        <w:t xml:space="preserve">and marginally significantly different for </w:t>
      </w:r>
      <w:proofErr w:type="spellStart"/>
      <w:r w:rsidR="00003053">
        <w:rPr>
          <w:rFonts w:ascii="Garamond" w:hAnsi="Garamond"/>
        </w:rPr>
        <w:t>reptilia</w:t>
      </w:r>
      <w:proofErr w:type="spellEnd"/>
      <w:r w:rsidR="00003053">
        <w:rPr>
          <w:rFonts w:ascii="Garamond" w:hAnsi="Garamond"/>
        </w:rPr>
        <w:t xml:space="preserve"> (</w:t>
      </w:r>
      <w:r w:rsidR="00003053">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w:t>
      </w:r>
      <w:r w:rsidR="00003053">
        <w:rPr>
          <w:rFonts w:ascii="Garamond" w:hAnsi="Garamond"/>
        </w:rPr>
        <w:t>-0.29</w:t>
      </w:r>
      <w:r w:rsidR="00003053">
        <w:rPr>
          <w:rFonts w:ascii="Garamond" w:hAnsi="Garamond"/>
        </w:rPr>
        <w:t>, 95% CIs: -0.</w:t>
      </w:r>
      <w:r w:rsidR="00003053">
        <w:rPr>
          <w:rFonts w:ascii="Garamond" w:hAnsi="Garamond"/>
        </w:rPr>
        <w:t>77</w:t>
      </w:r>
      <w:r w:rsidR="00003053">
        <w:rPr>
          <w:rFonts w:ascii="Garamond" w:hAnsi="Garamond"/>
        </w:rPr>
        <w:t>, 0.</w:t>
      </w:r>
      <w:r w:rsidR="00003053">
        <w:rPr>
          <w:rFonts w:ascii="Garamond" w:hAnsi="Garamond"/>
        </w:rPr>
        <w:t>18</w:t>
      </w:r>
      <w:r w:rsidR="00003053">
        <w:rPr>
          <w:rFonts w:ascii="Garamond" w:hAnsi="Garamond"/>
        </w:rPr>
        <w:t xml:space="preserve">, </w:t>
      </w:r>
      <w:r w:rsidR="00003053">
        <w:rPr>
          <w:rFonts w:ascii="Garamond" w:hAnsi="Garamond"/>
          <w:i/>
        </w:rPr>
        <w:t xml:space="preserve">t </w:t>
      </w:r>
      <w:r w:rsidR="00003053">
        <w:rPr>
          <w:rFonts w:ascii="Garamond" w:hAnsi="Garamond"/>
        </w:rPr>
        <w:t xml:space="preserve">= </w:t>
      </w:r>
      <w:r w:rsidR="00003053">
        <w:rPr>
          <w:rFonts w:ascii="Garamond" w:hAnsi="Garamond"/>
        </w:rPr>
        <w:t>-1.24</w:t>
      </w:r>
      <w:r w:rsidR="00003053">
        <w:rPr>
          <w:rFonts w:ascii="Garamond" w:hAnsi="Garamond"/>
        </w:rPr>
        <w:t xml:space="preserve">, </w:t>
      </w:r>
      <w:r w:rsidR="00003053">
        <w:rPr>
          <w:rFonts w:ascii="Garamond" w:hAnsi="Garamond"/>
          <w:i/>
        </w:rPr>
        <w:t>p</w:t>
      </w:r>
      <w:r w:rsidR="00003053">
        <w:rPr>
          <w:rFonts w:ascii="Garamond" w:hAnsi="Garamond"/>
        </w:rPr>
        <w:t>=</w:t>
      </w:r>
      <w:r w:rsidR="00003053">
        <w:rPr>
          <w:rFonts w:ascii="Garamond" w:hAnsi="Garamond"/>
        </w:rPr>
        <w:t>0.22</w:t>
      </w:r>
      <w:r w:rsidR="00003053">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 </w:t>
      </w:r>
      <w:r w:rsidR="00003053">
        <w:rPr>
          <w:rFonts w:ascii="Garamond" w:hAnsi="Garamond"/>
        </w:rPr>
        <w:t>0.42</w:t>
      </w:r>
      <w:r w:rsidR="00003053">
        <w:rPr>
          <w:rFonts w:ascii="Garamond" w:hAnsi="Garamond"/>
        </w:rPr>
        <w:t>, 95% CIs: -0.</w:t>
      </w:r>
      <w:r w:rsidR="00003053">
        <w:rPr>
          <w:rFonts w:ascii="Garamond" w:hAnsi="Garamond"/>
        </w:rPr>
        <w:t>07</w:t>
      </w:r>
      <w:r w:rsidR="00003053">
        <w:rPr>
          <w:rFonts w:ascii="Garamond" w:hAnsi="Garamond"/>
        </w:rPr>
        <w:t xml:space="preserve">, </w:t>
      </w:r>
      <w:r w:rsidR="00003053">
        <w:rPr>
          <w:rFonts w:ascii="Garamond" w:hAnsi="Garamond"/>
        </w:rPr>
        <w:t>0.91</w:t>
      </w:r>
      <w:r w:rsidR="00003053">
        <w:rPr>
          <w:rFonts w:ascii="Garamond" w:hAnsi="Garamond"/>
        </w:rPr>
        <w:t xml:space="preserve">, </w:t>
      </w:r>
      <w:r w:rsidR="00003053">
        <w:rPr>
          <w:rFonts w:ascii="Garamond" w:hAnsi="Garamond"/>
          <w:i/>
        </w:rPr>
        <w:t xml:space="preserve">t </w:t>
      </w:r>
      <w:r w:rsidR="00003053">
        <w:rPr>
          <w:rFonts w:ascii="Garamond" w:hAnsi="Garamond"/>
        </w:rPr>
        <w:t>= -</w:t>
      </w:r>
      <w:r w:rsidR="00003053">
        <w:rPr>
          <w:rFonts w:ascii="Garamond" w:hAnsi="Garamond"/>
        </w:rPr>
        <w:t>1.70</w:t>
      </w:r>
      <w:r w:rsidR="00003053">
        <w:rPr>
          <w:rFonts w:ascii="Garamond" w:hAnsi="Garamond"/>
        </w:rPr>
        <w:t xml:space="preserve">, </w:t>
      </w:r>
      <w:r w:rsidR="00003053">
        <w:rPr>
          <w:rFonts w:ascii="Garamond" w:hAnsi="Garamond"/>
          <w:i/>
        </w:rPr>
        <w:t>p</w:t>
      </w:r>
      <w:r w:rsidR="00003053">
        <w:rPr>
          <w:rFonts w:ascii="Garamond" w:hAnsi="Garamond"/>
        </w:rPr>
        <w:t>=0.0</w:t>
      </w:r>
      <w:r w:rsidR="00003053">
        <w:rPr>
          <w:rFonts w:ascii="Garamond" w:hAnsi="Garamond"/>
        </w:rPr>
        <w:t xml:space="preserve">9), </w:t>
      </w:r>
      <w:r>
        <w:rPr>
          <w:rFonts w:ascii="Garamond" w:hAnsi="Garamond"/>
        </w:rPr>
        <w:t xml:space="preserve">but not for variability, and not for any other taxonomic group (Supplementary Table S10). </w:t>
      </w:r>
    </w:p>
    <w:p w14:paraId="15B6A5A1" w14:textId="1AFCD287" w:rsidR="00C577E7" w:rsidRDefault="00C577E7" w:rsidP="00C577E7">
      <w:pPr>
        <w:rPr>
          <w:rFonts w:ascii="Garamond" w:hAnsi="Garamond"/>
        </w:rPr>
      </w:pPr>
    </w:p>
    <w:p w14:paraId="702551FE" w14:textId="1371BA13" w:rsidR="00C577E7" w:rsidRPr="00C577E7" w:rsidRDefault="00C577E7" w:rsidP="00C577E7">
      <w:pPr>
        <w:rPr>
          <w:rFonts w:ascii="Garamond" w:hAnsi="Garamond"/>
          <w:i/>
        </w:rPr>
      </w:pPr>
      <w:r>
        <w:rPr>
          <w:rFonts w:ascii="Garamond" w:hAnsi="Garamond"/>
          <w:i/>
        </w:rPr>
        <w:t>Study type</w:t>
      </w:r>
    </w:p>
    <w:p w14:paraId="629944E5" w14:textId="79A9A451"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 xml:space="preserve"> and marginally significantly different for </w:t>
      </w:r>
      <w:proofErr w:type="spellStart"/>
      <w:r w:rsidR="00284BB9">
        <w:rPr>
          <w:rFonts w:ascii="Garamond" w:hAnsi="Garamond"/>
        </w:rPr>
        <w:t>reptilia</w:t>
      </w:r>
      <w:proofErr w:type="spellEnd"/>
      <w:r w:rsidR="00284BB9">
        <w:rPr>
          <w:rFonts w:ascii="Garamond" w:hAnsi="Garamond"/>
        </w:rPr>
        <w:t xml:space="preserve"> (</w:t>
      </w:r>
      <w:r w:rsidR="00284BB9">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=0.</w:t>
      </w:r>
      <w:r w:rsidR="00284BB9">
        <w:rPr>
          <w:rFonts w:ascii="Garamond" w:hAnsi="Garamond"/>
        </w:rPr>
        <w:t>13</w:t>
      </w:r>
      <w:r w:rsidR="00284BB9">
        <w:rPr>
          <w:rFonts w:ascii="Garamond" w:hAnsi="Garamond"/>
        </w:rPr>
        <w:t>, 95% CIs: -0.</w:t>
      </w:r>
      <w:r w:rsidR="00284BB9">
        <w:rPr>
          <w:rFonts w:ascii="Garamond" w:hAnsi="Garamond"/>
        </w:rPr>
        <w:t>09</w:t>
      </w:r>
      <w:r w:rsidR="00284BB9">
        <w:rPr>
          <w:rFonts w:ascii="Garamond" w:hAnsi="Garamond"/>
        </w:rPr>
        <w:t>, 0.</w:t>
      </w:r>
      <w:r w:rsidR="00284BB9">
        <w:rPr>
          <w:rFonts w:ascii="Garamond" w:hAnsi="Garamond"/>
        </w:rPr>
        <w:t>34</w:t>
      </w:r>
      <w:r w:rsidR="00284BB9">
        <w:rPr>
          <w:rFonts w:ascii="Garamond" w:hAnsi="Garamond"/>
        </w:rPr>
        <w:t xml:space="preserve">, </w:t>
      </w:r>
      <w:r w:rsidR="00284BB9">
        <w:rPr>
          <w:rFonts w:ascii="Garamond" w:hAnsi="Garamond"/>
          <w:i/>
        </w:rPr>
        <w:t xml:space="preserve">t </w:t>
      </w:r>
      <w:r w:rsidR="00284BB9">
        <w:rPr>
          <w:rFonts w:ascii="Garamond" w:hAnsi="Garamond"/>
        </w:rPr>
        <w:t xml:space="preserve">= </w:t>
      </w:r>
      <w:r w:rsidR="00284BB9">
        <w:rPr>
          <w:rFonts w:ascii="Garamond" w:hAnsi="Garamond"/>
        </w:rPr>
        <w:t>1.14</w:t>
      </w:r>
      <w:r w:rsidR="00284BB9">
        <w:rPr>
          <w:rFonts w:ascii="Garamond" w:hAnsi="Garamond"/>
        </w:rPr>
        <w:t xml:space="preserve">, </w:t>
      </w:r>
      <w:r w:rsidR="00284BB9">
        <w:rPr>
          <w:rFonts w:ascii="Garamond" w:hAnsi="Garamond"/>
          <w:i/>
        </w:rPr>
        <w:t>p</w:t>
      </w:r>
      <w:r w:rsidR="00284BB9">
        <w:rPr>
          <w:rFonts w:ascii="Garamond" w:hAnsi="Garamond"/>
        </w:rPr>
        <w:t>=0.</w:t>
      </w:r>
      <w:r w:rsidR="00284BB9">
        <w:rPr>
          <w:rFonts w:ascii="Garamond" w:hAnsi="Garamond"/>
        </w:rPr>
        <w:t>26</w:t>
      </w:r>
      <w:r w:rsidR="00284BB9">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w:t>
      </w:r>
      <w:r w:rsidR="00284BB9">
        <w:rPr>
          <w:rFonts w:ascii="Garamond" w:hAnsi="Garamond"/>
        </w:rPr>
        <w:t>-0.42</w:t>
      </w:r>
      <w:r w:rsidR="00284BB9">
        <w:rPr>
          <w:rFonts w:ascii="Garamond" w:hAnsi="Garamond"/>
        </w:rPr>
        <w:t xml:space="preserve">, 95% CIs: </w:t>
      </w:r>
      <w:r w:rsidR="00284BB9">
        <w:rPr>
          <w:rFonts w:ascii="Garamond" w:hAnsi="Garamond"/>
        </w:rPr>
        <w:t>-0.91</w:t>
      </w:r>
      <w:r w:rsidR="00284BB9">
        <w:rPr>
          <w:rFonts w:ascii="Garamond" w:hAnsi="Garamond"/>
        </w:rPr>
        <w:t>, 0.</w:t>
      </w:r>
      <w:r w:rsidR="00284BB9">
        <w:rPr>
          <w:rFonts w:ascii="Garamond" w:hAnsi="Garamond"/>
        </w:rPr>
        <w:t>07</w:t>
      </w:r>
      <w:r w:rsidR="00284BB9">
        <w:rPr>
          <w:rFonts w:ascii="Garamond" w:hAnsi="Garamond"/>
        </w:rPr>
        <w:t xml:space="preserve">, </w:t>
      </w:r>
      <w:r w:rsidR="00284BB9">
        <w:rPr>
          <w:rFonts w:ascii="Garamond" w:hAnsi="Garamond"/>
          <w:i/>
        </w:rPr>
        <w:t xml:space="preserve">t </w:t>
      </w:r>
      <w:r w:rsidR="00284BB9">
        <w:rPr>
          <w:rFonts w:ascii="Garamond" w:hAnsi="Garamond"/>
        </w:rPr>
        <w:t xml:space="preserve">= </w:t>
      </w:r>
      <w:r w:rsidR="00284BB9">
        <w:rPr>
          <w:rFonts w:ascii="Garamond" w:hAnsi="Garamond"/>
        </w:rPr>
        <w:t>-1.70</w:t>
      </w:r>
      <w:r w:rsidR="00284BB9">
        <w:rPr>
          <w:rFonts w:ascii="Garamond" w:hAnsi="Garamond"/>
        </w:rPr>
        <w:t xml:space="preserve">,  </w:t>
      </w:r>
      <w:r w:rsidR="00284BB9">
        <w:rPr>
          <w:rFonts w:ascii="Garamond" w:hAnsi="Garamond"/>
          <w:i/>
        </w:rPr>
        <w:t>p</w:t>
      </w:r>
      <w:r w:rsidR="00284BB9">
        <w:rPr>
          <w:rFonts w:ascii="Garamond" w:hAnsi="Garamond"/>
        </w:rPr>
        <w:t>=0.0</w:t>
      </w:r>
      <w:r w:rsidR="00284BB9">
        <w:rPr>
          <w:rFonts w:ascii="Garamond" w:hAnsi="Garamond"/>
        </w:rPr>
        <w:t>9),</w:t>
      </w:r>
      <w:r w:rsidR="000F2867">
        <w:rPr>
          <w:rFonts w:ascii="Garamond" w:hAnsi="Garamond"/>
        </w:rPr>
        <w:t xml:space="preserve"> but not for variability, and not for any other taxonomic group (Supplementary Table S11).    </w:t>
      </w:r>
    </w:p>
    <w:p w14:paraId="5AEB0BF4" w14:textId="3872FE2E" w:rsidR="00554B96" w:rsidRDefault="00554B96" w:rsidP="00C577E7">
      <w:pPr>
        <w:rPr>
          <w:rFonts w:ascii="Garamond" w:hAnsi="Garamond"/>
        </w:rPr>
      </w:pPr>
    </w:p>
    <w:p w14:paraId="0C669315" w14:textId="77777777" w:rsidR="00554B96" w:rsidRPr="00554B96" w:rsidRDefault="00554B96" w:rsidP="00C577E7">
      <w:pPr>
        <w:rPr>
          <w:rFonts w:ascii="Garamond" w:hAnsi="Garamond"/>
        </w:rPr>
      </w:pPr>
    </w:p>
    <w:p w14:paraId="3DA29B6D" w14:textId="22317D17" w:rsidR="000F2867" w:rsidRPr="000F2867" w:rsidRDefault="000F2867">
      <w:pPr>
        <w:rPr>
          <w:rFonts w:ascii="Garamond" w:hAnsi="Garamond"/>
        </w:rPr>
      </w:pPr>
    </w:p>
    <w:p w14:paraId="5F98A2B0" w14:textId="77777777" w:rsidR="000F2867" w:rsidRPr="00B876BE" w:rsidRDefault="000F2867">
      <w:pPr>
        <w:rPr>
          <w:rFonts w:ascii="Garamond" w:hAnsi="Garamond"/>
          <w:i/>
        </w:rPr>
      </w:pPr>
    </w:p>
    <w:p w14:paraId="4E681DF3" w14:textId="0B51E0FA" w:rsidR="00B876BE" w:rsidRDefault="00B876BE">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205AE"/>
    <w:rsid w:val="000510FA"/>
    <w:rsid w:val="00054A25"/>
    <w:rsid w:val="00071C08"/>
    <w:rsid w:val="00095368"/>
    <w:rsid w:val="000D0BBA"/>
    <w:rsid w:val="000F2867"/>
    <w:rsid w:val="00186833"/>
    <w:rsid w:val="001C1278"/>
    <w:rsid w:val="001C1877"/>
    <w:rsid w:val="00211F1C"/>
    <w:rsid w:val="00213EDD"/>
    <w:rsid w:val="00217AF2"/>
    <w:rsid w:val="002275CB"/>
    <w:rsid w:val="0024112C"/>
    <w:rsid w:val="002442EE"/>
    <w:rsid w:val="002456F4"/>
    <w:rsid w:val="0027119C"/>
    <w:rsid w:val="00284BB9"/>
    <w:rsid w:val="002934D6"/>
    <w:rsid w:val="002B5E50"/>
    <w:rsid w:val="002F4C46"/>
    <w:rsid w:val="00307735"/>
    <w:rsid w:val="00341319"/>
    <w:rsid w:val="00343E5E"/>
    <w:rsid w:val="003528EF"/>
    <w:rsid w:val="00372DC4"/>
    <w:rsid w:val="00377251"/>
    <w:rsid w:val="003A3F10"/>
    <w:rsid w:val="003A72D1"/>
    <w:rsid w:val="003B0E0A"/>
    <w:rsid w:val="003B414B"/>
    <w:rsid w:val="003D5EF3"/>
    <w:rsid w:val="00403EE0"/>
    <w:rsid w:val="004A632B"/>
    <w:rsid w:val="004C0B0A"/>
    <w:rsid w:val="004D6537"/>
    <w:rsid w:val="00544B53"/>
    <w:rsid w:val="00546758"/>
    <w:rsid w:val="00554B96"/>
    <w:rsid w:val="005714FA"/>
    <w:rsid w:val="00571ED5"/>
    <w:rsid w:val="00575530"/>
    <w:rsid w:val="00585CF5"/>
    <w:rsid w:val="00592855"/>
    <w:rsid w:val="00597D83"/>
    <w:rsid w:val="00640D3A"/>
    <w:rsid w:val="00644FA8"/>
    <w:rsid w:val="00653041"/>
    <w:rsid w:val="00687671"/>
    <w:rsid w:val="00791FAC"/>
    <w:rsid w:val="007A0CED"/>
    <w:rsid w:val="007D40C2"/>
    <w:rsid w:val="0082211F"/>
    <w:rsid w:val="00840BE2"/>
    <w:rsid w:val="00845989"/>
    <w:rsid w:val="00856B7E"/>
    <w:rsid w:val="008A455A"/>
    <w:rsid w:val="008B2F4D"/>
    <w:rsid w:val="0097321B"/>
    <w:rsid w:val="009C2CF3"/>
    <w:rsid w:val="009F7074"/>
    <w:rsid w:val="00A1679C"/>
    <w:rsid w:val="00A72405"/>
    <w:rsid w:val="00AC493D"/>
    <w:rsid w:val="00AF61E5"/>
    <w:rsid w:val="00B13306"/>
    <w:rsid w:val="00B37149"/>
    <w:rsid w:val="00B60D77"/>
    <w:rsid w:val="00B65DA6"/>
    <w:rsid w:val="00B876BE"/>
    <w:rsid w:val="00B906D5"/>
    <w:rsid w:val="00BD2216"/>
    <w:rsid w:val="00C26B92"/>
    <w:rsid w:val="00C27B83"/>
    <w:rsid w:val="00C4583F"/>
    <w:rsid w:val="00C54B68"/>
    <w:rsid w:val="00C577E7"/>
    <w:rsid w:val="00C6362B"/>
    <w:rsid w:val="00C76D6E"/>
    <w:rsid w:val="00CF0144"/>
    <w:rsid w:val="00D012CE"/>
    <w:rsid w:val="00D37C5D"/>
    <w:rsid w:val="00D571C1"/>
    <w:rsid w:val="00D711A6"/>
    <w:rsid w:val="00DD48BC"/>
    <w:rsid w:val="00E01C84"/>
    <w:rsid w:val="00E37C99"/>
    <w:rsid w:val="00E57868"/>
    <w:rsid w:val="00E81795"/>
    <w:rsid w:val="00EA663F"/>
    <w:rsid w:val="00ED15CA"/>
    <w:rsid w:val="00EE4458"/>
    <w:rsid w:val="00F15E1C"/>
    <w:rsid w:val="00F2687C"/>
    <w:rsid w:val="00F40013"/>
    <w:rsid w:val="00FC0A64"/>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BEE4E2-1AE0-1F42-80A9-CDE8C73D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35</cp:revision>
  <dcterms:created xsi:type="dcterms:W3CDTF">2020-08-07T03:23:00Z</dcterms:created>
  <dcterms:modified xsi:type="dcterms:W3CDTF">2020-09-04T06:12:00Z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