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4C13" w14:textId="77777777" w:rsidR="008229CB" w:rsidRDefault="00000000">
      <w:pPr>
        <w:pStyle w:val="Title"/>
      </w:pPr>
      <w:r>
        <w:t>Box 1 - TDT Curves</w:t>
      </w:r>
    </w:p>
    <w:p w14:paraId="74885901" w14:textId="77777777" w:rsidR="008229CB" w:rsidRDefault="00000000">
      <w:pPr>
        <w:pStyle w:val="Heading2"/>
      </w:pPr>
      <w:bookmarkStart w:id="0" w:name="X75486c1089abca507280a8c5928373137c608c0"/>
      <w:r>
        <w:t xml:space="preserve">Estimate TDT Curve Parameters for </w:t>
      </w:r>
      <w:r>
        <w:rPr>
          <w:i/>
          <w:iCs/>
        </w:rPr>
        <w:t>Drosophilia</w:t>
      </w:r>
    </w:p>
    <w:p w14:paraId="2DCB6EFB" w14:textId="77777777" w:rsidR="008229CB" w:rsidRDefault="00000000">
      <w:pPr>
        <w:pStyle w:val="FirstParagraph"/>
      </w:pPr>
      <w:r>
        <w:t xml:space="preserve">We can have a look at each new species’ TDT curves </w:t>
      </w:r>
      <w:commentRangeStart w:id="1"/>
      <w:r>
        <w:t>collected by Vanessa (</w:t>
      </w:r>
      <w:hyperlink w:anchor="fig-tdt">
        <w:r>
          <w:rPr>
            <w:rStyle w:val="Hyperlink"/>
          </w:rPr>
          <w:t>Figure 1</w:t>
        </w:r>
      </w:hyperlink>
      <w:r>
        <w:t xml:space="preserve">). We can also use the data to calculate the TDT curve (slope) and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for each species (Table 1).</w:t>
      </w:r>
      <w:commentRangeEnd w:id="1"/>
      <w:r w:rsidR="00827D4A">
        <w:rPr>
          <w:rStyle w:val="CommentReference"/>
          <w:rFonts w:asciiTheme="minorHAnsi" w:hAnsiTheme="minorHAnsi"/>
        </w:rPr>
        <w:commentReference w:id="1"/>
      </w:r>
    </w:p>
    <w:tbl>
      <w:tblPr>
        <w:tblStyle w:val="Table"/>
        <w:tblW w:w="5000" w:type="pct"/>
        <w:tblLook w:val="0000" w:firstRow="0" w:lastRow="0" w:firstColumn="0" w:lastColumn="0" w:noHBand="0" w:noVBand="0"/>
      </w:tblPr>
      <w:tblGrid>
        <w:gridCol w:w="10538"/>
      </w:tblGrid>
      <w:tr w:rsidR="008229CB" w14:paraId="1C64B569" w14:textId="77777777">
        <w:tc>
          <w:tcPr>
            <w:tcW w:w="0" w:type="auto"/>
          </w:tcPr>
          <w:p w14:paraId="706D5126" w14:textId="77777777" w:rsidR="008229CB" w:rsidRDefault="00000000">
            <w:pPr>
              <w:pStyle w:val="Figure"/>
              <w:jc w:val="center"/>
            </w:pPr>
            <w:bookmarkStart w:id="2" w:name="fig-tdt"/>
            <w:r>
              <w:rPr>
                <w:noProof/>
              </w:rPr>
              <w:drawing>
                <wp:inline distT="0" distB="0" distL="0" distR="0" wp14:anchorId="5E2F15F9" wp14:editId="4F6ADB1B">
                  <wp:extent cx="6680200" cy="26720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s_files/figure-docx/fig-tdt-1.png"/>
                          <pic:cNvPicPr>
                            <a:picLocks noChangeAspect="1" noChangeArrowheads="1"/>
                          </pic:cNvPicPr>
                        </pic:nvPicPr>
                        <pic:blipFill>
                          <a:blip r:embed="rId11"/>
                          <a:stretch>
                            <a:fillRect/>
                          </a:stretch>
                        </pic:blipFill>
                        <pic:spPr bwMode="auto">
                          <a:xfrm>
                            <a:off x="0" y="0"/>
                            <a:ext cx="6680200" cy="2672080"/>
                          </a:xfrm>
                          <a:prstGeom prst="rect">
                            <a:avLst/>
                          </a:prstGeom>
                          <a:noFill/>
                          <a:ln w="9525">
                            <a:noFill/>
                            <a:headEnd/>
                            <a:tailEnd/>
                          </a:ln>
                        </pic:spPr>
                      </pic:pic>
                    </a:graphicData>
                  </a:graphic>
                </wp:inline>
              </w:drawing>
            </w:r>
          </w:p>
          <w:p w14:paraId="2CCF00F6" w14:textId="77777777" w:rsidR="008229CB" w:rsidRDefault="00000000">
            <w:pPr>
              <w:pStyle w:val="ImageCaption"/>
              <w:spacing w:before="200"/>
            </w:pPr>
            <w:r>
              <w:rPr>
                <w:b/>
                <w:bCs/>
              </w:rPr>
              <w:t>Figure</w:t>
            </w:r>
            <w:r>
              <w:t> 1- TDT curves for each species. The x-axis is temperature and the y-axis is the log10 of the time to coma.</w:t>
            </w:r>
          </w:p>
        </w:tc>
        <w:bookmarkEnd w:id="2"/>
      </w:tr>
    </w:tbl>
    <w:p w14:paraId="5E904107" w14:textId="77777777" w:rsidR="008229CB" w:rsidRDefault="00000000">
      <w:pPr>
        <w:pStyle w:val="TableCaption"/>
        <w:jc w:val="center"/>
      </w:pPr>
      <w:r>
        <w:rPr>
          <w:b/>
        </w:rPr>
        <w:t xml:space="preserve">Table </w:t>
      </w:r>
      <w:bookmarkStart w:id="3" w:name="tbl-1"/>
      <w:r>
        <w:rPr>
          <w:b/>
        </w:rPr>
        <w:fldChar w:fldCharType="begin"/>
      </w:r>
      <w:r>
        <w:rPr>
          <w:b/>
        </w:rPr>
        <w:instrText>SEQ tab \* Arabic</w:instrText>
      </w:r>
      <w:r w:rsidR="002D4D33">
        <w:rPr>
          <w:b/>
        </w:rPr>
        <w:fldChar w:fldCharType="separate"/>
      </w:r>
      <w:r w:rsidR="002D4D33">
        <w:rPr>
          <w:b/>
          <w:noProof/>
        </w:rPr>
        <w:t>1</w:t>
      </w:r>
      <w:r>
        <w:rPr>
          <w:b/>
        </w:rPr>
        <w:fldChar w:fldCharType="end"/>
      </w:r>
      <w:bookmarkEnd w:id="3"/>
      <w:r>
        <w:rPr>
          <w:b/>
        </w:rPr>
        <w:t xml:space="preserve">: </w:t>
      </w:r>
      <w:r>
        <w:t>Estimated parameters for each of the 8 new species.</w:t>
      </w:r>
    </w:p>
    <w:tbl>
      <w:tblPr>
        <w:tblW w:w="0" w:type="auto"/>
        <w:jc w:val="center"/>
        <w:tblLayout w:type="fixed"/>
        <w:tblLook w:val="0420" w:firstRow="1" w:lastRow="0" w:firstColumn="0" w:lastColumn="0" w:noHBand="0" w:noVBand="1"/>
      </w:tblPr>
      <w:tblGrid>
        <w:gridCol w:w="1095"/>
        <w:gridCol w:w="924"/>
        <w:gridCol w:w="1144"/>
      </w:tblGrid>
      <w:tr w:rsidR="008229CB" w14:paraId="4E943751" w14:textId="77777777">
        <w:trPr>
          <w:tblHeader/>
          <w:jc w:val="center"/>
        </w:trPr>
        <w:tc>
          <w:tcPr>
            <w:tcW w:w="10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B991C"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Species</w:t>
            </w:r>
          </w:p>
        </w:tc>
        <w:tc>
          <w:tcPr>
            <w:tcW w:w="9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DB2C5"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Slope</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0031D"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CTMax</w:t>
            </w:r>
          </w:p>
        </w:tc>
      </w:tr>
      <w:tr w:rsidR="008229CB" w14:paraId="0F7F1626" w14:textId="77777777">
        <w:trPr>
          <w:jc w:val="center"/>
        </w:trPr>
        <w:tc>
          <w:tcPr>
            <w:tcW w:w="10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AF8B7"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bip</w:t>
            </w:r>
          </w:p>
        </w:tc>
        <w:tc>
          <w:tcPr>
            <w:tcW w:w="9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45999"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299C"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229CB" w14:paraId="2A219486"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1666E"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bir</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4D66"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07CF"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229CB" w14:paraId="625B897C"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AA20"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hydei</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A787A"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948B"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229CB" w14:paraId="3DE6F5AC"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56F3"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kik</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A09D"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87615"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8229CB" w14:paraId="1B72C243"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B8CA4"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ps</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F6285"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35439"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229CB" w14:paraId="01269771"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3369F"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rub</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20AA"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0EB8"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r w:rsidR="008229CB" w14:paraId="527A3DFE"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C816C"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sim</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DEEFD"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654A5"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8229CB" w14:paraId="6A4C8F5E" w14:textId="77777777">
        <w:trPr>
          <w:jc w:val="center"/>
        </w:trPr>
        <w:tc>
          <w:tcPr>
            <w:tcW w:w="10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92373"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sulf</w:t>
            </w:r>
          </w:p>
        </w:tc>
        <w:tc>
          <w:tcPr>
            <w:tcW w:w="9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C1B504"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A23CF" w14:textId="77777777" w:rsidR="008229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bl>
    <w:p w14:paraId="1624FAD1" w14:textId="77777777" w:rsidR="008229CB" w:rsidRDefault="00000000">
      <w:pPr>
        <w:pStyle w:val="Heading2"/>
      </w:pPr>
      <w:bookmarkStart w:id="4" w:name="Xdbfbbfa7738c7bf3335b3312982b083a0add70a"/>
      <w:bookmarkEnd w:id="0"/>
      <w:r>
        <w:lastRenderedPageBreak/>
        <w:t>Applying Multivariate Modelling Approaches</w:t>
      </w:r>
    </w:p>
    <w:tbl>
      <w:tblPr>
        <w:tblStyle w:val="Table"/>
        <w:tblW w:w="5000" w:type="pct"/>
        <w:tblLook w:val="0000" w:firstRow="0" w:lastRow="0" w:firstColumn="0" w:lastColumn="0" w:noHBand="0" w:noVBand="0"/>
      </w:tblPr>
      <w:tblGrid>
        <w:gridCol w:w="10538"/>
      </w:tblGrid>
      <w:tr w:rsidR="008229CB" w14:paraId="218DF306" w14:textId="77777777">
        <w:tc>
          <w:tcPr>
            <w:tcW w:w="0" w:type="auto"/>
          </w:tcPr>
          <w:p w14:paraId="23B6EC75" w14:textId="77777777" w:rsidR="008229CB" w:rsidRDefault="00000000">
            <w:pPr>
              <w:pStyle w:val="Figure"/>
              <w:jc w:val="center"/>
            </w:pPr>
            <w:bookmarkStart w:id="5" w:name="fig-tree"/>
            <w:r>
              <w:rPr>
                <w:noProof/>
              </w:rPr>
              <w:drawing>
                <wp:inline distT="0" distB="0" distL="0" distR="0" wp14:anchorId="516478FE" wp14:editId="16828E7A">
                  <wp:extent cx="6680200" cy="26720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s_files/figure-docx/fig-tree-1.png"/>
                          <pic:cNvPicPr>
                            <a:picLocks noChangeAspect="1" noChangeArrowheads="1"/>
                          </pic:cNvPicPr>
                        </pic:nvPicPr>
                        <pic:blipFill>
                          <a:blip r:embed="rId12"/>
                          <a:stretch>
                            <a:fillRect/>
                          </a:stretch>
                        </pic:blipFill>
                        <pic:spPr bwMode="auto">
                          <a:xfrm>
                            <a:off x="0" y="0"/>
                            <a:ext cx="6680200" cy="2672080"/>
                          </a:xfrm>
                          <a:prstGeom prst="rect">
                            <a:avLst/>
                          </a:prstGeom>
                          <a:noFill/>
                          <a:ln w="9525">
                            <a:noFill/>
                            <a:headEnd/>
                            <a:tailEnd/>
                          </a:ln>
                        </pic:spPr>
                      </pic:pic>
                    </a:graphicData>
                  </a:graphic>
                </wp:inline>
              </w:drawing>
            </w:r>
          </w:p>
          <w:p w14:paraId="3B9A17C0" w14:textId="77777777" w:rsidR="008229CB" w:rsidRDefault="00000000">
            <w:pPr>
              <w:pStyle w:val="ImageCaption"/>
              <w:spacing w:before="200"/>
            </w:pPr>
            <w:r>
              <w:rPr>
                <w:b/>
                <w:bCs/>
              </w:rPr>
              <w:t>Figure</w:t>
            </w:r>
            <w:r>
              <w:t xml:space="preserve"> 2- Phylogenetic relationships among </w:t>
            </w:r>
            <w:r>
              <w:rPr>
                <w:rStyle w:val="VerbatimChar"/>
              </w:rPr>
              <w:t>r length</w:t>
            </w:r>
            <w:commentRangeStart w:id="6"/>
            <w:r>
              <w:rPr>
                <w:rStyle w:val="VerbatimChar"/>
              </w:rPr>
              <w:t>(tree$tip.label)</w:t>
            </w:r>
            <w:r>
              <w:t xml:space="preserve"> </w:t>
            </w:r>
            <w:r>
              <w:rPr>
                <w:i/>
                <w:iCs/>
              </w:rPr>
              <w:t>Drosophila</w:t>
            </w:r>
            <w:r>
              <w:t xml:space="preserve"> </w:t>
            </w:r>
            <w:commentRangeEnd w:id="6"/>
            <w:r w:rsidR="00827D4A">
              <w:rPr>
                <w:rStyle w:val="CommentReference"/>
                <w:rFonts w:asciiTheme="minorHAnsi" w:hAnsiTheme="minorHAnsi"/>
              </w:rPr>
              <w:commentReference w:id="6"/>
            </w:r>
            <w:r>
              <w:t>species.</w:t>
            </w:r>
          </w:p>
        </w:tc>
        <w:bookmarkEnd w:id="5"/>
      </w:tr>
    </w:tbl>
    <w:p w14:paraId="5DB0F196" w14:textId="77777777" w:rsidR="008229CB" w:rsidRDefault="00000000">
      <w:pPr>
        <w:pStyle w:val="BodyText"/>
      </w:pPr>
      <w:r>
        <w:rPr>
          <w:noProof/>
        </w:rPr>
        <w:drawing>
          <wp:inline distT="0" distB="0" distL="0" distR="0" wp14:anchorId="29A0AEDF" wp14:editId="14615E9B">
            <wp:extent cx="6680200" cy="26720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s_files/figure-docx/posteriorsz-1.png"/>
                    <pic:cNvPicPr>
                      <a:picLocks noChangeAspect="1" noChangeArrowheads="1"/>
                    </pic:cNvPicPr>
                  </pic:nvPicPr>
                  <pic:blipFill>
                    <a:blip r:embed="rId13"/>
                    <a:stretch>
                      <a:fillRect/>
                    </a:stretch>
                  </pic:blipFill>
                  <pic:spPr bwMode="auto">
                    <a:xfrm>
                      <a:off x="0" y="0"/>
                      <a:ext cx="6680200" cy="2672080"/>
                    </a:xfrm>
                    <a:prstGeom prst="rect">
                      <a:avLst/>
                    </a:prstGeom>
                    <a:noFill/>
                    <a:ln w="9525">
                      <a:noFill/>
                      <a:headEnd/>
                      <a:tailEnd/>
                    </a:ln>
                  </pic:spPr>
                </pic:pic>
              </a:graphicData>
            </a:graphic>
          </wp:inline>
        </w:drawing>
      </w:r>
    </w:p>
    <w:p w14:paraId="68310179" w14:textId="77777777" w:rsidR="008229CB" w:rsidRDefault="00000000">
      <w:pPr>
        <w:pStyle w:val="Heading2"/>
      </w:pPr>
      <w:bookmarkStart w:id="7" w:name="X20ba8ca82a1fada37156c4b0733ea1251b8cbc6"/>
      <w:bookmarkEnd w:id="4"/>
      <w:r>
        <w:t>Box 1 – </w:t>
      </w:r>
      <w:commentRangeStart w:id="8"/>
      <w:r>
        <w:t>Thermal Death Time framework case studies</w:t>
      </w:r>
    </w:p>
    <w:p w14:paraId="3B127412" w14:textId="77777777" w:rsidR="008229CB" w:rsidRDefault="00000000">
      <w:pPr>
        <w:pStyle w:val="FirstParagraph"/>
      </w:pPr>
      <w:r>
        <w:t xml:space="preserve">Parameters from Thermal Death Time (TDT) curves provide a powerful </w:t>
      </w:r>
      <w:commentRangeEnd w:id="8"/>
      <w:r w:rsidR="00222F72">
        <w:rPr>
          <w:rStyle w:val="CommentReference"/>
          <w:rFonts w:asciiTheme="minorHAnsi" w:hAnsiTheme="minorHAnsi"/>
        </w:rPr>
        <w:commentReference w:id="8"/>
      </w:r>
      <w:r>
        <w:t xml:space="preserve">tool for understanding the thermal sensitivity of organisms. Comparative approaches using such data can provide a way for us to evaluate differences in population and species sensitivity, and identify the key ecological and life-history traits that increase vulnerability to heat stress. Nonetheless, while static measures of thermal tolerance (e.g.,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are widespread, parameters from TDT curves are much less frequently estimated. In addition, we have a poor understanding of how dynamic (TDT) and static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lethal measures correlate with each other and with sub-lethal measures of damage, such as critical fertility limits (CFLs). Identifying the correlation between lethal and sub-lethal limits can provide powerful ways to further clarify species vulnerability to heat stress that might lead to population extinction well before mortality is identified.</w:t>
      </w:r>
    </w:p>
    <w:p w14:paraId="4DFBACB5" w14:textId="77777777" w:rsidR="008229CB" w:rsidRDefault="00000000">
      <w:pPr>
        <w:pStyle w:val="BodyText"/>
      </w:pPr>
      <w:r>
        <w:t xml:space="preserve">A number of significant challenges imped are ability to take the TDT and sub-lethal frameworks into a comparative context. First, ethical, conservation, and logistical challenges limit our ability to measure and estimate key parameters for many species, creating significant gaps in our knowledge across the tree of life. </w:t>
      </w:r>
      <w:r>
        <w:lastRenderedPageBreak/>
        <w:t>Second, while there has been a focus on species-level responses, population-level information is seldom incoperated into comparative frameworks limiting our ability to decompose sources of variance</w:t>
      </w:r>
      <w:r>
        <w:rPr>
          <w:vertAlign w:val="superscript"/>
        </w:rPr>
        <w:t>1</w:t>
      </w:r>
      <w:r>
        <w:t>.</w:t>
      </w:r>
    </w:p>
    <w:p w14:paraId="4B1D713F" w14:textId="77777777" w:rsidR="008229CB" w:rsidRDefault="00000000">
      <w:pPr>
        <w:pStyle w:val="BodyText"/>
      </w:pPr>
      <w:r>
        <w:t>Powerful multivariate hierachical models (i.e., multi-response models) are capable of dealing with missing data, and provide a means by which multiple physiological thermal tolerance measures can be modelled simultaneously</w:t>
      </w:r>
      <w:r>
        <w:rPr>
          <w:vertAlign w:val="superscript"/>
        </w:rPr>
        <w:t>1,2</w:t>
      </w:r>
      <w:r>
        <w:t>.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 Such insight can be used to inform policy and conservation-related decision making for species with little to no data.</w:t>
      </w:r>
    </w:p>
    <w:p w14:paraId="438E6164" w14:textId="77777777" w:rsidR="008229CB" w:rsidRDefault="00000000">
      <w:pPr>
        <w:pStyle w:val="Heading4"/>
      </w:pPr>
      <w:bookmarkStart w:id="9" w:name="X272049abab99ea014d051f4dafb48a33899d5c6"/>
      <w:r>
        <w:t xml:space="preserve">Application of Multivariate Comparative Approaches using Thermal Tolerance Measures: A case study using </w:t>
      </w:r>
      <w:r>
        <w:rPr>
          <w:i/>
          <w:iCs/>
        </w:rPr>
        <w:t>Drosophilids</w:t>
      </w:r>
    </w:p>
    <w:p w14:paraId="483B1B8F" w14:textId="77777777" w:rsidR="008229CB" w:rsidRDefault="00000000">
      <w:pPr>
        <w:pStyle w:val="FirstParagraph"/>
      </w:pPr>
      <w:commentRangeStart w:id="10"/>
      <w:r>
        <w:t>We integrated static lethal limits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collected by</w:t>
      </w:r>
      <w:r>
        <w:rPr>
          <w:vertAlign w:val="superscript"/>
        </w:rPr>
        <w:t>3</w:t>
      </w:r>
      <w:r>
        <w:t xml:space="preserve"> and XX with dynamic lethal limit measures from TDT curces [i.e., slope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and intercept (</w:t>
      </w:r>
      <m:oMath>
        <m:r>
          <w:rPr>
            <w:rFonts w:ascii="Cambria Math" w:hAnsi="Cambria Math"/>
          </w:rPr>
          <m:t>C</m:t>
        </m:r>
        <m:sSubSup>
          <m:sSubSupPr>
            <m:ctrlPr>
              <w:rPr>
                <w:rFonts w:ascii="Cambria Math" w:hAnsi="Cambria Math"/>
              </w:rPr>
            </m:ctrlPr>
          </m:sSubSupPr>
          <m:e>
            <m:r>
              <w:rPr>
                <w:rFonts w:ascii="Cambria Math" w:hAnsi="Cambria Math"/>
              </w:rPr>
              <m:t>T</m:t>
            </m:r>
          </m:e>
          <m:sub>
            <m:r>
              <w:rPr>
                <w:rFonts w:ascii="Cambria Math" w:hAnsi="Cambria Math"/>
              </w:rPr>
              <m:t>max</m:t>
            </m:r>
          </m:sub>
          <m:sup>
            <m:r>
              <w:rPr>
                <w:rFonts w:ascii="Cambria Math" w:hAnsi="Cambria Math"/>
              </w:rPr>
              <m:t>TDT</m:t>
            </m:r>
          </m:sup>
        </m:sSubSup>
      </m:oMath>
      <w:r>
        <w:t>)] estimated by XX. We also collected data to estimate TDT curve parameters for eight additonal species following protocols outlined in</w:t>
      </w:r>
      <w:r>
        <w:rPr>
          <w:vertAlign w:val="superscript"/>
        </w:rPr>
        <w:t>4</w:t>
      </w:r>
      <w:r>
        <w:t xml:space="preserve">. Critical fertility limits for </w:t>
      </w:r>
      <w:r>
        <w:rPr>
          <w:i/>
          <w:iCs/>
        </w:rPr>
        <w:t>Drosophilids</w:t>
      </w:r>
      <w:r>
        <w:t xml:space="preserve"> were compiled from</w:t>
      </w:r>
      <w:r>
        <w:rPr>
          <w:vertAlign w:val="superscript"/>
        </w:rPr>
        <w:t>5</w:t>
      </w:r>
      <w:r>
        <w:t xml:space="preserve"> and</w:t>
      </w:r>
      <w:r>
        <w:rPr>
          <w:vertAlign w:val="superscript"/>
        </w:rPr>
        <w:t>3</w:t>
      </w:r>
      <w:r>
        <w:t xml:space="preserve">. </w:t>
      </w:r>
      <w:commentRangeEnd w:id="10"/>
      <w:r w:rsidR="002D4D33">
        <w:rPr>
          <w:rStyle w:val="CommentReference"/>
          <w:rFonts w:asciiTheme="minorHAnsi" w:hAnsiTheme="minorHAnsi"/>
        </w:rPr>
        <w:commentReference w:id="10"/>
      </w:r>
      <w:r>
        <w:t xml:space="preserve">These data were integrated with data on lethal limits at the species-level. Overall, we </w:t>
      </w:r>
      <w:commentRangeStart w:id="11"/>
      <w:r>
        <w:t>obtained data for 117 species (</w:t>
      </w:r>
      <m:oMath>
        <m:sSub>
          <m:sSubPr>
            <m:ctrlPr>
              <w:rPr>
                <w:rFonts w:ascii="Cambria Math" w:hAnsi="Cambria Math"/>
              </w:rPr>
            </m:ctrlPr>
          </m:sSubPr>
          <m:e>
            <m:r>
              <w:rPr>
                <w:rFonts w:ascii="Cambria Math" w:hAnsi="Cambria Math"/>
              </w:rPr>
              <m:t>N</m:t>
            </m:r>
          </m:e>
          <m:sub>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sub>
        </m:sSub>
        <w:commentRangeEnd w:id="11"/>
        <m:r>
          <m:rPr>
            <m:sty m:val="p"/>
          </m:rPr>
          <w:rPr>
            <w:rStyle w:val="CommentReference"/>
            <w:rFonts w:asciiTheme="minorHAnsi" w:hAnsiTheme="minorHAnsi"/>
          </w:rPr>
          <w:commentReference w:id="11"/>
        </m:r>
      </m:oMath>
      <w:r>
        <w:t xml:space="preserve"> = 117 species; </w:t>
      </w:r>
      <m:oMath>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z</m:t>
                </m:r>
              </m:e>
              <m:sup>
                <m:r>
                  <w:rPr>
                    <w:rFonts w:ascii="Cambria Math" w:hAnsi="Cambria Math"/>
                  </w:rPr>
                  <m:t>TDT</m:t>
                </m:r>
              </m:sup>
            </m:sSup>
          </m:sub>
        </m:sSub>
      </m:oMath>
      <w:r>
        <w:t xml:space="preserve"> = 51 species and </w:t>
      </w:r>
      <m:oMath>
        <m:sSub>
          <m:sSubPr>
            <m:ctrlPr>
              <w:rPr>
                <w:rFonts w:ascii="Cambria Math" w:hAnsi="Cambria Math"/>
              </w:rPr>
            </m:ctrlPr>
          </m:sSubPr>
          <m:e>
            <m:r>
              <w:rPr>
                <w:rFonts w:ascii="Cambria Math" w:hAnsi="Cambria Math"/>
              </w:rPr>
              <m:t>N</m:t>
            </m:r>
          </m:e>
          <m:sub>
            <m:r>
              <w:rPr>
                <w:rFonts w:ascii="Cambria Math" w:hAnsi="Cambria Math"/>
              </w:rPr>
              <m:t>CFLs</m:t>
            </m:r>
          </m:sub>
        </m:sSub>
      </m:oMath>
      <w:r>
        <w:t xml:space="preserve"> = 51 species). When the same species were sampled multiple times we retained within species variation in models. We then fit the following model in R (vers. 4.2.1)</w:t>
      </w:r>
      <w:r>
        <w:rPr>
          <w:vertAlign w:val="superscript"/>
        </w:rPr>
        <w:t>6</w:t>
      </w:r>
      <w:r>
        <w:t xml:space="preserve"> with the package </w:t>
      </w:r>
      <w:r>
        <w:rPr>
          <w:i/>
          <w:iCs/>
        </w:rPr>
        <w:t>MCMCglmm</w:t>
      </w:r>
      <w:r>
        <w:t xml:space="preserve"> (vers. 2.34), which uses data augmentation during model fittng to estimate missing data</w:t>
      </w:r>
      <w:r>
        <w:rPr>
          <w:vertAlign w:val="superscript"/>
        </w:rPr>
        <w:t>7</w:t>
      </w:r>
      <w:r>
        <w:t>:</w:t>
      </w:r>
    </w:p>
    <w:p w14:paraId="1E9D1BD0" w14:textId="77777777" w:rsidR="008229CB"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e>
                </m:mr>
                <m:mr>
                  <m:e>
                    <m:sSup>
                      <m:sSupPr>
                        <m:ctrlPr>
                          <w:rPr>
                            <w:rFonts w:ascii="Cambria Math" w:hAnsi="Cambria Math"/>
                          </w:rPr>
                        </m:ctrlPr>
                      </m:sSupPr>
                      <m:e>
                        <m:r>
                          <w:rPr>
                            <w:rFonts w:ascii="Cambria Math" w:hAnsi="Cambria Math"/>
                          </w:rPr>
                          <m:t>z</m:t>
                        </m:r>
                      </m:e>
                      <m:sup>
                        <m:r>
                          <w:rPr>
                            <w:rFonts w:ascii="Cambria Math" w:hAnsi="Cambria Math"/>
                          </w:rPr>
                          <m:t>TDT</m:t>
                        </m:r>
                      </m:sup>
                    </m:sSup>
                  </m:e>
                </m:mr>
                <m:mr>
                  <m:e>
                    <m:r>
                      <w:rPr>
                        <w:rFonts w:ascii="Cambria Math" w:hAnsi="Cambria Math"/>
                      </w:rPr>
                      <m:t>CFLs</m:t>
                    </m:r>
                  </m:e>
                </m:mr>
              </m:m>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k</m:t>
              </m:r>
            </m:sub>
          </m:sSub>
        </m:oMath>
      </m:oMathPara>
    </w:p>
    <w:p w14:paraId="0C40AC65" w14:textId="77777777" w:rsidR="008229CB"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nor/>
                      </m:rPr>
                      <m:t>A</m:t>
                    </m:r>
                  </m:e>
                </m:d>
              </m:e>
            </m:mr>
            <m:mr>
              <m:e/>
              <m:e>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m:t>
                        </m:r>
                      </m:sub>
                      <m:sup>
                        <m:r>
                          <w:rPr>
                            <w:rFonts w:ascii="Cambria Math" w:hAnsi="Cambria Math"/>
                          </w:rPr>
                          <m:t>2</m:t>
                        </m:r>
                      </m:sup>
                    </m:sSubSup>
                    <m:r>
                      <m:rPr>
                        <m:nor/>
                      </m:rPr>
                      <m:t>I</m:t>
                    </m:r>
                  </m:e>
                </m:d>
              </m:e>
            </m:mr>
            <m:mr>
              <m:e/>
              <m:e>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nor/>
                      </m:rPr>
                      <m:t>I</m:t>
                    </m:r>
                  </m:e>
                </m:d>
              </m:e>
            </m:mr>
          </m:m>
        </m:oMath>
      </m:oMathPara>
    </w:p>
    <w:p w14:paraId="28224A27" w14:textId="77777777" w:rsidR="008229CB" w:rsidRDefault="00000000">
      <w:pPr>
        <w:pStyle w:val="FirstParagraph"/>
      </w:pPr>
      <w:commentRangeStart w:id="12"/>
      <w:r>
        <w:t xml:space="preserve">where </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k</m:t>
            </m:r>
          </m:sub>
        </m:sSub>
      </m:oMath>
      <w:r>
        <w:t xml:space="preserve"> is the overall mean (intercept) for each trait for each observation, </w:t>
      </w:r>
      <w:r>
        <w:rPr>
          <w:i/>
          <w:iCs/>
        </w:rPr>
        <w:t>i</w:t>
      </w:r>
      <w:r>
        <w:t xml:space="preserve">, for species, </w:t>
      </w:r>
      <w:r>
        <w:rPr>
          <w:i/>
          <w:iCs/>
        </w:rPr>
        <w:t>k</w:t>
      </w:r>
      <w: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are phylogenetic (evolutionary) and species effects (i.e., ecological species </w:t>
      </w:r>
      <w:commentRangeEnd w:id="12"/>
      <w:r w:rsidR="00222F72">
        <w:rPr>
          <w:rStyle w:val="CommentReference"/>
          <w:rFonts w:asciiTheme="minorHAnsi" w:hAnsiTheme="minorHAnsi"/>
        </w:rPr>
        <w:commentReference w:id="12"/>
      </w:r>
      <w:r>
        <w:t>effects) (assumed to be sampled from a normal distribution) with the evolutionary relatedness being structured according to the phylogenetic relatedness matrix (</w:t>
      </w:r>
      <m:oMath>
        <m:r>
          <m:rPr>
            <m:nor/>
          </m:rPr>
          <m:t>A</m:t>
        </m:r>
      </m:oMath>
      <w:r>
        <w:t>) as opposed to an identity matrix (</w:t>
      </w:r>
      <m:oMath>
        <m:r>
          <m:rPr>
            <m:nor/>
          </m:rPr>
          <m:t>I</m:t>
        </m:r>
      </m:oMath>
      <w:r>
        <w:t>). Heat tolerance measures are modelled according to a multivariate normal distribution. Covariances between thermal tolerance measures at each random effect level are also estimated.</w:t>
      </w:r>
    </w:p>
    <w:p w14:paraId="46837B21" w14:textId="77777777" w:rsidR="008229CB" w:rsidRDefault="00000000">
      <w:pPr>
        <w:pStyle w:val="Heading5"/>
      </w:pPr>
      <w:bookmarkStart w:id="13" w:name="X99e8cab5fbfa3798d4b66febf47973c2c2f5962"/>
      <w:r>
        <w:t>Evolutionary signatures of thermal tolerance in Drosophilids</w:t>
      </w:r>
    </w:p>
    <w:p w14:paraId="3D178D56" w14:textId="77777777" w:rsidR="008229CB" w:rsidRDefault="00000000">
      <w:pPr>
        <w:pStyle w:val="FirstParagraph"/>
      </w:pPr>
      <w:r>
        <w:t>Models including phylogeny were better supported than models without phylogeny (</w:t>
      </w:r>
      <m:oMath>
        <m:r>
          <w:rPr>
            <w:rFonts w:ascii="Cambria Math" w:hAnsi="Cambria Math"/>
          </w:rPr>
          <m:t>ΔDIC</m:t>
        </m:r>
      </m:oMath>
      <w:r>
        <w:t xml:space="preserve"> = 17.94), with all traits exhibiting a moderate to strong phylogenetic signal indicating evolutionary conservatism in heat tolerance (Phylogenetic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0.25, 95% CI: 0.08 to 0.49;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0.51, 95% CI: 0.23 to 0.76; CFLs – 0.53, 95% CI: 0.12 to 0.76). While the model also suggested that there was within species variation, missing data and lack of replicate species populations make conclusions premature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0.09, 95% CI: 0.03 to 0.28;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0.37, 95% CI: 0.15 to 0.67; CFLs – 0.04, 95% CI: 0.01 to 0.34).</w:t>
      </w:r>
    </w:p>
    <w:p w14:paraId="4B95E8BE" w14:textId="77777777" w:rsidR="008229CB" w:rsidRDefault="00000000">
      <w:pPr>
        <w:pStyle w:val="Heading5"/>
      </w:pPr>
      <w:bookmarkStart w:id="14" w:name="Xe4f241a954b7b6033911699e320dfb770ab002c"/>
      <w:bookmarkEnd w:id="13"/>
      <w:r>
        <w:t>Evolutionary relationships can help understand thermal tolerance in species lacking data</w:t>
      </w:r>
    </w:p>
    <w:p w14:paraId="510EAC52" w14:textId="77777777" w:rsidR="008229CB" w:rsidRDefault="00000000">
      <w:pPr>
        <w:pStyle w:val="FirstParagraph"/>
      </w:pPr>
      <w:r>
        <w:t xml:space="preserve">The model predicted known data reasonably well for most traits (correlation between known values and values estimated from the model: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0.94, 95% CI: 0.86 to 0.98, p &lt; 0.001;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0.69, 95% CI: 0.58 to 0.78, p &lt; 0.001; CFLs – 0.91, 95% CI: 0.85 to 0.95, p &lt; 0.001), suggesting that even this basic model could be used to provide sensible quantitative measures for </w:t>
      </w:r>
      <w:r>
        <w:rPr>
          <w:i/>
          <w:iCs/>
        </w:rPr>
        <w:t>Drosophila</w:t>
      </w:r>
      <w:r>
        <w:t xml:space="preserve"> species without heat tolerance </w:t>
      </w:r>
      <w:r>
        <w:lastRenderedPageBreak/>
        <w:t>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p w14:paraId="3AF5A3D3" w14:textId="77777777" w:rsidR="008229CB" w:rsidRDefault="00000000">
      <w:pPr>
        <w:pStyle w:val="Heading5"/>
      </w:pPr>
      <w:bookmarkStart w:id="15" w:name="X67909a612b9d9ba84ce4fe595913dbc177f26e2"/>
      <w:bookmarkEnd w:id="14"/>
      <w:r>
        <w:t>Static lethal limits are evolutionarily correlated with sub-lethal limits in Drosophilids</w:t>
      </w:r>
    </w:p>
    <w:p w14:paraId="7C9AADEA" w14:textId="77777777" w:rsidR="008229CB" w:rsidRDefault="00000000">
      <w:pPr>
        <w:pStyle w:val="FirstParagraph"/>
      </w:pPr>
      <w:r>
        <w:t xml:space="preserve">Interestingly, there was a reasonably strong phylogenetic correlation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critical fertility limits in </w:t>
      </w:r>
      <w:r>
        <w:rPr>
          <w:i/>
          <w:iCs/>
        </w:rPr>
        <w:t>Drosophilids</w:t>
      </w:r>
      <w:r>
        <w:t xml:space="preserve"> (r = 0.75, 95% CI: 0.04 to 0.94), but not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CFLs and the slope from TDT curves (cor(</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-0.07, 95% CI: -0.7 to 0.57; cor(CFLs,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 -0.06, 95% CI: -0.71 to 0.58). These results suggest that sub-lethal measures, such as CFLs strongly coincide with a species’ upper lethal limit. It would be interesting to understand if this is a general phenomena across more taxonomic groups.</w:t>
      </w:r>
    </w:p>
    <w:tbl>
      <w:tblPr>
        <w:tblStyle w:val="Table"/>
        <w:tblW w:w="5000" w:type="pct"/>
        <w:tblLook w:val="0000" w:firstRow="0" w:lastRow="0" w:firstColumn="0" w:lastColumn="0" w:noHBand="0" w:noVBand="0"/>
      </w:tblPr>
      <w:tblGrid>
        <w:gridCol w:w="10538"/>
      </w:tblGrid>
      <w:tr w:rsidR="008229CB" w14:paraId="65E764AC" w14:textId="77777777">
        <w:tc>
          <w:tcPr>
            <w:tcW w:w="0" w:type="auto"/>
          </w:tcPr>
          <w:p w14:paraId="550EE929" w14:textId="5656A6B3" w:rsidR="008229CB" w:rsidRDefault="00C65FDA">
            <w:pPr>
              <w:pStyle w:val="Figure"/>
              <w:jc w:val="center"/>
            </w:pPr>
            <w:bookmarkStart w:id="16" w:name="fig-treesub"/>
            <w:r>
              <w:rPr>
                <w:noProof/>
              </w:rPr>
              <w:lastRenderedPageBreak/>
              <w:drawing>
                <wp:inline distT="0" distB="0" distL="0" distR="0" wp14:anchorId="5545F851" wp14:editId="695FEB1D">
                  <wp:extent cx="6691630" cy="8424545"/>
                  <wp:effectExtent l="0" t="0" r="0" b="0"/>
                  <wp:docPr id="164418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3800" name="Picture 1644183800"/>
                          <pic:cNvPicPr/>
                        </pic:nvPicPr>
                        <pic:blipFill>
                          <a:blip r:embed="rId14">
                            <a:extLst>
                              <a:ext uri="{28A0092B-C50C-407E-A947-70E740481C1C}">
                                <a14:useLocalDpi xmlns:a14="http://schemas.microsoft.com/office/drawing/2010/main" val="0"/>
                              </a:ext>
                            </a:extLst>
                          </a:blip>
                          <a:stretch>
                            <a:fillRect/>
                          </a:stretch>
                        </pic:blipFill>
                        <pic:spPr>
                          <a:xfrm>
                            <a:off x="0" y="0"/>
                            <a:ext cx="6691630" cy="8424545"/>
                          </a:xfrm>
                          <a:prstGeom prst="rect">
                            <a:avLst/>
                          </a:prstGeom>
                        </pic:spPr>
                      </pic:pic>
                    </a:graphicData>
                  </a:graphic>
                </wp:inline>
              </w:drawing>
            </w:r>
          </w:p>
          <w:p w14:paraId="3813AD2D" w14:textId="77777777" w:rsidR="008229CB" w:rsidRDefault="00000000">
            <w:pPr>
              <w:pStyle w:val="ImageCaption"/>
              <w:spacing w:before="200"/>
            </w:pPr>
            <w:r>
              <w:rPr>
                <w:b/>
                <w:bCs/>
              </w:rPr>
              <w:t>Figure</w:t>
            </w:r>
            <w:r>
              <w:t xml:space="preserve"> 3- Species included in the </w:t>
            </w:r>
            <w:commentRangeStart w:id="17"/>
            <w:r>
              <w:t>dataset and their phylogenetic relationships</w:t>
            </w:r>
            <w:commentRangeEnd w:id="17"/>
            <w:r w:rsidR="00C65FDA">
              <w:rPr>
                <w:rStyle w:val="CommentReference"/>
                <w:rFonts w:asciiTheme="minorHAnsi" w:hAnsiTheme="minorHAnsi"/>
              </w:rPr>
              <w:commentReference w:id="17"/>
            </w:r>
            <w:r>
              <w:t>.</w:t>
            </w:r>
          </w:p>
        </w:tc>
        <w:bookmarkEnd w:id="16"/>
      </w:tr>
    </w:tbl>
    <w:p w14:paraId="790E05B4" w14:textId="77777777" w:rsidR="008229CB" w:rsidRDefault="00000000">
      <w:pPr>
        <w:pStyle w:val="Heading2"/>
      </w:pPr>
      <w:bookmarkStart w:id="18" w:name="references"/>
      <w:bookmarkEnd w:id="7"/>
      <w:bookmarkEnd w:id="9"/>
      <w:bookmarkEnd w:id="15"/>
      <w:r>
        <w:lastRenderedPageBreak/>
        <w:t>References</w:t>
      </w:r>
    </w:p>
    <w:p w14:paraId="29FDC7D3" w14:textId="77777777" w:rsidR="008229CB" w:rsidRDefault="00000000">
      <w:pPr>
        <w:pStyle w:val="Bibliography"/>
      </w:pPr>
      <w:bookmarkStart w:id="19" w:name="ref-Pottier2023"/>
      <w:bookmarkStart w:id="20" w:name="refs"/>
      <w:r>
        <w:t xml:space="preserve">1. </w:t>
      </w:r>
      <w:r>
        <w:tab/>
        <w:t xml:space="preserve">Pottier, P. </w:t>
      </w:r>
      <w:r>
        <w:rPr>
          <w:i/>
          <w:iCs/>
        </w:rPr>
        <w:t>et al.</w:t>
      </w:r>
      <w:r>
        <w:t xml:space="preserve"> New horizons for comparative studies and meta-analyses. </w:t>
      </w:r>
      <w:r>
        <w:rPr>
          <w:i/>
          <w:iCs/>
        </w:rPr>
        <w:t>EcoEvoRxiv</w:t>
      </w:r>
      <w:r>
        <w:t xml:space="preserve"> (2023).</w:t>
      </w:r>
    </w:p>
    <w:p w14:paraId="07E79FD4" w14:textId="77777777" w:rsidR="008229CB" w:rsidRDefault="00000000">
      <w:pPr>
        <w:pStyle w:val="Bibliography"/>
      </w:pPr>
      <w:bookmarkStart w:id="21" w:name="ref-Noble2021"/>
      <w:bookmarkEnd w:id="19"/>
      <w:r>
        <w:t xml:space="preserve">2. </w:t>
      </w:r>
      <w:r>
        <w:tab/>
        <w:t xml:space="preserve">Noble, D. W. A. &amp; Nakagawa, S. Planned missing data designs and methods: Options for strengthening inference, increasing research efficiency and improving animal welfare in ecological and evolutionary research. </w:t>
      </w:r>
      <w:r>
        <w:rPr>
          <w:i/>
          <w:iCs/>
        </w:rPr>
        <w:t>Evolutionary Applications</w:t>
      </w:r>
      <w:r>
        <w:t xml:space="preserve"> </w:t>
      </w:r>
      <w:r>
        <w:rPr>
          <w:b/>
          <w:bCs/>
        </w:rPr>
        <w:t>14</w:t>
      </w:r>
      <w:r>
        <w:t>, 1958–1968 (2021).</w:t>
      </w:r>
    </w:p>
    <w:p w14:paraId="5BEB4801" w14:textId="77777777" w:rsidR="008229CB" w:rsidRDefault="00000000">
      <w:pPr>
        <w:pStyle w:val="Bibliography"/>
      </w:pPr>
      <w:bookmarkStart w:id="22" w:name="ref-Heerwaarden2021"/>
      <w:bookmarkEnd w:id="21"/>
      <w:r>
        <w:t xml:space="preserve">3. </w:t>
      </w:r>
      <w:r>
        <w:tab/>
        <w:t xml:space="preserve">Heerwaarden, B. V. &amp; Sgrò, C. M. Male fertility thermal limits predict vulnerability to climate warming. </w:t>
      </w:r>
      <w:r>
        <w:rPr>
          <w:i/>
          <w:iCs/>
        </w:rPr>
        <w:t>Nature Communications</w:t>
      </w:r>
      <w:r>
        <w:t xml:space="preserve"> </w:t>
      </w:r>
      <w:r>
        <w:rPr>
          <w:b/>
          <w:bCs/>
        </w:rPr>
        <w:t>12</w:t>
      </w:r>
      <w:r>
        <w:t>, 2214 (2021).</w:t>
      </w:r>
    </w:p>
    <w:p w14:paraId="6C362CD8" w14:textId="77777777" w:rsidR="008229CB" w:rsidRDefault="00000000">
      <w:pPr>
        <w:pStyle w:val="Bibliography"/>
      </w:pPr>
      <w:bookmarkStart w:id="23" w:name="ref-Orsted2022"/>
      <w:bookmarkEnd w:id="22"/>
      <w:r>
        <w:t xml:space="preserve">4. </w:t>
      </w:r>
      <w:r>
        <w:tab/>
        <w:t xml:space="preserve">Ørsted, M., Jørgensen, L. B. &amp; Overgaard, J. Finding the right thermal limit: A framework to reconcile ecological, physiological and methodological aspects of CTmax in ectotherms. </w:t>
      </w:r>
      <w:r>
        <w:rPr>
          <w:i/>
          <w:iCs/>
        </w:rPr>
        <w:t>Journal of Experimental Biology</w:t>
      </w:r>
      <w:r>
        <w:t xml:space="preserve"> </w:t>
      </w:r>
      <w:r>
        <w:rPr>
          <w:b/>
          <w:bCs/>
        </w:rPr>
        <w:t>225</w:t>
      </w:r>
      <w:r>
        <w:t>, jeb244514 (2022).</w:t>
      </w:r>
    </w:p>
    <w:p w14:paraId="75635C8B" w14:textId="77777777" w:rsidR="008229CB" w:rsidRDefault="00000000">
      <w:pPr>
        <w:pStyle w:val="Bibliography"/>
      </w:pPr>
      <w:bookmarkStart w:id="24" w:name="ref-Parratt2021"/>
      <w:bookmarkEnd w:id="23"/>
      <w:r>
        <w:t xml:space="preserve">5. </w:t>
      </w:r>
      <w:r>
        <w:tab/>
        <w:t xml:space="preserve">Parratt, S. R. </w:t>
      </w:r>
      <w:r>
        <w:rPr>
          <w:i/>
          <w:iCs/>
        </w:rPr>
        <w:t>et al.</w:t>
      </w:r>
      <w:r>
        <w:t xml:space="preserve"> Temperatures that sterilize males better match global species distributions than lethal temperatures. </w:t>
      </w:r>
      <w:r>
        <w:rPr>
          <w:i/>
          <w:iCs/>
        </w:rPr>
        <w:t>Nature Climate Change</w:t>
      </w:r>
      <w:r>
        <w:t xml:space="preserve"> </w:t>
      </w:r>
      <w:r>
        <w:rPr>
          <w:b/>
          <w:bCs/>
        </w:rPr>
        <w:t>11</w:t>
      </w:r>
      <w:r>
        <w:t>, 481–484 (2021).</w:t>
      </w:r>
    </w:p>
    <w:p w14:paraId="7FE226EB" w14:textId="77777777" w:rsidR="008229CB" w:rsidRDefault="00000000">
      <w:pPr>
        <w:pStyle w:val="Bibliography"/>
      </w:pPr>
      <w:bookmarkStart w:id="25" w:name="ref-R2023"/>
      <w:bookmarkEnd w:id="24"/>
      <w:r>
        <w:t xml:space="preserve">6. </w:t>
      </w:r>
      <w:r>
        <w:tab/>
        <w:t xml:space="preserve">R Core Team. </w:t>
      </w:r>
      <w:hyperlink r:id="rId15">
        <w:r>
          <w:rPr>
            <w:rStyle w:val="Hyperlink"/>
            <w:i/>
            <w:iCs/>
          </w:rPr>
          <w:t>R: A language and environment for statistical computing</w:t>
        </w:r>
      </w:hyperlink>
      <w:r>
        <w:t>. (R Foundation for Statistical Computing, 2023).</w:t>
      </w:r>
    </w:p>
    <w:p w14:paraId="21FC1144" w14:textId="77777777" w:rsidR="008229CB" w:rsidRDefault="00000000">
      <w:pPr>
        <w:pStyle w:val="Bibliography"/>
      </w:pPr>
      <w:bookmarkStart w:id="26" w:name="ref-Hadfield2010"/>
      <w:bookmarkEnd w:id="25"/>
      <w:r>
        <w:t xml:space="preserve">7. </w:t>
      </w:r>
      <w:r>
        <w:tab/>
        <w:t xml:space="preserve">Hadfield, J. D. </w:t>
      </w:r>
      <w:hyperlink r:id="rId16">
        <w:r>
          <w:rPr>
            <w:rStyle w:val="Hyperlink"/>
          </w:rPr>
          <w:t>MCMC methods for multi-response generalized linear mixed models: The MCMCglmm R package</w:t>
        </w:r>
      </w:hyperlink>
      <w:r>
        <w:t xml:space="preserve">. </w:t>
      </w:r>
      <w:r>
        <w:rPr>
          <w:i/>
          <w:iCs/>
        </w:rPr>
        <w:t>Journal of Statistical Software</w:t>
      </w:r>
      <w:r>
        <w:t xml:space="preserve"> </w:t>
      </w:r>
      <w:r>
        <w:rPr>
          <w:b/>
          <w:bCs/>
        </w:rPr>
        <w:t>33</w:t>
      </w:r>
      <w:r>
        <w:t>, 1–22 (2010).</w:t>
      </w:r>
      <w:bookmarkEnd w:id="18"/>
      <w:bookmarkEnd w:id="20"/>
      <w:bookmarkEnd w:id="26"/>
    </w:p>
    <w:sectPr w:rsidR="008229CB" w:rsidSect="00DF7D6E">
      <w:pgSz w:w="12240" w:h="15840"/>
      <w:pgMar w:top="851" w:right="851" w:bottom="851" w:left="85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Noble" w:date="2023-09-25T10:35:00Z" w:initials="DN">
    <w:p w14:paraId="434F84BD" w14:textId="1228E266" w:rsidR="00827D4A" w:rsidRDefault="00827D4A">
      <w:pPr>
        <w:pStyle w:val="CommentText"/>
      </w:pPr>
      <w:r>
        <w:rPr>
          <w:rStyle w:val="CommentReference"/>
        </w:rPr>
        <w:annotationRef/>
      </w:r>
      <w:r>
        <w:t xml:space="preserve">Here’s the analysis with your data. </w:t>
      </w:r>
    </w:p>
  </w:comment>
  <w:comment w:id="6" w:author="Daniel Noble" w:date="2023-09-25T10:36:00Z" w:initials="DN">
    <w:p w14:paraId="45821EC6" w14:textId="0F433580" w:rsidR="00827D4A" w:rsidRDefault="00827D4A">
      <w:pPr>
        <w:pStyle w:val="CommentText"/>
      </w:pPr>
      <w:r>
        <w:rPr>
          <w:rStyle w:val="CommentReference"/>
        </w:rPr>
        <w:annotationRef/>
      </w:r>
      <w:r>
        <w:t xml:space="preserve">Just ignore these bit s here..mainly just for me exploring </w:t>
      </w:r>
    </w:p>
  </w:comment>
  <w:comment w:id="8" w:author="Daniel Noble" w:date="2023-09-25T10:36:00Z" w:initials="DN">
    <w:p w14:paraId="5FCDEBDB" w14:textId="471E95E7" w:rsidR="00222F72" w:rsidRDefault="00222F72">
      <w:pPr>
        <w:pStyle w:val="CommentText"/>
      </w:pPr>
      <w:r>
        <w:rPr>
          <w:rStyle w:val="CommentReference"/>
        </w:rPr>
        <w:annotationRef/>
      </w:r>
      <w:r>
        <w:t xml:space="preserve">Chatted with Piet. This will be the main box. Also, the plant example is nowhere near what we are doing here so Piet said we’ll just make this a single box on its own. Hence why a little longer. I thought we would also spin this to sell the power of comparative approaches a bit more. </w:t>
      </w:r>
    </w:p>
  </w:comment>
  <w:comment w:id="10" w:author="Daniel Noble" w:date="2023-09-25T10:31:00Z" w:initials="DN">
    <w:p w14:paraId="41099BC0" w14:textId="77777777" w:rsidR="002D4D33" w:rsidRDefault="002D4D33">
      <w:pPr>
        <w:pStyle w:val="CommentText"/>
      </w:pPr>
      <w:r>
        <w:rPr>
          <w:rStyle w:val="CommentReference"/>
        </w:rPr>
        <w:annotationRef/>
      </w:r>
      <w:r>
        <w:t>Vanessa, I can’t recall where we got all the data from or how it got put together. Would you mind fixing this?</w:t>
      </w:r>
    </w:p>
    <w:p w14:paraId="72DBD3C7" w14:textId="77777777" w:rsidR="002D4D33" w:rsidRDefault="002D4D33">
      <w:pPr>
        <w:pStyle w:val="CommentText"/>
      </w:pPr>
    </w:p>
    <w:p w14:paraId="15AFFC29" w14:textId="6D786B63" w:rsidR="002D4D33" w:rsidRDefault="002D4D33">
      <w:pPr>
        <w:pStyle w:val="CommentText"/>
      </w:pPr>
      <w:r>
        <w:t xml:space="preserve">Also, I was realizing in writing this that we didn’t seem to get the intercepts from the TDT curves which would be “CTmax”. I thought it would be nice to get CTmax from TDT curves and see if they correlate with CTmax measurements. Thoughts? They should, and if anything, would probably be an underestimate of the ones from TDT. </w:t>
      </w:r>
    </w:p>
  </w:comment>
  <w:comment w:id="11" w:author="Daniel Noble" w:date="2023-09-25T10:34:00Z" w:initials="DN">
    <w:p w14:paraId="1FCBB544" w14:textId="7B303175" w:rsidR="00C65FDA" w:rsidRDefault="00C65FDA">
      <w:pPr>
        <w:pStyle w:val="CommentText"/>
      </w:pPr>
      <w:r>
        <w:rPr>
          <w:rStyle w:val="CommentReference"/>
        </w:rPr>
        <w:annotationRef/>
      </w:r>
      <w:r>
        <w:t xml:space="preserve">I think we need to check the data to see if any species names are misspelled or synonyms as the number of species in the tree when subset doesn’t match the actual data. </w:t>
      </w:r>
    </w:p>
  </w:comment>
  <w:comment w:id="12" w:author="Daniel Noble" w:date="2023-09-25T10:37:00Z" w:initials="DN">
    <w:p w14:paraId="7B69AA70" w14:textId="402D4838" w:rsidR="00222F72" w:rsidRDefault="00222F72">
      <w:pPr>
        <w:pStyle w:val="CommentText"/>
      </w:pPr>
      <w:r>
        <w:rPr>
          <w:rStyle w:val="CommentReference"/>
        </w:rPr>
        <w:annotationRef/>
      </w:r>
      <w:r>
        <w:t xml:space="preserve">Still not sure we need the equation here for the model, but I like to make it explicit. We can always shunt this if needed. </w:t>
      </w:r>
    </w:p>
  </w:comment>
  <w:comment w:id="17" w:author="Daniel Noble" w:date="2023-09-25T10:33:00Z" w:initials="DN">
    <w:p w14:paraId="6FCE9CB9" w14:textId="40C0E26F" w:rsidR="00C65FDA" w:rsidRDefault="00C65FDA">
      <w:pPr>
        <w:pStyle w:val="CommentText"/>
      </w:pPr>
      <w:r>
        <w:rPr>
          <w:rStyle w:val="CommentReference"/>
        </w:rPr>
        <w:annotationRef/>
      </w:r>
      <w:r>
        <w:t xml:space="preserve">Just a random placeholder for figures for now. I think want a tree, but we could also add in some other useful plots alongside the tree. Also, I chatted with Piet. We don’t need to have it all “fancy” someone else can make a pretty fig for 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4F84BD" w15:done="0"/>
  <w15:commentEx w15:paraId="45821EC6" w15:done="0"/>
  <w15:commentEx w15:paraId="5FCDEBDB" w15:done="0"/>
  <w15:commentEx w15:paraId="15AFFC29" w15:done="0"/>
  <w15:commentEx w15:paraId="1FCBB544" w15:done="0"/>
  <w15:commentEx w15:paraId="7B69AA70" w15:done="0"/>
  <w15:commentEx w15:paraId="6FCE9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341D15" w16cex:dateUtc="2023-09-25T00:35:00Z"/>
  <w16cex:commentExtensible w16cex:durableId="178D3234" w16cex:dateUtc="2023-09-25T00:36:00Z"/>
  <w16cex:commentExtensible w16cex:durableId="5C3A996A" w16cex:dateUtc="2023-09-25T00:36:00Z"/>
  <w16cex:commentExtensible w16cex:durableId="6FEE6EED" w16cex:dateUtc="2023-09-25T00:31:00Z"/>
  <w16cex:commentExtensible w16cex:durableId="5614BCF9" w16cex:dateUtc="2023-09-25T00:34:00Z"/>
  <w16cex:commentExtensible w16cex:durableId="0126A441" w16cex:dateUtc="2023-09-25T00:37:00Z"/>
  <w16cex:commentExtensible w16cex:durableId="11A636E2" w16cex:dateUtc="2023-09-25T0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4F84BD" w16cid:durableId="70341D15"/>
  <w16cid:commentId w16cid:paraId="45821EC6" w16cid:durableId="178D3234"/>
  <w16cid:commentId w16cid:paraId="5FCDEBDB" w16cid:durableId="5C3A996A"/>
  <w16cid:commentId w16cid:paraId="15AFFC29" w16cid:durableId="6FEE6EED"/>
  <w16cid:commentId w16cid:paraId="1FCBB544" w16cid:durableId="5614BCF9"/>
  <w16cid:commentId w16cid:paraId="7B69AA70" w16cid:durableId="0126A441"/>
  <w16cid:commentId w16cid:paraId="6FCE9CB9" w16cid:durableId="11A63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DF76" w14:textId="77777777" w:rsidR="008232FD" w:rsidRDefault="008232FD">
      <w:pPr>
        <w:spacing w:after="0"/>
      </w:pPr>
      <w:r>
        <w:separator/>
      </w:r>
    </w:p>
  </w:endnote>
  <w:endnote w:type="continuationSeparator" w:id="0">
    <w:p w14:paraId="132C7BCF" w14:textId="77777777" w:rsidR="008232FD" w:rsidRDefault="00823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FBBE" w14:textId="77777777" w:rsidR="008232FD" w:rsidRDefault="008232FD">
      <w:r>
        <w:separator/>
      </w:r>
    </w:p>
  </w:footnote>
  <w:footnote w:type="continuationSeparator" w:id="0">
    <w:p w14:paraId="364756D8" w14:textId="77777777" w:rsidR="008232FD" w:rsidRDefault="00823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E40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18F5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8057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853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EAFB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4A8E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725A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0CC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866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2A0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04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23309980">
    <w:abstractNumId w:val="11"/>
  </w:num>
  <w:num w:numId="2" w16cid:durableId="1282882070">
    <w:abstractNumId w:val="11"/>
  </w:num>
  <w:num w:numId="3" w16cid:durableId="1172599916">
    <w:abstractNumId w:val="12"/>
  </w:num>
  <w:num w:numId="4" w16cid:durableId="1596982598">
    <w:abstractNumId w:val="0"/>
  </w:num>
  <w:num w:numId="5" w16cid:durableId="340819348">
    <w:abstractNumId w:val="1"/>
  </w:num>
  <w:num w:numId="6" w16cid:durableId="840313352">
    <w:abstractNumId w:val="2"/>
  </w:num>
  <w:num w:numId="7" w16cid:durableId="982465735">
    <w:abstractNumId w:val="3"/>
  </w:num>
  <w:num w:numId="8" w16cid:durableId="1976372737">
    <w:abstractNumId w:val="8"/>
  </w:num>
  <w:num w:numId="9" w16cid:durableId="143863577">
    <w:abstractNumId w:val="4"/>
  </w:num>
  <w:num w:numId="10" w16cid:durableId="933174805">
    <w:abstractNumId w:val="5"/>
  </w:num>
  <w:num w:numId="11" w16cid:durableId="213470915">
    <w:abstractNumId w:val="6"/>
  </w:num>
  <w:num w:numId="12" w16cid:durableId="1229265008">
    <w:abstractNumId w:val="7"/>
  </w:num>
  <w:num w:numId="13" w16cid:durableId="489179725">
    <w:abstractNumId w:val="9"/>
  </w:num>
  <w:num w:numId="14" w16cid:durableId="576476009">
    <w:abstractNumId w:val="12"/>
  </w:num>
  <w:num w:numId="15" w16cid:durableId="1146313701">
    <w:abstractNumId w:val="12"/>
  </w:num>
  <w:num w:numId="16" w16cid:durableId="5254960">
    <w:abstractNumId w:val="10"/>
  </w:num>
  <w:num w:numId="17" w16cid:durableId="383067562">
    <w:abstractNumId w:val="10"/>
  </w:num>
  <w:num w:numId="18" w16cid:durableId="658340780">
    <w:abstractNumId w:val="10"/>
  </w:num>
  <w:num w:numId="19" w16cid:durableId="371075431">
    <w:abstractNumId w:val="0"/>
  </w:num>
  <w:num w:numId="20" w16cid:durableId="415588733">
    <w:abstractNumId w:val="1"/>
  </w:num>
  <w:num w:numId="21" w16cid:durableId="1257589673">
    <w:abstractNumId w:val="2"/>
  </w:num>
  <w:num w:numId="22" w16cid:durableId="1897203934">
    <w:abstractNumId w:val="3"/>
  </w:num>
  <w:num w:numId="23" w16cid:durableId="1691561453">
    <w:abstractNumId w:val="8"/>
  </w:num>
  <w:num w:numId="24" w16cid:durableId="736362561">
    <w:abstractNumId w:val="4"/>
  </w:num>
  <w:num w:numId="25" w16cid:durableId="2135757592">
    <w:abstractNumId w:val="5"/>
  </w:num>
  <w:num w:numId="26" w16cid:durableId="1898322515">
    <w:abstractNumId w:val="6"/>
  </w:num>
  <w:num w:numId="27" w16cid:durableId="1128275467">
    <w:abstractNumId w:val="7"/>
  </w:num>
  <w:num w:numId="28" w16cid:durableId="698361003">
    <w:abstractNumId w:val="9"/>
  </w:num>
  <w:num w:numId="29" w16cid:durableId="155994403">
    <w:abstractNumId w:val="0"/>
  </w:num>
  <w:num w:numId="30" w16cid:durableId="1805003360">
    <w:abstractNumId w:val="1"/>
  </w:num>
  <w:num w:numId="31" w16cid:durableId="186254912">
    <w:abstractNumId w:val="2"/>
  </w:num>
  <w:num w:numId="32" w16cid:durableId="1214466077">
    <w:abstractNumId w:val="3"/>
  </w:num>
  <w:num w:numId="33" w16cid:durableId="914170502">
    <w:abstractNumId w:val="8"/>
  </w:num>
  <w:num w:numId="34" w16cid:durableId="722215050">
    <w:abstractNumId w:val="4"/>
  </w:num>
  <w:num w:numId="35" w16cid:durableId="659890079">
    <w:abstractNumId w:val="5"/>
  </w:num>
  <w:num w:numId="36" w16cid:durableId="996693005">
    <w:abstractNumId w:val="6"/>
  </w:num>
  <w:num w:numId="37" w16cid:durableId="227810579">
    <w:abstractNumId w:val="7"/>
  </w:num>
  <w:num w:numId="38" w16cid:durableId="1820922315">
    <w:abstractNumId w:val="9"/>
  </w:num>
  <w:num w:numId="39" w16cid:durableId="1860183">
    <w:abstractNumId w:val="0"/>
  </w:num>
  <w:num w:numId="40" w16cid:durableId="1595547831">
    <w:abstractNumId w:val="1"/>
  </w:num>
  <w:num w:numId="41" w16cid:durableId="186912092">
    <w:abstractNumId w:val="2"/>
  </w:num>
  <w:num w:numId="42" w16cid:durableId="1032463224">
    <w:abstractNumId w:val="3"/>
  </w:num>
  <w:num w:numId="43" w16cid:durableId="963657352">
    <w:abstractNumId w:val="8"/>
  </w:num>
  <w:num w:numId="44" w16cid:durableId="1453860417">
    <w:abstractNumId w:val="4"/>
  </w:num>
  <w:num w:numId="45" w16cid:durableId="1977443015">
    <w:abstractNumId w:val="5"/>
  </w:num>
  <w:num w:numId="46" w16cid:durableId="1364281595">
    <w:abstractNumId w:val="6"/>
  </w:num>
  <w:num w:numId="47" w16cid:durableId="401298941">
    <w:abstractNumId w:val="7"/>
  </w:num>
  <w:num w:numId="48" w16cid:durableId="1263881607">
    <w:abstractNumId w:val="9"/>
  </w:num>
  <w:num w:numId="49" w16cid:durableId="931011538">
    <w:abstractNumId w:val="10"/>
  </w:num>
  <w:num w:numId="50" w16cid:durableId="9792007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CB"/>
    <w:rsid w:val="00222F72"/>
    <w:rsid w:val="002D4D33"/>
    <w:rsid w:val="008229CB"/>
    <w:rsid w:val="008232FD"/>
    <w:rsid w:val="00827D4A"/>
    <w:rsid w:val="00C65F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34693"/>
  <w15:docId w15:val="{8AECB0FA-0CCF-D544-A369-6DE64DC9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81BBA"/>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83ED8"/>
    <w:pPr>
      <w:keepNext/>
    </w:pPr>
    <w:rPr>
      <w:rFonts w:ascii="Times New Roman" w:hAnsi="Times New Roman"/>
      <w:i w:val="0"/>
    </w:rPr>
  </w:style>
  <w:style w:type="paragraph" w:customStyle="1" w:styleId="ImageCaption">
    <w:name w:val="Image Caption"/>
    <w:basedOn w:val="Caption"/>
    <w:rsid w:val="00BB46C2"/>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 w:type="character" w:styleId="CommentReference">
    <w:name w:val="annotation reference"/>
    <w:basedOn w:val="DefaultParagraphFont"/>
    <w:semiHidden/>
    <w:unhideWhenUsed/>
    <w:rsid w:val="002D4D33"/>
    <w:rPr>
      <w:sz w:val="16"/>
      <w:szCs w:val="16"/>
    </w:rPr>
  </w:style>
  <w:style w:type="paragraph" w:styleId="CommentText">
    <w:name w:val="annotation text"/>
    <w:basedOn w:val="Normal"/>
    <w:link w:val="CommentTextChar"/>
    <w:semiHidden/>
    <w:unhideWhenUsed/>
    <w:rsid w:val="002D4D33"/>
    <w:rPr>
      <w:sz w:val="20"/>
      <w:szCs w:val="20"/>
    </w:rPr>
  </w:style>
  <w:style w:type="character" w:customStyle="1" w:styleId="CommentTextChar">
    <w:name w:val="Comment Text Char"/>
    <w:basedOn w:val="DefaultParagraphFont"/>
    <w:link w:val="CommentText"/>
    <w:semiHidden/>
    <w:rsid w:val="002D4D33"/>
    <w:rPr>
      <w:sz w:val="20"/>
      <w:szCs w:val="20"/>
    </w:rPr>
  </w:style>
  <w:style w:type="paragraph" w:styleId="CommentSubject">
    <w:name w:val="annotation subject"/>
    <w:basedOn w:val="CommentText"/>
    <w:next w:val="CommentText"/>
    <w:link w:val="CommentSubjectChar"/>
    <w:semiHidden/>
    <w:unhideWhenUsed/>
    <w:rsid w:val="002D4D33"/>
    <w:rPr>
      <w:b/>
      <w:bCs/>
    </w:rPr>
  </w:style>
  <w:style w:type="character" w:customStyle="1" w:styleId="CommentSubjectChar">
    <w:name w:val="Comment Subject Char"/>
    <w:basedOn w:val="CommentTextChar"/>
    <w:link w:val="CommentSubject"/>
    <w:semiHidden/>
    <w:rsid w:val="002D4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atsoft.org/v33/i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1 - TDT Curves</dc:title>
  <dc:creator/>
  <cp:keywords/>
  <cp:lastModifiedBy>Daniel Noble</cp:lastModifiedBy>
  <cp:revision>5</cp:revision>
  <dcterms:created xsi:type="dcterms:W3CDTF">2023-09-25T00:30:00Z</dcterms:created>
  <dcterms:modified xsi:type="dcterms:W3CDTF">2023-09-25T00:37:00Z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