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8.png" ContentType="image/png"/>
  <Override PartName="/word/media/rId23.png" ContentType="image/png"/>
  <Override PartName="/word/media/rId20.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Box</w:t>
      </w:r>
      <w:r>
        <w:t xml:space="preserve"> </w:t>
      </w:r>
      <w:r>
        <w:t xml:space="preserve">1</w:t>
      </w:r>
      <w:r>
        <w:t xml:space="preserve"> </w:t>
      </w:r>
      <w:r>
        <w:t xml:space="preserve">-</w:t>
      </w:r>
      <w:r>
        <w:t xml:space="preserve"> </w:t>
      </w:r>
      <w:r>
        <w:t xml:space="preserve">TDT</w:t>
      </w:r>
      <w:r>
        <w:t xml:space="preserve"> </w:t>
      </w:r>
      <w:r>
        <w:t xml:space="preserve">Curves</w:t>
      </w:r>
    </w:p>
    <w:p>
      <w:pPr>
        <w:pStyle w:val="FirstParagraph"/>
      </w:pPr>
      <w:r>
        <w:t xml:space="preserve">We can have a look at each new species’ TDT curves collected by Vanessa (</w:t>
      </w:r>
      <w:hyperlink w:anchor="fig-tdt">
        <w:r>
          <w:rPr>
            <w:rStyle w:val="Hyperlink"/>
          </w:rPr>
          <w:t xml:space="preserve">Figure 1</w:t>
        </w:r>
      </w:hyperlink>
      <w:r>
        <w:t xml:space="preserve">). We can also use the data to calculate the TDT curve (slope) and</w:t>
      </w:r>
      <w:r>
        <w:t xml:space="preserve"> </w:t>
      </w:r>
      <m:oMath>
        <m:r>
          <m:t>C</m:t>
        </m:r>
        <m:sSub>
          <m:e>
            <m:r>
              <m:t>T</m:t>
            </m:r>
          </m:e>
          <m:sub>
            <m:r>
              <m:t>m</m:t>
            </m:r>
            <m:r>
              <m:t>a</m:t>
            </m:r>
            <m:r>
              <m:t>x</m:t>
            </m:r>
          </m:sub>
        </m:sSub>
      </m:oMath>
      <w:r>
        <w:t xml:space="preserve"> </w:t>
      </w:r>
      <w:r>
        <w:t xml:space="preserve">for each species (</w:t>
      </w:r>
      <w:r>
        <w:rPr>
          <w:bCs/>
          <w:b/>
        </w:rPr>
        <w:t xml:space="preserve">?@tbl-1</w:t>
      </w:r>
      <w:r>
        <w:t xml:space="preserve">).</w:t>
      </w:r>
    </w:p>
    <w:tbl>
      <w:tblPr>
        <w:tblStyle w:val="Table"/>
        <w:tblW w:type="pct" w:w="5000"/>
        <w:tblLook w:firstRow="0" w:lastRow="0" w:firstColumn="0" w:lastColumn="0" w:noHBand="0" w:noVBand="0" w:val="0000"/>
      </w:tblPr>
      <w:tblGrid>
        <w:gridCol w:w="7920"/>
      </w:tblGrid>
      <w:tr>
        <w:tc>
          <w:tcPr/>
          <w:bookmarkStart w:id="23" w:name="fig-tdt"/>
          <w:p>
            <w:pPr>
              <w:pStyle w:val="Figure"/>
              <w:jc w:val="center"/>
            </w:pPr>
            <w:r>
              <w:drawing>
                <wp:inline>
                  <wp:extent cx="6680200" cy="2672080"/>
                  <wp:effectExtent b="0" l="0" r="0" t="0"/>
                  <wp:docPr descr="" title="" id="21" name="Picture"/>
                  <a:graphic>
                    <a:graphicData uri="http://schemas.openxmlformats.org/drawingml/2006/picture">
                      <pic:pic>
                        <pic:nvPicPr>
                          <pic:cNvPr descr="ms_files/figure-docx/fig-tdt-1.png" id="22" name="Picture"/>
                          <pic:cNvPicPr>
                            <a:picLocks noChangeArrowheads="1" noChangeAspect="1"/>
                          </pic:cNvPicPr>
                        </pic:nvPicPr>
                        <pic:blipFill>
                          <a:blip r:embed="rId20"/>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1- TDT curves for each species. The x-axis is temperature and the y-axis is the log10 of the time to coma.</w:t>
            </w:r>
          </w:p>
          <w:bookmarkEnd w:id="23"/>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3c7ddcc-b528-4e48-afe0-d64dee7bb818" w:name="tbl-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3c7ddcc-b528-4e48-afe0-d64dee7bb818"/>
      <w:r>
        <w:rPr>
          <w:rFonts/>
          <w:b w:val="true"/>
        </w:rPr>
        <w:t xml:space="preserve">: </w:t>
      </w:r>
      <w:r>
        <w:t xml:space="preserve">Estimated parameters for each of the 8 new species.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95"/>
        <w:gridCol w:w="924"/>
        <w:gridCol w:w="1144"/>
      </w:tblGrid>
      <w:tr>
        <w:trPr>
          <w:trHeight w:val="609"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CTMax</w:t>
            </w:r>
          </w:p>
        </w:tc>
      </w:tr>
      <w:tr>
        <w:trPr>
          <w:trHeight w:val="609"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60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hydei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56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kik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56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rub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39</w:t>
            </w:r>
          </w:p>
        </w:tc>
      </w:tr>
      <w:tr>
        <w:trPr>
          <w:trHeight w:val="564"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5"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sulf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39</w:t>
            </w:r>
          </w:p>
        </w:tc>
      </w:tr>
    </w:tbl>
    <w:tbl>
      <w:tblPr>
        <w:tblStyle w:val="Table"/>
        <w:tblW w:type="pct" w:w="5000"/>
        <w:tblLook w:firstRow="0" w:lastRow="0" w:firstColumn="0" w:lastColumn="0" w:noHBand="0" w:noVBand="0" w:val="0000"/>
      </w:tblPr>
      <w:tblGrid>
        <w:gridCol w:w="7920"/>
      </w:tblGrid>
      <w:tr>
        <w:tc>
          <w:tcPr/>
          <w:bookmarkStart w:id="27" w:name="fig-tree"/>
          <w:p>
            <w:pPr>
              <w:pStyle w:val="Figure"/>
              <w:jc w:val="center"/>
            </w:pPr>
            <w:r>
              <w:drawing>
                <wp:inline>
                  <wp:extent cx="6680200" cy="2672080"/>
                  <wp:effectExtent b="0" l="0" r="0" t="0"/>
                  <wp:docPr descr="" title="" id="25" name="Picture"/>
                  <a:graphic>
                    <a:graphicData uri="http://schemas.openxmlformats.org/drawingml/2006/picture">
                      <pic:pic>
                        <pic:nvPicPr>
                          <pic:cNvPr descr="ms_files/figure-docx/fig-tree-1.png" id="26" name="Picture"/>
                          <pic:cNvPicPr>
                            <a:picLocks noChangeArrowheads="1" noChangeAspect="1"/>
                          </pic:cNvPicPr>
                        </pic:nvPicPr>
                        <pic:blipFill>
                          <a:blip r:embed="rId24"/>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2- Phylogenetic relationships among</w:t>
            </w:r>
            <w:r>
              <w:t xml:space="preserve"> </w:t>
            </w:r>
            <w:r>
              <w:rPr>
                <w:rStyle w:val="VerbatimChar"/>
              </w:rPr>
              <w:t xml:space="preserve">r length(tree$tip.label)</w:t>
            </w:r>
            <w:r>
              <w:t xml:space="preserve"> </w:t>
            </w:r>
            <w:r>
              <w:rPr>
                <w:iCs/>
                <w:i/>
              </w:rPr>
              <w:t xml:space="preserve">Drosophila</w:t>
            </w:r>
            <w:r>
              <w:t xml:space="preserve"> </w:t>
            </w:r>
            <w:r>
              <w:t xml:space="preserve">species.</w:t>
            </w:r>
          </w:p>
          <w:bookmarkEnd w:id="27"/>
        </w:tc>
      </w:tr>
    </w:tbl>
    <w:p>
      <w:pPr>
        <w:pStyle w:val="BodyText"/>
      </w:pPr>
      <w:r>
        <w:drawing>
          <wp:inline>
            <wp:extent cx="6680200" cy="2672080"/>
            <wp:effectExtent b="0" l="0" r="0" t="0"/>
            <wp:docPr descr="" title="" id="29" name="Picture"/>
            <a:graphic>
              <a:graphicData uri="http://schemas.openxmlformats.org/drawingml/2006/picture">
                <pic:pic>
                  <pic:nvPicPr>
                    <pic:cNvPr descr="ms_files/figure-docx/posteriorsz-1.png" id="30" name="Picture"/>
                    <pic:cNvPicPr>
                      <a:picLocks noChangeArrowheads="1" noChangeAspect="1"/>
                    </pic:cNvPicPr>
                  </pic:nvPicPr>
                  <pic:blipFill>
                    <a:blip r:embed="rId28"/>
                    <a:stretch>
                      <a:fillRect/>
                    </a:stretch>
                  </pic:blipFill>
                  <pic:spPr bwMode="auto">
                    <a:xfrm>
                      <a:off x="0" y="0"/>
                      <a:ext cx="6680200" cy="2672080"/>
                    </a:xfrm>
                    <a:prstGeom prst="rect">
                      <a:avLst/>
                    </a:prstGeom>
                    <a:noFill/>
                    <a:ln w="9525">
                      <a:noFill/>
                      <a:headEnd/>
                      <a:tailEnd/>
                    </a:ln>
                  </pic:spPr>
                </pic:pic>
              </a:graphicData>
            </a:graphic>
          </wp:inline>
        </w:drawing>
      </w:r>
    </w:p>
    <w:bookmarkStart w:id="31" w:name="X20ba8ca82a1fada37156c4b0733ea1251b8cbc6"/>
    <w:p>
      <w:pPr>
        <w:pStyle w:val="Heading2"/>
      </w:pPr>
      <w:r>
        <w:t xml:space="preserve">Box 1 – Thermal Death Time framework case studies</w:t>
      </w:r>
    </w:p>
    <w:p>
      <w:pPr>
        <w:pStyle w:val="FirstParagraph"/>
      </w:pPr>
      <w:r>
        <w:t xml:space="preserve">Parameters from Thermal Death Time (TDT) curves provide a powerful tool for understanding the thermal sensitivity of organisms. Comparative approaches using such data can provide a way for us to evaluate differences in population and species sensitivity, and identify the key ecological and life-history traits that increase vulnerability to heat stress. Nonetheless, while static measures of thermal tolerance (e.g.,</w:t>
      </w:r>
      <w:r>
        <w:t xml:space="preserve"> </w:t>
      </w:r>
      <m:oMath>
        <m:r>
          <m:t>C</m:t>
        </m:r>
        <m:sSub>
          <m:e>
            <m:r>
              <m:t>T</m:t>
            </m:r>
          </m:e>
          <m:sub>
            <m:r>
              <m:t>m</m:t>
            </m:r>
            <m:r>
              <m:t>a</m:t>
            </m:r>
            <m:r>
              <m:t>x</m:t>
            </m:r>
          </m:sub>
        </m:sSub>
      </m:oMath>
      <w:r>
        <w:t xml:space="preserve">) are widespread, parameters from TDT curves are much less frequently estimated. In addition, we have a poor understanding of how dynamic (TDT) and static (</w:t>
      </w:r>
      <m:oMath>
        <m:r>
          <m:t>C</m:t>
        </m:r>
        <m:sSub>
          <m:e>
            <m:r>
              <m:t>T</m:t>
            </m:r>
          </m:e>
          <m:sub>
            <m:r>
              <m:t>m</m:t>
            </m:r>
            <m:r>
              <m:t>a</m:t>
            </m:r>
            <m:r>
              <m:t>x</m:t>
            </m:r>
          </m:sub>
        </m:sSub>
      </m:oMath>
      <w:r>
        <w:t xml:space="preserve">) lethal measures correlate with each other and with sub-lethal measures of damage, such as critical fertility limits (CFLs). Identifying the correlation between lethal and sub-lethal limits can provide powerful ways to further clarify species vulnerability to heat stress that might lead to population extinction well before mortality is identified.</w:t>
      </w:r>
    </w:p>
    <w:p>
      <w:pPr>
        <w:pStyle w:val="BodyText"/>
      </w:pPr>
      <w:r>
        <w:t xml:space="preserve">A number of significance challenges imped are ability to take the TDT and sub-lethal frameworks into a comparative context. First, ethical, conservation, and logistical challenges limit our ability to measure and estimate key parameters for many species, creating significant gaps in our knowledge across the tree of life. Second, while there has been a focus on species-level responses, population-level information is seldom incoperated into comparative frameworks.</w:t>
      </w:r>
    </w:p>
    <w:p>
      <w:pPr>
        <w:pStyle w:val="BodyText"/>
      </w:pPr>
      <w:r>
        <w:t xml:space="preserve">Powerful multivariate hierachical models (i.e., multi-response models) are capable of dealing with missing data, and provide a means by which multiple physiological thermal tolerance measures can be simultaneously modelled. When used in conjunction with phylogenetic information across species and populations, such modelling approaches can provide informed estimates for species missing data and explicitly estimate their covariance while accounting for uncertainty. Such insight that can be used to inform policy and conservation-related decision making.</w:t>
      </w:r>
    </w:p>
    <w:p>
      <w:pPr>
        <w:pStyle w:val="BodyText"/>
      </w:pPr>
      <w:r>
        <w:t xml:space="preserve">Using a well studied taxonomic group, the</w:t>
      </w:r>
      <w:r>
        <w:t xml:space="preserve"> </w:t>
      </w:r>
      <w:r>
        <w:rPr>
          <w:iCs/>
          <w:i/>
        </w:rPr>
        <w:t xml:space="preserve">Drosophila</w:t>
      </w:r>
      <w:r>
        <w:t xml:space="preserve"> </w:t>
      </w:r>
      <w:r>
        <w:t xml:space="preserve">clade, we demonstrate how such an analytical approach can inform on these significant questions.</w:t>
      </w:r>
    </w:p>
    <w:bookmarkEnd w:id="31"/>
    <w:bookmarkStart w:id="32" w:name="references"/>
    <w:p>
      <w:pPr>
        <w:pStyle w:val="Heading2"/>
      </w:pPr>
      <w:r>
        <w:t xml:space="preserve">References</w:t>
      </w:r>
    </w:p>
    <w:bookmarkEnd w:id="32"/>
    <w:sectPr w:rsidR="00AC5C93"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6E40D5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818F52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6D8057B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CA88530C"/>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85EAFB4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5B4A8EA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C725A0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D50CC44"/>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4866B2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B2A095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16cid:durableId="383067562" w:numId="17">
    <w:abstractNumId w:val="10"/>
  </w:num>
  <w:num w16cid:durableId="658340780" w:numId="18">
    <w:abstractNumId w:val="10"/>
  </w:num>
  <w:num w16cid:durableId="371075431" w:numId="19">
    <w:abstractNumId w:val="0"/>
  </w:num>
  <w:num w16cid:durableId="415588733" w:numId="20">
    <w:abstractNumId w:val="1"/>
  </w:num>
  <w:num w16cid:durableId="1257589673" w:numId="21">
    <w:abstractNumId w:val="2"/>
  </w:num>
  <w:num w16cid:durableId="1897203934" w:numId="22">
    <w:abstractNumId w:val="3"/>
  </w:num>
  <w:num w16cid:durableId="1691561453" w:numId="23">
    <w:abstractNumId w:val="8"/>
  </w:num>
  <w:num w16cid:durableId="736362561" w:numId="24">
    <w:abstractNumId w:val="4"/>
  </w:num>
  <w:num w16cid:durableId="2135757592" w:numId="25">
    <w:abstractNumId w:val="5"/>
  </w:num>
  <w:num w16cid:durableId="1898322515" w:numId="26">
    <w:abstractNumId w:val="6"/>
  </w:num>
  <w:num w16cid:durableId="1128275467" w:numId="27">
    <w:abstractNumId w:val="7"/>
  </w:num>
  <w:num w16cid:durableId="698361003" w:numId="28">
    <w:abstractNumId w:val="9"/>
  </w:num>
  <w:num w16cid:durableId="155994403" w:numId="29">
    <w:abstractNumId w:val="0"/>
  </w:num>
  <w:num w16cid:durableId="1805003360" w:numId="30">
    <w:abstractNumId w:val="1"/>
  </w:num>
  <w:num w16cid:durableId="186254912" w:numId="31">
    <w:abstractNumId w:val="2"/>
  </w:num>
  <w:num w16cid:durableId="1214466077" w:numId="32">
    <w:abstractNumId w:val="3"/>
  </w:num>
  <w:num w16cid:durableId="914170502" w:numId="33">
    <w:abstractNumId w:val="8"/>
  </w:num>
  <w:num w16cid:durableId="722215050" w:numId="34">
    <w:abstractNumId w:val="4"/>
  </w:num>
  <w:num w16cid:durableId="659890079" w:numId="35">
    <w:abstractNumId w:val="5"/>
  </w:num>
  <w:num w16cid:durableId="996693005" w:numId="36">
    <w:abstractNumId w:val="6"/>
  </w:num>
  <w:num w16cid:durableId="227810579" w:numId="37">
    <w:abstractNumId w:val="7"/>
  </w:num>
  <w:num w16cid:durableId="1820922315" w:numId="38">
    <w:abstractNumId w:val="9"/>
  </w:num>
  <w:num w16cid:durableId="1860183" w:numId="39">
    <w:abstractNumId w:val="0"/>
  </w:num>
  <w:num w16cid:durableId="1595547831" w:numId="40">
    <w:abstractNumId w:val="1"/>
  </w:num>
  <w:num w16cid:durableId="186912092" w:numId="41">
    <w:abstractNumId w:val="2"/>
  </w:num>
  <w:num w16cid:durableId="1032463224" w:numId="42">
    <w:abstractNumId w:val="3"/>
  </w:num>
  <w:num w16cid:durableId="963657352" w:numId="43">
    <w:abstractNumId w:val="8"/>
  </w:num>
  <w:num w16cid:durableId="1453860417" w:numId="44">
    <w:abstractNumId w:val="4"/>
  </w:num>
  <w:num w16cid:durableId="1977443015" w:numId="45">
    <w:abstractNumId w:val="5"/>
  </w:num>
  <w:num w16cid:durableId="1364281595" w:numId="46">
    <w:abstractNumId w:val="6"/>
  </w:num>
  <w:num w16cid:durableId="401298941" w:numId="47">
    <w:abstractNumId w:val="7"/>
  </w:num>
  <w:num w16cid:durableId="1263881607" w:numId="48">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savePreviewPicture/>
  <w:zoom w:percent="16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183ED8"/>
    <w:pPr>
      <w:keepNext/>
    </w:pPr>
    <w:rPr>
      <w:rFonts w:ascii="Times New Roman" w:hAnsi="Times New Roman"/>
      <w:i w:val="0"/>
    </w:rPr>
  </w:style>
  <w:style w:customStyle="1" w:styleId="ImageCaption" w:type="paragraph">
    <w:name w:val="Image Caption"/>
    <w:basedOn w:val="Caption"/>
    <w:rsid w:val="00BB46C2"/>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5325</Words>
  <Characters>30356</Characters>
  <Application>Microsoft Office Word</Application>
  <DocSecurity>0</DocSecurity>
  <Lines>252</Lines>
  <Paragraphs>71</Paragraphs>
  <ScaleCrop>false</ScaleCrop>
  <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Box 1 - TDT Curves</dc:title>
  <dc:creator/>
  <cp:keywords/>
  <dcterms:created xsi:type="dcterms:W3CDTF">2023-09-20T23:32:22Z</dcterms:created>
  <dcterms:modified xsi:type="dcterms:W3CDTF">2023-09-20T23:32:22Z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../bib/nature.csl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