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9.png" ContentType="image/png"/>
  <Override PartName="/word/media/rId3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2</w:t>
      </w:r>
      <w:r>
        <w:t xml:space="preserve"> </w:t>
      </w:r>
      <m:oMath>
        <m:r>
          <m:rPr>
            <m:sty m:val="p"/>
          </m:rPr>
          <m:t>†</m:t>
        </m:r>
      </m:oMath>
      <w:r>
        <w:t xml:space="preserve">, Zhong-Hua Chen</w:t>
      </w:r>
      <w:r>
        <w:rPr>
          <w:vertAlign w:val="superscript"/>
        </w:rPr>
        <w:t xml:space="preserve">3,4</w:t>
      </w:r>
      <w:r>
        <w:t xml:space="preserve"> </w:t>
      </w:r>
      <m:oMath>
        <m:r>
          <m:rPr>
            <m:sty m:val="p"/>
          </m:rPr>
          <m:t>†</m:t>
        </m:r>
      </m:oMath>
      <w:r>
        <w:t xml:space="preserve">, Steven J. Lade</w:t>
      </w:r>
      <w:r>
        <w:rPr>
          <w:vertAlign w:val="superscript"/>
        </w:rPr>
        <w:t xml:space="preserve">5,6</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7</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Owen K. Atkin</w:t>
      </w:r>
      <w:r>
        <w:rPr>
          <w:vertAlign w:val="superscript"/>
        </w:rPr>
        <w:t xml:space="preserve">7,8</w:t>
      </w:r>
      <w:r>
        <w:t xml:space="preserve"> </w:t>
      </w:r>
      <m:oMath>
        <m:r>
          <m:rPr>
            <m:sty m:val="p"/>
          </m:rPr>
          <m:t>†</m:t>
        </m:r>
      </m:oMath>
      <w:r>
        <w:t xml:space="preserve">, Adrienne Nicotra</w:t>
      </w:r>
      <w:r>
        <w:rPr>
          <w:vertAlign w:val="superscript"/>
        </w:rPr>
        <w:t xml:space="preserve">1,7</w:t>
      </w:r>
      <w:r>
        <w:t xml:space="preserve"> </w:t>
      </w:r>
      <m:oMath>
        <m:r>
          <m:rPr>
            <m:sty m:val="p"/>
          </m:rPr>
          <m:t>†</m:t>
        </m:r>
      </m:oMath>
      <w:r>
        <w:t xml:space="preserve">, James M. Cook</w:t>
      </w:r>
      <w:r>
        <w:rPr>
          <w:vertAlign w:val="superscript"/>
        </w:rPr>
        <w:t xml:space="preserve">3</w:t>
      </w:r>
      <w:r>
        <w:t xml:space="preserve">, Brajesh Singh</w:t>
      </w:r>
      <w:r>
        <w:rPr>
          <w:vertAlign w:val="superscript"/>
        </w:rPr>
        <w:t xml:space="preserve">3</w:t>
      </w:r>
      <w:r>
        <w:t xml:space="preserve">, Alison Bentley</w:t>
      </w:r>
      <w:r>
        <w:rPr>
          <w:vertAlign w:val="superscript"/>
        </w:rPr>
        <w:t xml:space="preserve">7</w:t>
      </w:r>
      <w:r>
        <w:t xml:space="preserve">, Ian Wright</w:t>
      </w:r>
      <w:r>
        <w:rPr>
          <w:vertAlign w:val="superscript"/>
        </w:rPr>
        <w:t xml:space="preserve">3</w:t>
      </w:r>
      <w:r>
        <w:t xml:space="preserve">, Michael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2601,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Hawkesbury Institute for the Environment, Western Sydney University, Australia </w:t>
      </w:r>
      <w:r>
        <w:t xml:space="preserve"> </w:t>
      </w:r>
      <w:r>
        <w:rPr>
          <w:vertAlign w:val="superscript"/>
        </w:rPr>
        <w:t xml:space="preserve">4</w:t>
      </w:r>
      <w:r>
        <w:t xml:space="preserve"> </w:t>
      </w:r>
      <w:r>
        <w:t xml:space="preserve">School of Agriculture, Food and Wine, Waite Research Institute, University of Adelaide, Glen Osmond, SA 5064, Australia </w:t>
      </w:r>
      <w:r>
        <w:t xml:space="preserve"> </w:t>
      </w:r>
      <w:r>
        <w:rPr>
          <w:vertAlign w:val="superscript"/>
        </w:rPr>
        <w:t xml:space="preserve">5</w:t>
      </w:r>
      <w:r>
        <w:t xml:space="preserve"> </w:t>
      </w:r>
      <w:r>
        <w:t xml:space="preserve">Fenner School of Environment and Society, The Australian National University, Canberra ACT 2602, Australia </w:t>
      </w:r>
      <w:r>
        <w:t xml:space="preserve"> </w:t>
      </w:r>
      <w:r>
        <w:rPr>
          <w:vertAlign w:val="superscript"/>
        </w:rPr>
        <w:t xml:space="preserve">6</w:t>
      </w:r>
      <w:r>
        <w:t xml:space="preserve"> </w:t>
      </w:r>
      <w:r>
        <w:t xml:space="preserve">Stockholm Resilience Centre, Stockholm University, Stockholm, Sweden</w:t>
      </w:r>
      <w:r>
        <w:br/>
      </w:r>
      <w:r>
        <w:rPr>
          <w:vertAlign w:val="superscript"/>
        </w:rPr>
        <w:t xml:space="preserve">7</w:t>
      </w:r>
      <w:r>
        <w:t xml:space="preserve"> </w:t>
      </w:r>
      <w:r>
        <w:t xml:space="preserve">Division of Plant Sciences, Research School of Biology, The Australian National University, Canberra ACT 2602, Australia</w:t>
      </w:r>
      <w:r>
        <w:br/>
      </w:r>
      <w:r>
        <w:rPr>
          <w:vertAlign w:val="superscript"/>
        </w:rPr>
        <w:t xml:space="preserve">8</w:t>
      </w:r>
      <w:r>
        <w:t xml:space="preserve"> </w:t>
      </w:r>
      <w:r>
        <w:t xml:space="preserve">Agrifood Innovation Institute, Australian National University, Canberra, ACT 2601, Australia</w:t>
      </w:r>
      <w:r>
        <w:br/>
      </w:r>
    </w:p>
    <w:p>
      <w:pPr>
        <w:pStyle w:val="BodyText"/>
      </w:pPr>
      <w:r>
        <w:rPr>
          <w:vertAlign w:val="superscript"/>
        </w:rPr>
        <w:t xml:space="preserve">1</w:t>
      </w:r>
      <w:r>
        <w:t xml:space="preserve"> </w:t>
      </w:r>
      <m:oMath>
        <m:r>
          <m:rPr>
            <m:sty m:val="p"/>
          </m:rPr>
          <m:t>‡</m:t>
        </m:r>
      </m:oMath>
      <w:r>
        <w:t xml:space="preserve"> </w:t>
      </w:r>
      <w:r>
        <w:t xml:space="preserve">Correspondence: daniel.noble@anu.edu.au &amp; m.kearney@unimelb.edu.au</w:t>
      </w:r>
      <w:r>
        <w:br/>
      </w:r>
      <m:oMath>
        <m:r>
          <m:rPr>
            <m:sty m:val="p"/>
          </m:rPr>
          <m:t>†</m:t>
        </m:r>
      </m:oMath>
      <w:r>
        <w:t xml:space="preserve"> </w:t>
      </w:r>
      <w:r>
        <w:t xml:space="preserve">These authors contributed equally to this work.</w:t>
      </w:r>
    </w:p>
    <w:bookmarkStart w:id="20" w:name="X9b6cb994ec0d2f2a9da21a2fc21e27ced4ee15e"/>
    <w:p>
      <w:pPr>
        <w:pStyle w:val="Heading4"/>
      </w:pPr>
      <w:r>
        <w:t xml:space="preserve">Keywords: plant-animal interactions, microclimate, biophysical models, thermal load sensitivity, dynamic energy budget models, coexistence theory, ecological modelling</w:t>
      </w:r>
    </w:p>
    <w:bookmarkEnd w:id="20"/>
    <w:bookmarkStart w:id="21"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review how existing models in disparate fields can be linked to achieve a level of understanding necessary for calculated responses to extreme heat from individuals to communities, now and into the future.</w:t>
      </w:r>
    </w:p>
    <w:bookmarkEnd w:id="21"/>
    <w:bookmarkStart w:id="26" w:name="X2b97b971c201f11017c10c1d6e4dbfd69043166"/>
    <w:p>
      <w:pPr>
        <w:pStyle w:val="Heading1"/>
      </w:pPr>
      <w:r>
        <w:t xml:space="preserve">A systems-modelling approach to modelling biotic impacts of heatwaves</w:t>
      </w:r>
    </w:p>
    <w:p>
      <w:pPr>
        <w:pStyle w:val="FirstParagraph"/>
      </w:pPr>
      <w:r>
        <w:t xml:space="preserve">Climate change is leading to warmer and more variable thermal environments globally</w:t>
      </w:r>
      <w:r>
        <w:t xml:space="preserve"> </w:t>
      </w:r>
      <w:r>
        <w:t xml:space="preserve">[1,2]</w:t>
      </w:r>
      <w:r>
        <w:t xml:space="preserve">.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crop yields globally</w:t>
      </w:r>
      <w:r>
        <w:t xml:space="preserve"> </w:t>
      </w:r>
      <w:r>
        <w:t xml:space="preserve">[6–8]</w:t>
      </w:r>
      <w:r>
        <w:t xml:space="preserve">,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w:t>
      </w:r>
      <w:r>
        <w:t xml:space="preserve"> </w:t>
      </w:r>
      <w:r>
        <w:t xml:space="preserve">[9–11]</w:t>
      </w:r>
      <w:r>
        <w:t xml:space="preserve"> </w:t>
      </w:r>
      <w:r>
        <w:t xml:space="preserve">and indirect effects on interactions (both positive and negative) among species</w:t>
      </w:r>
      <w:r>
        <w:t xml:space="preserve"> </w:t>
      </w:r>
      <w:r>
        <w:t xml:space="preserve">[e.g., 12]</w:t>
      </w:r>
      <w:r>
        <w:t xml:space="preserve">. Understanding the dynamic interplay between direct and indirect effects of extreme heat, and how these are mediated by environmental factors (e.g., water and food availability, microbes), has been hampered by inadequate coupling of models that predict short-term physiological damage and repair on a given species’ fitness with population and community dynamic models across species</w:t>
      </w:r>
      <w:r>
        <w:t xml:space="preserve"> </w:t>
      </w:r>
      <w:r>
        <w:t xml:space="preserve">[13]</w:t>
      </w:r>
      <w:r>
        <w:t xml:space="preserve">. Predicting how extreme heat impacts population dynamics and communities requires a stronger coupling of biophysical, physiological, population and community ecology models but too often these models remain disjunct from each other with studies often only focusing on a single species. A systems-thinking perspective is now needed to better capture the multifaceted nature with which extreme heat manifests within in a community – an approach we argue will better capture the dynamic feed backs within and between species to improve predictions.</w:t>
      </w:r>
    </w:p>
    <w:p>
      <w:pPr>
        <w:pStyle w:val="BodyText"/>
      </w:pPr>
      <w:r>
        <w:t xml:space="preserve">Using plants and insects as examples, we review broad classes of models across fields and discuss how they can be linked to model the biotic impacts of heatwaves from individuals to communities (</w:t>
      </w:r>
      <w:hyperlink w:anchor="fig-sys">
        <w:r>
          <w:rPr>
            <w:rStyle w:val="Hyperlink"/>
          </w:rPr>
          <w:t xml:space="preserve">Figure 1</w:t>
        </w:r>
      </w:hyperlink>
      <w:r>
        <w:t xml:space="preserve">). We focus on plant and insect communities given the strong interconnections between them, the ease with which they can be studied, and their importance to socioecological systems. Physiological models can now be seamlessly integrated with biophysical models to characterize temperatures experienced by organisms and simulate the effects of extreme heat events on the entire life cycle of species within ecological communities</w:t>
      </w:r>
      <w:r>
        <w:t xml:space="preserve"> </w:t>
      </w:r>
      <w:r>
        <w:t xml:space="preserve">[14–17]</w:t>
      </w:r>
      <w:r>
        <w:t xml:space="preserve"> </w:t>
      </w:r>
      <w:r>
        <w:t xml:space="preserve">(</w:t>
      </w:r>
      <w:hyperlink w:anchor="fig-sys">
        <w:r>
          <w:rPr>
            <w:rStyle w:val="Hyperlink"/>
          </w:rPr>
          <w:t xml:space="preserve">Figure 1</w:t>
        </w:r>
      </w:hyperlink>
      <w:r>
        <w:t xml:space="preserve">). Physiological models that incorporate estimates of thermal sensitivity across species can capture the delicate balance between damage and repair of physiological systems</w:t>
      </w:r>
      <w:r>
        <w:t xml:space="preserve"> </w:t>
      </w:r>
      <w:r>
        <w:t xml:space="preserve">[10,11,18,19]</w:t>
      </w:r>
      <w:r>
        <w:t xml:space="preserve">,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w:t>
      </w:r>
      <w:r>
        <w:t xml:space="preserve"> </w:t>
      </w:r>
      <w:r>
        <w:t xml:space="preserve">[20,21]</w:t>
      </w:r>
      <w:r>
        <w:t xml:space="preserve">. We demonstrate how such a coupling can be made within and across species and highlight the opportunities it presents to develop a greater understanding of the ways in which extreme heat stress manifests across species. We end by discussing the challenges of coupling models across diverse species in communities along with capturing the eco-evolutionary feedbacks that will be necessary for accurate predictions.</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A coupled modelling framework for predicting the effects of extreme heat on ecological communities</w:t>
            </w:r>
            <w:r>
              <w:t xml:space="preserve">. The modelling approach we develop here 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for quantitative predictions to be made on how extreme heatwaves perturb biological systems and allow for the development and implementation of strategies to enhance biological system resilience to extreme heat. Created with BioRender.com.</w:t>
            </w:r>
          </w:p>
          <w:bookmarkEnd w:id="25"/>
        </w:tc>
      </w:tr>
    </w:tbl>
    <w:p>
      <w:pPr>
        <w:pStyle w:val="BodyText"/>
      </w:pPr>
      <w:r>
        <w:t xml:space="preserve">Impacts of extreme heat events on an ecological community are driven by responses of individuals, which then cascade upwards to other levels. Therefore, to understand extreme heat impacts on a community of organisms, we must characterize the</w:t>
      </w:r>
      <w:r>
        <w:t xml:space="preserve"> </w:t>
      </w:r>
      <w:r>
        <w:t xml:space="preserve">‘</w:t>
      </w:r>
      <w:r>
        <w:rPr>
          <w:b/>
          <w:bCs/>
        </w:rPr>
        <w:t xml:space="preserve">microclimates</w:t>
      </w:r>
      <w:r>
        <w:t xml:space="preserve">’</w:t>
      </w:r>
      <w:r>
        <w:t xml:space="preserve"> </w:t>
      </w:r>
      <w:r>
        <w:t xml:space="preserve">experienced by individuals of different species under a given atmospheric event. Microclimates must then be translated into organism body temperature and hydric conditions to model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overall trajectories of growth, survival and reproduction across life cycles and the resulting outputs can be integrated into population and community models.</w:t>
      </w:r>
    </w:p>
    <w:bookmarkEnd w:id="26"/>
    <w:bookmarkStart w:id="27"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predicted by Global Circulation Models (GCMs), typically at large spatial scales (e.g. 0.5</w:t>
      </w:r>
      <w:r>
        <w:t xml:space="preserve"> </w:t>
      </w:r>
      <m:oMath>
        <m:sSup>
          <m:e>
            <m:r>
              <m:t>​</m:t>
            </m:r>
          </m:e>
          <m:sup>
            <m:r>
              <m:rPr>
                <m:sty m:val="p"/>
              </m:rPr>
              <m:t>∘</m:t>
            </m:r>
          </m:sup>
        </m:sSup>
      </m:oMath>
      <w:r>
        <w:t xml:space="preserve"> </w:t>
      </w:r>
      <w:r>
        <w:t xml:space="preserve">grid cells). Yet, species across communities experience these heatwaves differently because of the varied microhabitats they occupy. For example, while air temperature may be 50°C, an organism a metre below the soil surface may be exposed to temperatures ~20°C cooler (</w:t>
      </w:r>
      <w:hyperlink w:anchor="fig-sys">
        <w:r>
          <w:rPr>
            <w:rStyle w:val="Hyperlink"/>
          </w:rPr>
          <w:t xml:space="preserve">Figure 1</w:t>
        </w:r>
      </w:hyperlink>
      <w:r>
        <w:t xml:space="preserve">). Therefore, to understand how extreme heat impacts on a community of organisms, we must characterize the</w:t>
      </w:r>
      <w:r>
        <w:t xml:space="preserve"> </w:t>
      </w:r>
      <w:r>
        <w:t xml:space="preserve">‘</w:t>
      </w:r>
      <w:r>
        <w:rPr>
          <w:b/>
          <w:bCs/>
        </w:rPr>
        <w:t xml:space="preserve">microclimates</w:t>
      </w:r>
      <w:r>
        <w:t xml:space="preserve">’</w:t>
      </w:r>
      <w:r>
        <w:t xml:space="preserve"> </w:t>
      </w:r>
      <w:r>
        <w:t xml:space="preserve">experienced by individuals of different species under a given atmospheric event. Predicting microhabitats often involves taking the atmospheric conditions as independent forcing variables and combining them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spatial scales</w:t>
      </w:r>
      <w:r>
        <w:t xml:space="preserve"> </w:t>
      </w:r>
      <w:r>
        <w:t xml:space="preserve">[22–28]</w:t>
      </w:r>
      <w:r>
        <w:t xml:space="preserve">. Microclimate models, which typically make predictions at fine spatial and 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 Importantly, downscaling to microclimate conditions does require additional variables for a given location than typically used in climate models (e.g., % shade, soil characteristics, surface albedo), however, many of the additional variables are readily available. In addition, depending on the organism and question of interest, not all input variables are needed to parameterize a given microclimate. Indeed, guides for helping choose what microclimate variables to include and the spatial and temporal resolution needed exist to help decision making</w:t>
      </w:r>
      <w:r>
        <w:t xml:space="preserve"> </w:t>
      </w:r>
      <w:r>
        <w:t xml:space="preserve">[e.g., 29,30]</w:t>
      </w:r>
      <w:r>
        <w:t xml:space="preserve">.</w:t>
      </w:r>
    </w:p>
    <w:p>
      <w:pPr>
        <w:pStyle w:val="BodyText"/>
      </w:pPr>
      <w:r>
        <w:t xml:space="preserve">Beyond parameterization, the benefit of a systems-thinking approach in the context of microclimate modelling is its ability to capture vegetation and soil dynamics which can dramatically shape microclimate conditions within and between species dynamically across time. For example, plant water use dynamics during heatwaves can amplify or reduce high temperatures via effects on photosynthetic capacity, stomatal decoupling, cuticular conductance, leaf damage and plant mortality</w:t>
      </w:r>
      <w:r>
        <w:t xml:space="preserve"> </w:t>
      </w:r>
      <w:r>
        <w:t xml:space="preserve">[16,31]</w:t>
      </w:r>
      <w:r>
        <w:t xml:space="preserve">. These impacts are important for the plants themselves, but also for thermal regimes available to other organisms. Forecasting future thermal regimes is challenging because it involves forecasting future vegetation dynamics, including changes in key vegetation properties such as leaf area index, as a function of plant growth,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(e.g. APSIM,</w:t>
      </w:r>
      <w:r>
        <w:t xml:space="preserve"> </w:t>
      </w:r>
      <w:r>
        <w:t xml:space="preserve">[32]</w:t>
      </w:r>
      <w:r>
        <w:t xml:space="preserve">) up to the dynamic global vegetation models (DGVMs) that simulate vegetation function and distribution at local to global scales</w:t>
      </w:r>
      <w:r>
        <w:t xml:space="preserve"> </w:t>
      </w:r>
      <w:r>
        <w:t xml:space="preserve">[33]</w:t>
      </w:r>
      <w:r>
        <w:t xml:space="preserve">.</w:t>
      </w:r>
    </w:p>
    <w:bookmarkEnd w:id="27"/>
    <w:bookmarkStart w:id="28"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crucial to estimate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integument emissivity) along with how heat energy and water are exchanged with the environment – dependent on the microclimate experienced. Such</w:t>
      </w:r>
      <w:r>
        <w:t xml:space="preserve"> </w:t>
      </w:r>
      <w:r>
        <w:rPr>
          <w:b/>
          <w:bCs/>
        </w:rPr>
        <w:t xml:space="preserve">biophysical models</w:t>
      </w:r>
      <w:r>
        <w:t xml:space="preserve"> </w:t>
      </w:r>
      <w:r>
        <w:t xml:space="preserve">have a long history</w:t>
      </w:r>
      <w:r>
        <w:t xml:space="preserve">[34,35,e.g. 16]</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[17]</w:t>
      </w:r>
      <w:r>
        <w:t xml:space="preserve">. Biophysical models of ectothermic animals make use of equations for energy and mass exchange between an organism and its environment and can account for complex radiative heat transfer and the role of evaporative water loss across surfaces</w:t>
      </w:r>
      <w:r>
        <w:t xml:space="preserve"> </w:t>
      </w:r>
      <w:r>
        <w:t xml:space="preserve">[17,22,36]</w:t>
      </w:r>
      <w:r>
        <w:t xml:space="preserve">. Equivalent models of leaves incorporate the dynamic role of stomata</w:t>
      </w:r>
      <w:r>
        <w:t xml:space="preserve"> </w:t>
      </w:r>
      <w:r>
        <w:t xml:space="preserve">[16 &amp; Box 1,37]</w:t>
      </w:r>
      <w:r>
        <w:t xml:space="preserve">. Biophysical models are powerful because, by translating microclimate conditions to organism body temperature and hydric states, simple regulatory decision-making models can be used</w:t>
      </w:r>
      <w:r>
        <w:t xml:space="preserve"> </w:t>
      </w:r>
      <w:r>
        <w:t xml:space="preserve">[38,39]</w:t>
      </w:r>
      <w:r>
        <w:t xml:space="preserve">. For example, an organism’s current body temperature can be compared to temperatures available within its microclimate. Given an understanding of an organism’s thermal activity windows, thermal optima, and critical thermal limits suitable microclimates that lead to body temperatures within its thermal limits, and as close as possible to its thermal optima, can be chosen</w:t>
      </w:r>
      <w:r>
        <w:t xml:space="preserve"> </w:t>
      </w:r>
      <w:r>
        <w:t xml:space="preserve">[e.g., 38,39]</w:t>
      </w:r>
      <w:r>
        <w:t xml:space="preserve">. Incorporating such behavioural thermoregulatory decision making is crucial for mitigating the negative impacts of extreme heat and can inherently capture the trade-offs such a strategy entails through reduced foraging time</w:t>
      </w:r>
      <w:r>
        <w:t xml:space="preserve"> </w:t>
      </w:r>
      <w:r>
        <w:t xml:space="preserve">[17,38]</w:t>
      </w:r>
      <w:r>
        <w:t xml:space="preserve">. In addition, incorporating stomatal behaviour can mitigate or exacerbate the extreme temperatures leaf tissue experiences while simultaneously shaping the microclimate conditions for other organisms [Box 1;</w:t>
      </w:r>
      <w:r>
        <w:t xml:space="preserve"> </w:t>
      </w:r>
      <w:r>
        <w:t xml:space="preserve">[16]</w:t>
      </w:r>
      <w:r>
        <w:t xml:space="preserve">;</w:t>
      </w:r>
      <w:r>
        <w:t xml:space="preserve"> </w:t>
      </w:r>
      <w:r>
        <w:t xml:space="preserve">[40]</w:t>
      </w:r>
      <w:r>
        <w:t xml:space="preserve">]. Future developments in biophysical modelling of organismal temperature under extreme heat will involve understanding the nuances of plastic physiological and behavioral responses. For example, lizards may pant when exposed to high temperatures</w:t>
      </w:r>
      <w:r>
        <w:t xml:space="preserve"> </w:t>
      </w:r>
      <w:r>
        <w:t xml:space="preserve">[41]</w:t>
      </w:r>
      <w:r>
        <w:t xml:space="preserve">, birds may</w:t>
      </w:r>
      <w:r>
        <w:t xml:space="preserve"> </w:t>
      </w:r>
      <w:r>
        <w:t xml:space="preserve">‘wind surf’</w:t>
      </w:r>
      <w:r>
        <w:t xml:space="preserve"> </w:t>
      </w:r>
      <w:r>
        <w:t xml:space="preserve">or seek thermal micro-refugia</w:t>
      </w:r>
      <w:r>
        <w:t xml:space="preserve"> </w:t>
      </w:r>
      <w:r>
        <w:t xml:space="preserve">[42]</w:t>
      </w:r>
      <w:r>
        <w:t xml:space="preserve">, and stomatal behavior may depart from the typical responses to vapor pressure and light intensity to allow emergency cooling</w:t>
      </w:r>
      <w:r>
        <w:t xml:space="preserve"> </w:t>
      </w:r>
      <w:r>
        <w:t xml:space="preserve">[31]</w:t>
      </w:r>
      <w:r>
        <w:t xml:space="preserve">, though this response may depend on prior soil moisture conditions</w:t>
      </w:r>
      <w:r>
        <w:t xml:space="preserve"> </w:t>
      </w:r>
      <w:r>
        <w:t xml:space="preserve">[43]</w:t>
      </w:r>
      <w:r>
        <w:t xml:space="preserve">. While biophysical models require many variables for parameterization they can be tailored to the question and organism of interest</w:t>
      </w:r>
      <w:r>
        <w:t xml:space="preserve"> </w:t>
      </w:r>
      <w:r>
        <w:t xml:space="preserve">[17]</w:t>
      </w:r>
      <w:r>
        <w:t xml:space="preserve">. Many traits can be assumed, or traits of similar species can be used to construct basic models which can be validated and updated.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p>
    <w:bookmarkEnd w:id="28"/>
    <w:bookmarkStart w:id="33" w:name="X034f8e5698580bf7448238067f484f5e1d792b9"/>
    <w:p>
      <w:pPr>
        <w:pStyle w:val="Heading1"/>
      </w:pPr>
      <w:r>
        <w:t xml:space="preserve">Capturing both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[18,44]</w:t>
      </w:r>
      <w:r>
        <w:t xml:space="preserve">. Sensitivity to extreme heat can be captured by</w:t>
      </w:r>
      <w:r>
        <w:t xml:space="preserve"> </w:t>
      </w:r>
      <w:r>
        <w:rPr>
          <w:b/>
          <w:bCs/>
        </w:rPr>
        <w:t xml:space="preserve">thermal load sensitivity (TLS) / thermal death time (TDT)</w:t>
      </w:r>
      <w:r>
        <w:t xml:space="preserve"> </w:t>
      </w:r>
      <w:r>
        <w:t xml:space="preserve">models that explicitly account for how heat stress depends on both the temperature experienced and and its duration</w:t>
      </w:r>
      <w:r>
        <w:t xml:space="preserve"> </w:t>
      </w:r>
      <w:r>
        <w:t xml:space="preserve">[18,19]</w:t>
      </w:r>
      <w:r>
        <w:t xml:space="preserve">.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 Typically, TLS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reduced fertility, but this need not be the case</w:t>
      </w:r>
      <w:r>
        <w:t xml:space="preserve"> </w:t>
      </w:r>
      <w:r>
        <w:t xml:space="preserve">[19]</w:t>
      </w:r>
      <w:r>
        <w:t xml:space="preserve">. Endpoints are predicted by assuming the effect of time at a given temperature decreases survival or fertility exponentially and have been shown to have high predictive power</w:t>
      </w:r>
      <w:r>
        <w:t xml:space="preserve"> </w:t>
      </w:r>
      <w:r>
        <w:t xml:space="preserve">[10,11,18,44]</w:t>
      </w:r>
      <w:r>
        <w:t xml:space="preserve">. For example, Ørsted</w:t>
      </w:r>
      <w:r>
        <w:t xml:space="preserve"> </w:t>
      </w:r>
      <w:r>
        <w:rPr>
          <w:i/>
          <w:iCs/>
        </w:rPr>
        <w:t xml:space="preserve">et al.</w:t>
      </w:r>
      <w:r>
        <w:t xml:space="preserve"> </w:t>
      </w:r>
      <w:r>
        <w:t xml:space="preserve">[11]</w:t>
      </w:r>
      <w:r>
        <w:t xml:space="preserve"> </w:t>
      </w:r>
      <w:r>
        <w:t xml:space="preserve">show that both mortality and fecundity follow a clear exponential relationship with time in in the Spotted Wing Drosophila (</w:t>
      </w:r>
      <w:r>
        <w:rPr>
          <w:i/>
          <w:iCs/>
        </w:rPr>
        <w:t xml:space="preserve">Drosophila suzuki</w:t>
      </w:r>
      <w:r>
        <w:t xml:space="preserve">), with survival and fecundity being compromised most for long thermal exposures at high temperatures. Importantly, Ørsted</w:t>
      </w:r>
      <w:r>
        <w:t xml:space="preserve"> </w:t>
      </w:r>
      <w:r>
        <w:rPr>
          <w:i/>
          <w:iCs/>
        </w:rPr>
        <w:t xml:space="preserve">et al.</w:t>
      </w:r>
      <w:r>
        <w:t xml:space="preserve"> </w:t>
      </w:r>
      <w:r>
        <w:t xml:space="preserve">[11]</w:t>
      </w:r>
      <w:r>
        <w:t xml:space="preserve"> </w:t>
      </w:r>
      <w:r>
        <w:t xml:space="preserve">show that reproductive sensitivity can be higher than mortality, with heat injury accumulating faster to impact productivity earlier than survival. TLS theory also applies well to photosynthetic function in plants</w:t>
      </w:r>
      <w:r>
        <w:t xml:space="preserve"> </w:t>
      </w:r>
      <w:r>
        <w:t xml:space="preserve">[45,46]</w:t>
      </w:r>
      <w:r>
        <w:t xml:space="preserve">, highlighting the potential generality of the TLS framework and its capacity to explore plastic responses (e.g., acclimation and priming) of organisms. TLS models are crucial for predicting how heat waves affect organisms because accumulated damage to physiological systems can result in lagged responses to heat stress or exacerbate future stress (i.e., future heat waves / droughts) – a common feature of extreme heat events</w:t>
      </w:r>
      <w:r>
        <w:t xml:space="preserve"> </w:t>
      </w:r>
      <w:r>
        <w:t xml:space="preserve">[19,47]</w:t>
      </w:r>
      <w:r>
        <w:t xml:space="preserve">.</w:t>
      </w:r>
    </w:p>
    <w:p>
      <w:pPr>
        <w:pStyle w:val="BodyText"/>
      </w:pPr>
      <w:r>
        <w:t xml:space="preserve">Environmental factors known to impact thermal sensitivity, such as water and drought stress</w:t>
      </w:r>
      <w:r>
        <w:t xml:space="preserve"> </w:t>
      </w:r>
      <w:r>
        <w:t xml:space="preserve">[e.g., 48,49]</w:t>
      </w:r>
      <w:r>
        <w:t xml:space="preserve"> </w:t>
      </w:r>
      <w:r>
        <w:t xml:space="preserve">along with nutritional and dietary changes</w:t>
      </w:r>
      <w:r>
        <w:t xml:space="preserve"> </w:t>
      </w:r>
      <w:r>
        <w:t xml:space="preserve">[e.g., 50,51]</w:t>
      </w:r>
      <w:r>
        <w:t xml:space="preserve"> </w:t>
      </w:r>
      <w:r>
        <w:t xml:space="preserve">can also be incorporated into systems modelling approach through their impacts on thermal sensitivity and tolerance , </w:t>
      </w:r>
      <w:hyperlink w:anchor="fig-sys">
        <w:r>
          <w:rPr>
            <w:rStyle w:val="Hyperlink"/>
          </w:rPr>
          <w:t xml:space="preserve">Figure 1</w:t>
        </w:r>
      </w:hyperlink>
      <w:r>
        <w:t xml:space="preserve">.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[52,53]</w:t>
      </w:r>
      <w:r>
        <w:t xml:space="preserve">, and gut microbiotia can impact heat tolerance in animals</w:t>
      </w:r>
      <w:r>
        <w:t xml:space="preserve"> </w:t>
      </w:r>
      <w:r>
        <w:t xml:space="preserve">[54]</w:t>
      </w:r>
      <w:r>
        <w:t xml:space="preserve">. Additionally, modelling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Building a systems modelling approach to capture multi-species exposure to extreme heat</w:t>
            </w:r>
          </w:p>
          <w:p>
            <w:pPr>
              <w:pStyle w:val="BodyText"/>
            </w:pPr>
            <w:pPr>
              <w:spacing w:before="16"/>
            </w:pPr>
            <w:r>
              <w:t xml:space="preserve">Using a simple hypothetical community (</w:t>
            </w:r>
            <w:hyperlink w:anchor="fig-box1">
              <w:r>
                <w:rPr>
                  <w:rStyle w:val="Hyperlink"/>
                </w:rPr>
                <w:t xml:space="preserve">Figure 2</w:t>
              </w:r>
            </w:hyperlink>
            <w:r>
              <w:t xml:space="preserve">) we outline how a systems-modelling approach can be developed. In Box 1 we focus on how climate, microclimate, and biophysical models can predict the differential exposure to extreme heat events across species, how species can alter each others microclimates and incorporate</w:t>
            </w:r>
            <w:r>
              <w:t xml:space="preserve"> </w:t>
            </w:r>
            <w:r>
              <w:t xml:space="preserve">‘behavioural’</w:t>
            </w:r>
            <w:r>
              <w:t xml:space="preserve"> </w:t>
            </w:r>
            <w:r>
              <w:t xml:space="preserve">responses of species in response to temperature (e.g., stomatal behaviour, thermoregulation). In Box 2, we then demonstrate how we can use the predicted organismal temperatures from these models to predict life-cycles for species that incorporate differences in thermal sensitivity, and are used to estimate vital rates for population and community models.</w:t>
            </w:r>
          </w:p>
          <w:p>
            <w:pPr>
              <w:pStyle w:val="BodyText"/>
            </w:pPr>
            <w:r>
              <w:t xml:space="preserve">To begin, we use natural climate data collected during a heatwave event in January 2018/19 at Renmark, South Australia (Calperum Station). Briefly, we use the</w:t>
            </w:r>
            <w:r>
              <w:t xml:space="preserve"> </w:t>
            </w:r>
            <w:r>
              <w:rPr>
                <w:rStyle w:val="VerbatimChar"/>
              </w:rPr>
              <w:t xml:space="preserve">micro_silo</w:t>
            </w:r>
            <w:r>
              <w:t xml:space="preserve"> </w:t>
            </w:r>
            <w:r>
              <w:t xml:space="preserve">function in</w:t>
            </w:r>
            <w:r>
              <w:t xml:space="preserve"> </w:t>
            </w:r>
            <w:r>
              <w:rPr>
                <w:i/>
                <w:iCs/>
              </w:rPr>
              <w:t xml:space="preserve">NicheMapR</w:t>
            </w:r>
            <w:r>
              <w:t xml:space="preserve"> </w:t>
            </w:r>
            <w:r>
              <w:t xml:space="preserve">[16,55]</w:t>
            </w:r>
            <w:r>
              <w:t xml:space="preserve"> </w:t>
            </w:r>
            <w:r>
              <w:t xml:space="preserve">in conjunction with</w:t>
            </w:r>
            <w:r>
              <w:t xml:space="preserve"> </w:t>
            </w:r>
            <w:r>
              <w:rPr>
                <w:i/>
                <w:iCs/>
              </w:rPr>
              <w:t xml:space="preserve">microclima</w:t>
            </w:r>
            <w:r>
              <w:t xml:space="preserve"> </w:t>
            </w:r>
            <w:r>
              <w:t xml:space="preserve">[23,24]</w:t>
            </w:r>
            <w:r>
              <w:t xml:space="preserve"> </w:t>
            </w:r>
            <w:r>
              <w:t xml:space="preserve">in the R statistical language.</w:t>
            </w:r>
            <w:r>
              <w:t xml:space="preserve"> </w:t>
            </w:r>
            <w:r>
              <w:rPr>
                <w:rStyle w:val="VerbatimChar"/>
              </w:rPr>
              <w:t xml:space="preserve">micro_silo</w:t>
            </w:r>
            <w:r>
              <w:t xml:space="preserve"> </w:t>
            </w:r>
            <w:r>
              <w:t xml:space="preserve">uses climate data from 1889 to present (https://www.longpaddock.qld.gov.au/silo/) to compute microclimates. By default</w:t>
            </w:r>
            <w:r>
              <w:t xml:space="preserve"> </w:t>
            </w:r>
            <w:r>
              <w:rPr>
                <w:rStyle w:val="VerbatimChar"/>
              </w:rPr>
              <w:t xml:space="preserve">micro_silo</w:t>
            </w:r>
            <w:r>
              <w:t xml:space="preserve"> </w:t>
            </w:r>
            <w:r>
              <w:t xml:space="preserve">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p>
          <w:p>
            <w:pPr>
              <w:pStyle w:val="BodyText"/>
            </w:pPr>
            <w:r>
              <w:t xml:space="preserve">Now that we have available microclimates, we compute leaf and body temperatures using biophysical models. However, our insects are residing on plants, and plant stoma change in response to extreme heat events. We’ll first model leaf temperatures that capture stomatal behaviour with the help of the</w:t>
            </w:r>
            <w:r>
              <w:t xml:space="preserve"> </w:t>
            </w:r>
            <w:r>
              <w:rPr>
                <w:i/>
                <w:iCs/>
              </w:rPr>
              <w:t xml:space="preserve">plantecophys</w:t>
            </w:r>
            <w:r>
              <w:t xml:space="preserve"> </w:t>
            </w:r>
            <w:r>
              <w:t xml:space="preserve">package</w:t>
            </w:r>
            <w:r>
              <w:t xml:space="preserve"> </w:t>
            </w:r>
            <w:r>
              <w:t xml:space="preserve">[37]</w:t>
            </w:r>
            <w:r>
              <w:t xml:space="preserve">. Here, we define traits of the leaf and use the</w:t>
            </w:r>
            <w:r>
              <w:t xml:space="preserve"> </w:t>
            </w:r>
            <w:r>
              <w:rPr>
                <w:rStyle w:val="VerbatimChar"/>
              </w:rPr>
              <w:t xml:space="preserve">ectotherm</w:t>
            </w:r>
            <w:r>
              <w:t xml:space="preserve"> </w:t>
            </w:r>
            <w:r>
              <w:t xml:space="preserve">function in</w:t>
            </w:r>
            <w:r>
              <w:t xml:space="preserve"> </w:t>
            </w:r>
            <w:r>
              <w:rPr>
                <w:i/>
                <w:iCs/>
              </w:rPr>
              <w:t xml:space="preserve">NicheMapR</w:t>
            </w:r>
            <w:r>
              <w:t xml:space="preserve"> </w:t>
            </w:r>
            <w:r>
              <w:t xml:space="preserve">to compute realistic leaf temperatures as stoma open and close in response to temperature and vapor pressure deficit. The combination of microclimate, leaf traits (e.g., shape, leaf conductance, emissivity) and stomatal behaviour allows us to compute realistic leaf temperatures during the heatwave event.</w:t>
            </w:r>
          </w:p>
          <w:p>
            <w:pPr>
              <w:pStyle w:val="BodyText"/>
            </w:pPr>
            <w:r>
              <w:t xml:space="preserve">Once we have leaf temperatures, we can assume these now form part of the microclimate for our insect species. Using the</w:t>
            </w:r>
            <w:r>
              <w:t xml:space="preserve"> </w:t>
            </w:r>
            <w:r>
              <w:rPr>
                <w:rStyle w:val="VerbatimChar"/>
              </w:rPr>
              <w:t xml:space="preserve">ectotherm</w:t>
            </w:r>
            <w:r>
              <w:t xml:space="preserve"> </w:t>
            </w:r>
            <w:r>
              <w:t xml:space="preserve">function in</w:t>
            </w:r>
            <w:r>
              <w:t xml:space="preserve"> </w:t>
            </w:r>
            <w:r>
              <w:rPr>
                <w:i/>
                <w:iCs/>
              </w:rPr>
              <w:t xml:space="preserve">NicheMapR</w:t>
            </w:r>
            <w:r>
              <w:t xml:space="preserve"> </w:t>
            </w:r>
            <w:r>
              <w:t xml:space="preserve">again, we now provide the temperatures in the vicinity of the plants, along with insect traits to compute insect body temperatures. Insects are able to thermoregulate behaviourally,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p>
          <w:tbl>
            <w:tblPr>
              <w:tblStyle w:val="Table"/>
              <w:tblW w:type="pct" w:w="5000"/>
              <w:tblLayout w:type="fixed"/>
              <w:tblLook w:firstRow="0" w:lastRow="0" w:firstColumn="0" w:lastColumn="0" w:noHBand="0" w:noVBand="0" w:val="0000"/>
            </w:tblPr>
            <w:tblGrid>
              <w:gridCol w:w="7920"/>
            </w:tblGrid>
            <w:tr>
              <w:tc>
                <w:tcPr/>
                <w:bookmarkStart w:id="32" w:name="fig-box1"/>
                <w:p>
                  <w:pPr>
                    <w:pStyle w:val="Compact"/>
                    <w:jc w:val="center"/>
                  </w:pPr>
                  <w:r>
                    <w:drawing>
                      <wp:inline>
                        <wp:extent cx="6680200" cy="4157311"/>
                        <wp:effectExtent b="0" l="0" r="0" t="0"/>
                        <wp:docPr descr="" title="" id="30" name="Picture"/>
                        <a:graphic>
                          <a:graphicData uri="http://schemas.openxmlformats.org/drawingml/2006/picture">
                            <pic:pic>
                              <pic:nvPicPr>
                                <pic:cNvPr descr="ms_files/figure-docx/fig-box1-1.png" id="31" name="Picture"/>
                                <pic:cNvPicPr>
                                  <a:picLocks noChangeArrowheads="1" noChangeAspect="1"/>
                                </pic:cNvPicPr>
                              </pic:nvPicPr>
                              <pic:blipFill>
                                <a:blip r:embed="rId29"/>
                                <a:stretch>
                                  <a:fillRect/>
                                </a:stretch>
                              </pic:blipFill>
                              <pic:spPr bwMode="auto">
                                <a:xfrm>
                                  <a:off x="0" y="0"/>
                                  <a:ext cx="6680200" cy="41573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Figure I: Predicting and coupling microclimate and biophysical models of plants and insects. Created with BioRender.com.</w:t>
                  </w:r>
                </w:p>
                <w:bookmarkEnd w:id="32"/>
              </w:tc>
            </w:tr>
          </w:tbl>
          <w:p>
            <w:pPr>
              <w:pStyle w:val="BodyText"/>
            </w:pPr>
            <w:pPr>
              <w:spacing w:after="16"/>
            </w:pPr>
            <w:r>
              <w:t xml:space="preserve">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[10,11,19,44]</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pPr>
            <w:r>
              <w:rPr>
                <w:b/>
                <w:bCs/>
              </w:rPr>
              <w:t xml:space="preserve">Coexistence</w:t>
            </w:r>
            <w:r>
              <w:t xml:space="preserve">: Coexistence occurs when populations of two or more species are able to persist in each other’s presence indefinitely under constant, equilibrium conditions.</w:t>
            </w:r>
          </w:p>
          <w:p>
            <w:pPr>
              <w:pStyle w:val="BodyText"/>
            </w:pPr>
            <w:r>
              <w:rPr>
                <w:b/>
                <w:bCs/>
              </w:rPr>
              <w:t xml:space="preserve">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pPr>
              <w:pStyle w:val="BodyText"/>
            </w:pP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pPr>
              <w:pStyle w:val="BodyText"/>
            </w:pPr>
            <w:r>
              <w:rPr>
                <w:b/>
                <w:bCs/>
              </w:rPr>
              <w:t xml:space="preserve">Biophysical models</w:t>
            </w:r>
            <w:r>
              <w:t xml:space="preserve">: Biophysical models capture the balances of heat, water, and other aspects of energy and mass exchange between organisms and their microclimatic environmment to predict how organisms function, survive, and behave in varying environments.</w:t>
            </w:r>
          </w:p>
          <w:p>
            <w:pPr>
              <w:pStyle w:val="BodyText"/>
            </w:pPr>
            <w:r>
              <w:rPr>
                <w:b/>
                <w:bCs/>
              </w:rPr>
              <w:t xml:space="preserve">Thermal load sensitivity (TLS) / thermal death time (TDT) models</w:t>
            </w:r>
            <w:r>
              <w:t xml:space="preserve">: Models that use biophysical models to predict organism temperature and calculate thermal load that captures lethal and sublethal impacts on tissues, organs and whole organisms.</w:t>
            </w:r>
          </w:p>
          <w:p>
            <w:pPr>
              <w:pStyle w:val="BodyText"/>
            </w:pPr>
            <w:pPr>
              <w:spacing w:after="16"/>
            </w:pPr>
            <w:r>
              <w:rPr>
                <w:b/>
                <w:bCs/>
              </w:rPr>
              <w:t xml:space="preserve">Vital rates</w:t>
            </w:r>
            <w:r>
              <w:t xml:space="preserve">: Demographic parameters that determine how populations change over time. They include measures of birth, death, growth, and reproduction.</w:t>
            </w:r>
          </w:p>
        </w:tc>
      </w:tr>
    </w:tbl>
    <w:bookmarkEnd w:id="33"/>
    <w:bookmarkStart w:id="34" w:name="Xa42fff9f9b55ab8c457a10a6df2c5c7c3edac3c"/>
    <w:p>
      <w:pPr>
        <w:pStyle w:val="Heading1"/>
      </w:pPr>
      <w:r>
        <w:t xml:space="preserve">Physiological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(senescence) through time</w:t>
      </w:r>
      <w:r>
        <w:t xml:space="preserve"> </w:t>
      </w:r>
      <w:r>
        <w:t xml:space="preserve">[14,56]</w:t>
      </w:r>
      <w:r>
        <w:t xml:space="preserve">. DEB models consider organisms as a thermodynamic system (adhering to energy-mass balance) capturing the exchange of food, water, respiratory gases and metabolic waste throughout the life cycle</w:t>
      </w:r>
      <w:r>
        <w:t xml:space="preserve"> </w:t>
      </w:r>
      <w:r>
        <w:t xml:space="preserve">[17]</w:t>
      </w:r>
      <w:r>
        <w:t xml:space="preserve">. DEB models can translate short-term (hourly) variation in factors such as temperature, toxins (e.g., toxicants,</w:t>
      </w:r>
      <w:r>
        <w:t xml:space="preserve"> </w:t>
      </w:r>
      <w:r>
        <w:t xml:space="preserve">[57]</w:t>
      </w:r>
      <w:r>
        <w:t xml:space="preserve">) and resource availability (nutrients)</w:t>
      </w:r>
      <w:r>
        <w:t xml:space="preserve"> </w:t>
      </w:r>
      <w:r>
        <w:t xml:space="preserve">[58,59]</w:t>
      </w:r>
      <w:r>
        <w:t xml:space="preserve"> </w:t>
      </w:r>
      <w:r>
        <w:t xml:space="preserve">into long-term (days, months, years) effects on development, growth, reproduction and survival</w:t>
      </w:r>
      <w:r>
        <w:t xml:space="preserve"> </w:t>
      </w:r>
      <w:r>
        <w:t xml:space="preserve">[15,17]</w:t>
      </w:r>
      <w:r>
        <w:t xml:space="preserve">. DEB theory, when combined with biophysical models more generally, allows the full water budget to be computed to account for heat stress impacts of a hydric nature</w:t>
      </w:r>
      <w:r>
        <w:t xml:space="preserve"> </w:t>
      </w:r>
      <w:r>
        <w:t xml:space="preserve">[17]</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w:t>
      </w:r>
      <w:r>
        <w:rPr>
          <w:b/>
          <w:bCs/>
        </w:rPr>
        <w:t xml:space="preserve">Box 2</w:t>
      </w:r>
      <w:r>
        <w:t xml:space="preserve">). DEB models integrate many fundamental physiological processes, and necessary parameters have been estimated for &gt; 6000 species already (although there are taxonomic biases)</w:t>
      </w:r>
      <w:r>
        <w:t xml:space="preserve"> </w:t>
      </w:r>
      <w:r>
        <w:t xml:space="preserve">[60,61]</w:t>
      </w:r>
      <w:r>
        <w:t xml:space="preserve">. New analytical approaches using phylogenetic imputation methods show promise for calculating energy budgets for species without data. Such methods have, for instance, already been used to predict DEB parameters for over 1.3 million animal species</w:t>
      </w:r>
      <w:r>
        <w:t xml:space="preserve"> </w:t>
      </w:r>
      <w:r>
        <w:t xml:space="preserve">[see, 62]</w:t>
      </w:r>
      <w:r>
        <w:t xml:space="preserve">. In addition, software packages such as</w:t>
      </w:r>
      <w:r>
        <w:t xml:space="preserve"> </w:t>
      </w:r>
      <w:r>
        <w:rPr>
          <w:i/>
          <w:iCs/>
        </w:rPr>
        <w:t xml:space="preserve">NicheMapR</w:t>
      </w:r>
      <w:r>
        <w:t xml:space="preserve"> </w:t>
      </w:r>
      <w:r>
        <w:t xml:space="preserve">[22,55]</w:t>
      </w:r>
      <w:r>
        <w:t xml:space="preserve"> </w:t>
      </w:r>
      <w:r>
        <w:t xml:space="preserve">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w:t>
      </w:r>
      <w:r>
        <w:t xml:space="preserve"> </w:t>
      </w:r>
      <w:r>
        <w:rPr>
          <w:b/>
          <w:bCs/>
        </w:rPr>
        <w:t xml:space="preserve">Box 3</w:t>
      </w:r>
      <w:r>
        <w:t xml:space="preserve">).</w:t>
      </w:r>
    </w:p>
    <w:p>
      <w:pPr>
        <w:pStyle w:val="BodyText"/>
      </w:pPr>
      <w:r>
        <w:t xml:space="preserve">Analogously, physiologically-based vegetation models simulate plant growth over time as a function of carbon, water and nutrient uptake and use, following mass balance principles</w:t>
      </w:r>
      <w:r>
        <w:t xml:space="preserve"> </w:t>
      </w:r>
      <w:r>
        <w:t xml:space="preserve">[63]</w:t>
      </w:r>
      <w:r>
        <w:t xml:space="preserve">.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w:t>
      </w:r>
      <w:r>
        <w:t xml:space="preserve"> </w:t>
      </w:r>
      <w:r>
        <w:t xml:space="preserve">[64]</w:t>
      </w:r>
      <w:r>
        <w:t xml:space="preserve">.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w:t>
      </w:r>
      <w:r>
        <w:t xml:space="preserve"> </w:t>
      </w:r>
      <w:r>
        <w:t xml:space="preserve">[65]</w:t>
      </w:r>
      <w:r>
        <w:t xml:space="preserve">. Direct damage to plant tissue from extreme heat has yet to be represented in such models, but the thermal death time framework outlined above offers a promising way forward.</w:t>
      </w:r>
    </w:p>
    <w:bookmarkEnd w:id="34"/>
    <w:bookmarkStart w:id="41" w:name="Xe20b556bb99a49ef81dd5b1307d42fae8e49e0c"/>
    <w:p>
      <w:pPr>
        <w:pStyle w:val="Heading1"/>
      </w:pPr>
      <w:r>
        <w:t xml:space="preserve">Mechanistic approaches that</w:t>
      </w:r>
      <w:r>
        <w:t xml:space="preserve"> </w:t>
      </w:r>
      <w:r>
        <w:t xml:space="preserve">‘speak’</w:t>
      </w:r>
      <w:r>
        <w:t xml:space="preserve"> </w:t>
      </w:r>
      <w:r>
        <w:t xml:space="preserve">to population and community ecology under extreme heat</w:t>
      </w:r>
    </w:p>
    <w:p>
      <w:pPr>
        <w:pStyle w:val="FirstParagraph"/>
      </w:pPr>
      <w:r>
        <w:rPr>
          <w:b/>
          <w:bCs/>
        </w:rPr>
        <w:t xml:space="preserve">Coexistence</w:t>
      </w:r>
      <w:r>
        <w:t xml:space="preserve"> </w:t>
      </w:r>
      <w:r>
        <w:t xml:space="preserve">models provide powerful opportunities to understand interactions of species and model whole community responses to extreme climate events. Modern coexistence theory [MCT;</w:t>
      </w:r>
      <w:r>
        <w:t xml:space="preserve"> </w:t>
      </w:r>
      <w:r>
        <w:t xml:space="preserve">[66]</w:t>
      </w:r>
      <w:r>
        <w:t xml:space="preserve">] uses simple two-species individual-based population growth models</w:t>
      </w:r>
      <w:r>
        <w:t xml:space="preserve"> </w:t>
      </w:r>
      <w:r>
        <w:t xml:space="preserve">[67,68]</w:t>
      </w:r>
      <w:r>
        <w:t xml:space="preserve">, to determine how interactions between species at the individual level lead to</w:t>
      </w:r>
      <w:r>
        <w:t xml:space="preserve"> </w:t>
      </w:r>
      <w:r>
        <w:t xml:space="preserve">“coexistence”</w:t>
      </w:r>
      <w:r>
        <w:t xml:space="preserve">.</w:t>
      </w:r>
    </w:p>
    <w:p>
      <w:pPr>
        <w:pStyle w:val="BodyText"/>
      </w:pPr>
      <w:r>
        <w:t xml:space="preserve">Population dynamic models calculate the individual fitness effect of interactions</w:t>
      </w:r>
      <w:r>
        <w:t xml:space="preserve"> </w:t>
      </w:r>
      <w:r>
        <w:t xml:space="preserve">[69]</w:t>
      </w:r>
      <w:r>
        <w:t xml:space="preserve"> </w:t>
      </w:r>
      <w:r>
        <w:t xml:space="preserve">(</w:t>
      </w:r>
      <w:r>
        <w:rPr>
          <w:b/>
          <w:bCs/>
        </w:rPr>
        <w:t xml:space="preserve">Box 2</w:t>
      </w:r>
      <w:r>
        <w:t xml:space="preserve">). These models can incorporate variation in the environment</w:t>
      </w:r>
      <w:r>
        <w:t xml:space="preserve"> </w:t>
      </w:r>
      <w:r>
        <w:t xml:space="preserve">[20]</w:t>
      </w:r>
      <w:r>
        <w:t xml:space="preserve"> </w:t>
      </w:r>
      <w:r>
        <w:t xml:space="preserve">and in the outcome of interactions themselves</w:t>
      </w:r>
      <w:r>
        <w:t xml:space="preserve"> </w:t>
      </w:r>
      <w:r>
        <w:t xml:space="preserve">[70]</w:t>
      </w:r>
      <w:r>
        <w:t xml:space="preserve">. As these models use the same fitness measures as DEB models, they offer a population modelling framework to add thermal biology to community diversity predictions. This is because population dynamical models can be combined, for example as networks</w:t>
      </w:r>
      <w:r>
        <w:t xml:space="preserve"> </w:t>
      </w:r>
      <w:r>
        <w:t xml:space="preserve">[71]</w:t>
      </w:r>
      <w:r>
        <w:t xml:space="preserve">, and compared between microsites with different biophysical properties and composed of species with different thermal responses to their microenvironment. For example, Bimler</w:t>
      </w:r>
      <w:r>
        <w:t xml:space="preserve"> </w:t>
      </w:r>
      <w:r>
        <w:rPr>
          <w:i/>
          <w:iCs/>
        </w:rPr>
        <w:t xml:space="preserve">et al</w:t>
      </w:r>
      <w:r>
        <w:t xml:space="preserve"> </w:t>
      </w:r>
      <w:r>
        <w:t xml:space="preserve">[71]</w:t>
      </w:r>
      <w:r>
        <w:t xml:space="preserve"> </w:t>
      </w:r>
      <w:r>
        <w:t xml:space="preserve">used this approach to determine which species were keystone species under shady and sunny portions of the same plant communities.</w:t>
      </w:r>
    </w:p>
    <w:p>
      <w:pPr>
        <w:pStyle w:val="BodyText"/>
      </w:pPr>
      <w:r>
        <w:t xml:space="preserve">Modified</w:t>
      </w:r>
      <w:r>
        <w:t xml:space="preserve"> </w:t>
      </w:r>
      <w:r>
        <w:rPr>
          <w:b/>
          <w:bCs/>
        </w:rPr>
        <w:t xml:space="preserve">vital rate</w:t>
      </w:r>
      <w:r>
        <w:t xml:space="preserve"> </w:t>
      </w:r>
      <w:r>
        <w:t xml:space="preserve">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w:t>
      </w:r>
      <w:r>
        <w:t xml:space="preserve"> </w:t>
      </w:r>
      <w:r>
        <w:rPr>
          <w:b/>
          <w:bCs/>
        </w:rPr>
        <w:t xml:space="preserve">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w:t>
      </w:r>
      <w:r>
        <w:t xml:space="preserve"> </w:t>
      </w:r>
      <w:r>
        <w:t xml:space="preserve">‘trait’</w:t>
      </w:r>
      <w:r>
        <w:t xml:space="preserve"> </w:t>
      </w:r>
      <w:r>
        <w:t xml:space="preserve">or shared phylogenetic relationships, which are simplifications shown to be effective at reducing model complexity without sacrificing model accuracy</w:t>
      </w:r>
      <w:r>
        <w:t xml:space="preserve"> </w:t>
      </w:r>
      <w:r>
        <w:t xml:space="preserve">[72]</w:t>
      </w:r>
      <w:r>
        <w:t xml:space="preserve">.</w:t>
      </w:r>
    </w:p>
    <w:p>
      <w:pPr>
        <w:pStyle w:val="BodyText"/>
      </w:pPr>
      <w:r>
        <w:t xml:space="preserve">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21]</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Scaling up extreme heat effects from impacts on individuals of species to communities</w:t>
            </w:r>
          </w:p>
          <w:p>
            <w:pPr>
              <w:pStyle w:val="BodyText"/>
            </w:pPr>
            <w:pPr>
              <w:spacing w:before="16"/>
            </w:pPr>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life-cycles for two interacting grasshopper species under their respective microclimates.</w:t>
            </w:r>
          </w:p>
          <w:p>
            <w:pPr>
              <w:pStyle w:val="BodyText"/>
            </w:pPr>
            <w:r>
              <w:t xml:space="preserve">To start, using existing parameters for a dynamic energy budget (DEB) model for a grasshopper</w:t>
            </w:r>
            <w:r>
              <w:t xml:space="preserve"> </w:t>
            </w:r>
            <w:r>
              <w:t xml:space="preserve">[73]</w:t>
            </w:r>
            <w:r>
              <w:t xml:space="preserve"> </w:t>
            </w:r>
            <w:r>
              <w:t xml:space="preserve">we can use the</w:t>
            </w:r>
            <w:r>
              <w:t xml:space="preserve"> </w:t>
            </w:r>
            <w:r>
              <w:rPr>
                <w:rStyle w:val="VerbatimChar"/>
              </w:rPr>
              <w:t xml:space="preserve">ectotherm</w:t>
            </w:r>
            <w:r>
              <w:t xml:space="preserve"> </w:t>
            </w:r>
            <w:r>
              <w:t xml:space="preserve">function in</w:t>
            </w:r>
            <w:r>
              <w:t xml:space="preserve"> </w:t>
            </w:r>
            <w:r>
              <w:rPr>
                <w:i/>
                <w:iCs/>
              </w:rPr>
              <w:t xml:space="preserve">NicheMapR</w:t>
            </w:r>
            <w:r>
              <w:t xml:space="preserve">, to simulate life cycles for each of the two species. We assume that both species have similar DEB parameters but vary in their life-history, thermal physiology, size and reproduction, which we include in our DEB model (see Figure I in Box 1).</w:t>
            </w:r>
          </w:p>
          <w:p>
            <w:pPr>
              <w:pStyle w:val="BodyText"/>
            </w:pPr>
            <w:r>
              <w:t xml:space="preserve">DEB models incorporate a simple Gompertz mortality function to capture senescence, but do not integrate the effects of thermal load accumulation in response to extreme heat events into survival functions (we assume reproduction is not impacted for simplicity). Using thermal sensitivity parameters from TLS (i.e. </w:t>
            </w:r>
            <m:oMath>
              <m:r>
                <m:t>z</m:t>
              </m:r>
            </m:oMath>
            <w:r>
              <w:t xml:space="preserve">, slope and</w:t>
            </w:r>
            <w:r>
              <w:t xml:space="preserve"> </w:t>
            </w:r>
            <m:oMath>
              <m:r>
                <m:t>α</m:t>
              </m:r>
            </m:oMath>
            <w:r>
              <w:t xml:space="preserve"> </w:t>
            </w:r>
            <w:r>
              <w:t xml:space="preserve">= critical thermal limit), which differ for each species, we can calculate heat injury (HI) accumulated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(using an</w:t>
            </w:r>
            <w:r>
              <w:t xml:space="preserve"> </w:t>
            </w:r>
            <m:oMath>
              <m:r>
                <m:t>L</m:t>
              </m:r>
              <m:sSub>
                <m:e>
                  <m:r>
                    <m:t>T</m:t>
                  </m:r>
                </m:e>
                <m:sub>
                  <m:r>
                    <m:t>100</m:t>
                  </m:r>
                </m:sub>
              </m:sSub>
            </m:oMath>
            <w:r>
              <w:t xml:space="preserve"> </w:t>
            </w:r>
            <w:r>
              <w:t xml:space="preserve">threshold), and integrate this across life (</w:t>
            </w:r>
            <w:hyperlink w:anchor="eq-hi">
              <w:r>
                <w:rPr>
                  <w:rStyle w:val="Hyperlink"/>
                </w:rPr>
                <w:t xml:space="preserve">Equation 1</w:t>
              </w:r>
            </w:hyperlink>
            <w:r>
              <w:t xml:space="preserve">) (Fig IIA).</w:t>
            </w:r>
          </w:p>
          <w:p>
            <w:pPr>
              <w:pStyle w:val="BodyText"/>
            </w:pPr>
            <w:bookmarkStart w:id="35"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5"/>
          </w:p>
          <w:p>
            <w:pPr>
              <w:pStyle w:val="FirstParagraph"/>
            </w:pPr>
            <w:r>
              <w:t xml:space="preserve">After calculating HI, and thus probability of mortality through time, we can multiply the mortality rate at each time step</w:t>
            </w:r>
            <w:r>
              <w:t xml:space="preserve"> </w:t>
            </w:r>
            <m:oMath>
              <m:r>
                <m:t>t</m:t>
              </m:r>
            </m:oMath>
            <w:r>
              <w:t xml:space="preserve"> </w:t>
            </w:r>
            <w:r>
              <w:t xml:space="preserve">from the Gompertz mortality rate and the mortality rate due to HI accumulation from TLS. In combination with the DEB model outputs on total reproduction across life, we can build a simple stage-structured population matrix (Fig IIB) to estimate population growth rate (</w:t>
            </w:r>
            <m:oMath>
              <m:sSub>
                <m:e>
                  <m:r>
                    <m:t>r</m:t>
                  </m:r>
                </m:e>
                <m:sub>
                  <m:r>
                    <m:t>m</m:t>
                  </m:r>
                  <m:r>
                    <m:t>a</m:t>
                  </m:r>
                  <m:r>
                    <m:t>x</m:t>
                  </m:r>
                </m:sub>
              </m:sSub>
            </m:oMath>
            <w:r>
              <w:t xml:space="preserve"> </w:t>
            </w:r>
            <w:r>
              <w:t xml:space="preserve">= ln(</w:t>
            </w:r>
            <m:oMath>
              <m:r>
                <m:t>λ</m:t>
              </m:r>
            </m:oMath>
            <w:r>
              <w:t xml:space="preserve">)) for each species under their respective microclimates and include this in a two-species Ricker model to calculation their population growth under competition (</w:t>
            </w:r>
            <w:hyperlink w:anchor="eq-general">
              <w:r>
                <w:rPr>
                  <w:rStyle w:val="Hyperlink"/>
                </w:rPr>
                <w:t xml:space="preserve">Equation 2</w:t>
              </w:r>
            </w:hyperlink>
            <w:r>
              <w:t xml:space="preserve">).</w:t>
            </w:r>
          </w:p>
          <w:p>
            <w:pPr>
              <w:pStyle w:val="BodyText"/>
            </w:pPr>
            <w:bookmarkStart w:id="36" w:name="eq-general"/>
            <m:oMathPara>
              <m:oMathParaPr>
                <m:jc m:val="center"/>
              </m:oMathParaPr>
              <m:oMath>
                <m:sSubSup>
                  <m:e>
                    <m:r>
                      <m:t>N</m:t>
                    </m:r>
                  </m:e>
                  <m:sub>
                    <m:r>
                      <m:t>t</m:t>
                    </m:r>
                    <m:r>
                      <m:rPr>
                        <m:sty m:val="p"/>
                      </m:rPr>
                      <m:t>+</m:t>
                    </m:r>
                    <m:r>
                      <m:t>1</m:t>
                    </m:r>
                  </m:sub>
                  <m:sup>
                    <m:r>
                      <m:t>i</m:t>
                    </m:r>
                  </m:sup>
                </m:sSubSup>
                <m:r>
                  <m:rPr>
                    <m:sty m:val="p"/>
                  </m:rPr>
                  <m:t>=</m:t>
                </m:r>
                <m:sSubSup>
                  <m:e>
                    <m:r>
                      <m:t>N</m:t>
                    </m:r>
                  </m:e>
                  <m:sub>
                    <m:r>
                      <m:t>t</m:t>
                    </m:r>
                  </m:sub>
                  <m:sup>
                    <m:r>
                      <m:t>i</m:t>
                    </m:r>
                  </m:sup>
                </m:sSubSup>
                <m:r>
                  <m:rPr>
                    <m:sty m:val="p"/>
                  </m:rPr>
                  <m:t>⋅</m:t>
                </m:r>
                <m:sSubSup>
                  <m:e>
                    <m:r>
                      <m:t>λ</m:t>
                    </m:r>
                  </m:e>
                  <m:sub>
                    <m:r>
                      <m:t>i</m:t>
                    </m:r>
                  </m:sub>
                  <m:sup>
                    <m:d>
                      <m:dPr>
                        <m:begChr m:val="("/>
                        <m:sepChr m:val=""/>
                        <m:endChr m:val=")"/>
                        <m:grow/>
                      </m:dPr>
                      <m:e>
                        <m:r>
                          <m:t>1</m:t>
                        </m:r>
                        <m:r>
                          <m:rPr>
                            <m:sty m:val="p"/>
                          </m:rPr>
                          <m:t>−</m:t>
                        </m:r>
                        <m:f>
                          <m:fPr>
                            <m:type m:val="bar"/>
                          </m:fPr>
                          <m:num>
                            <m:sSubSup>
                              <m:e>
                                <m:r>
                                  <m:t>N</m:t>
                                </m:r>
                              </m:e>
                              <m:sub>
                                <m:r>
                                  <m:t>t</m:t>
                                </m:r>
                              </m:sub>
                              <m:sup>
                                <m:r>
                                  <m:t>i</m:t>
                                </m:r>
                              </m:sup>
                            </m:sSubSup>
                            <m:r>
                              <m:rPr>
                                <m:sty m:val="p"/>
                              </m:rPr>
                              <m:t>+</m:t>
                            </m:r>
                            <m:nary>
                              <m:naryPr>
                                <m:chr m:val="∑"/>
                                <m:limLoc m:val="undOvr"/>
                                <m:subHide m:val="off"/>
                                <m:supHide m:val="on"/>
                              </m:naryPr>
                              <m:sub>
                                <m:r>
                                  <m:t>j</m:t>
                                </m:r>
                                <m:r>
                                  <m:rPr>
                                    <m:sty m:val="p"/>
                                  </m:rPr>
                                  <m:t>≠</m:t>
                                </m:r>
                                <m:r>
                                  <m:t>i</m:t>
                                </m:r>
                              </m:sub>
                              <m:sup>
                                <m:r>
                                  <m:t>​</m:t>
                                </m:r>
                              </m:sup>
                              <m:e>
                                <m:sSub>
                                  <m:e>
                                    <m:r>
                                      <m:t>α</m:t>
                                    </m:r>
                                  </m:e>
                                  <m:sub>
                                    <m:r>
                                      <m:t>i</m:t>
                                    </m:r>
                                    <m:r>
                                      <m:t>j</m:t>
                                    </m:r>
                                  </m:sub>
                                </m:sSub>
                              </m:e>
                            </m:nary>
                            <m:sSubSup>
                              <m:e>
                                <m:r>
                                  <m:t>N</m:t>
                                </m:r>
                              </m:e>
                              <m:sub>
                                <m:r>
                                  <m:t>t</m:t>
                                </m:r>
                              </m:sub>
                              <m:sup>
                                <m:r>
                                  <m:t>j</m:t>
                                </m:r>
                              </m:sup>
                            </m:sSubSup>
                          </m:num>
                          <m:den>
                            <m:sSub>
                              <m:e>
                                <m:r>
                                  <m:t>K</m:t>
                                </m:r>
                              </m:e>
                              <m:sub>
                                <m:r>
                                  <m:t>i</m:t>
                                </m:r>
                              </m:sub>
                            </m:sSub>
                          </m:den>
                        </m:f>
                      </m:e>
                    </m:d>
                  </m:sup>
                </m:sSubSup>
                <m:r>
                  <m:t>  </m:t>
                </m:r>
                <m:d>
                  <m:dPr>
                    <m:begChr m:val="("/>
                    <m:sepChr m:val=""/>
                    <m:endChr m:val=")"/>
                    <m:grow/>
                  </m:dPr>
                  <m:e>
                    <m:r>
                      <m:t>2</m:t>
                    </m:r>
                  </m:e>
                </m:d>
              </m:oMath>
            </m:oMathPara>
            <w:bookmarkEnd w:id="36"/>
          </w:p>
          <w:p>
            <w:pPr>
              <w:pStyle w:val="FirstParagraph"/>
            </w:pPr>
            <w:r>
              <w:t xml:space="preserve">where</w:t>
            </w:r>
            <w:r>
              <w:t xml:space="preserve"> </w:t>
            </w:r>
            <m:oMath>
              <m:sSubSup>
                <m:e>
                  <m:r>
                    <m:t>N</m:t>
                  </m:r>
                </m:e>
                <m:sub>
                  <m:r>
                    <m:t>t</m:t>
                  </m:r>
                </m:sub>
                <m:sup>
                  <m:r>
                    <m:t>i</m:t>
                  </m:r>
                </m:sup>
              </m:sSubSup>
            </m:oMath>
            <w:r>
              <w:t xml:space="preserve"> </w:t>
            </w:r>
            <w:r>
              <w:t xml:space="preserve">is the population size of species</w:t>
            </w:r>
            <w:r>
              <w:t xml:space="preserve"> </w:t>
            </w:r>
            <m:oMath>
              <m:r>
                <m:t>i</m:t>
              </m:r>
            </m:oMath>
            <w:r>
              <w:t xml:space="preserve"> </w:t>
            </w:r>
            <w:r>
              <w:t xml:space="preserve">at time</w:t>
            </w:r>
            <w:r>
              <w:t xml:space="preserve"> </w:t>
            </w:r>
            <m:oMath>
              <m:r>
                <m:t>t</m:t>
              </m:r>
            </m:oMath>
            <w:r>
              <w:t xml:space="preserve">,</w:t>
            </w:r>
            <w:r>
              <w:t xml:space="preserve"> </w:t>
            </w:r>
            <m:oMath>
              <m:sSub>
                <m:e>
                  <m:r>
                    <m:t>λ</m:t>
                  </m:r>
                </m:e>
                <m:sub>
                  <m:r>
                    <m:t>i</m:t>
                  </m:r>
                </m:sub>
              </m:sSub>
            </m:oMath>
            <w:r>
              <w:t xml:space="preserve"> </w:t>
            </w:r>
            <w:r>
              <w:t xml:space="preserve">is the intrinsic growth rate of species</w:t>
            </w:r>
            <w:r>
              <w:t xml:space="preserve"> </w:t>
            </w:r>
            <m:oMath>
              <m:r>
                <m:t>i</m:t>
              </m:r>
            </m:oMath>
            <w:r>
              <w:t xml:space="preserve">,</w:t>
            </w:r>
            <w:r>
              <w:t xml:space="preserve"> </w:t>
            </w:r>
            <m:oMath>
              <m:sSub>
                <m:e>
                  <m:r>
                    <m:t>K</m:t>
                  </m:r>
                </m:e>
                <m:sub>
                  <m:r>
                    <m:t>i</m:t>
                  </m:r>
                </m:sub>
              </m:sSub>
            </m:oMath>
            <w:r>
              <w:t xml:space="preserve"> </w:t>
            </w:r>
            <w:r>
              <w:t xml:space="preserve">is the carrying capacity of species</w:t>
            </w:r>
            <w:r>
              <w:t xml:space="preserve"> </w:t>
            </w:r>
            <m:oMath>
              <m:r>
                <m:t>i</m:t>
              </m:r>
            </m:oMath>
            <w:r>
              <w:t xml:space="preserve">, and</w:t>
            </w:r>
            <w:r>
              <w:t xml:space="preserve"> </w:t>
            </w:r>
            <m:oMath>
              <m:sSub>
                <m:e>
                  <m:r>
                    <m:t>α</m:t>
                  </m:r>
                </m:e>
                <m:sub>
                  <m:r>
                    <m:t>i</m:t>
                  </m:r>
                  <m:r>
                    <m:t>j</m:t>
                  </m:r>
                </m:sub>
              </m:sSub>
            </m:oMath>
            <w:r>
              <w:t xml:space="preserve"> </w:t>
            </w:r>
            <w:r>
              <w:t xml:space="preserve">is the competition coefficient that describes how much species</w:t>
            </w:r>
            <w:r>
              <w:t xml:space="preserve"> </w:t>
            </w:r>
            <m:oMath>
              <m:r>
                <m:t>j</m:t>
              </m:r>
            </m:oMath>
            <w:r>
              <w:t xml:space="preserve"> </w:t>
            </w:r>
            <w:r>
              <w:t xml:space="preserve">affects species</w:t>
            </w:r>
            <w:r>
              <w:t xml:space="preserve"> </w:t>
            </w:r>
            <m:oMath>
              <m:r>
                <m:t>i</m:t>
              </m:r>
            </m:oMath>
            <w:r>
              <w:t xml:space="preserve">. Given mechanistic models of physiology, the stage-structured population matrix can be updated to reflect changes in vital rates (survival and reproduction) under different microclimates and thermal sensitivities each generation.</w:t>
            </w:r>
          </w:p>
          <w:tbl>
            <w:tblPr>
              <w:tblStyle w:val="Table"/>
              <w:tblW w:type="pct" w:w="5000"/>
              <w:tblLayout w:type="fixed"/>
              <w:tblLook w:firstRow="0" w:lastRow="0" w:firstColumn="0" w:lastColumn="0" w:noHBand="0" w:noVBand="0" w:val="0000"/>
            </w:tblPr>
            <w:tblGrid>
              <w:gridCol w:w="7920"/>
            </w:tblGrid>
            <w:tr>
              <w:tc>
                <w:tcPr/>
                <w:bookmarkStart w:id="40" w:name="fig-box2"/>
                <w:p>
                  <w:pPr>
                    <w:pStyle w:val="Compact"/>
                    <w:jc w:val="center"/>
                  </w:pPr>
                  <w:r>
                    <w:drawing>
                      <wp:inline>
                        <wp:extent cx="6096000" cy="4876800"/>
                        <wp:effectExtent b="0" l="0" r="0" t="0"/>
                        <wp:docPr descr="" title="" id="38" name="Picture"/>
                        <a:graphic>
                          <a:graphicData uri="http://schemas.openxmlformats.org/drawingml/2006/picture">
                            <pic:pic>
                              <pic:nvPicPr>
                                <pic:cNvPr descr="ms_files/figure-docx/fig-box2-1.png" id="39" name="Picture"/>
                                <pic:cNvPicPr>
                                  <a:picLocks noChangeArrowheads="1" noChangeAspect="1"/>
                                </pic:cNvPicPr>
                              </pic:nvPicPr>
                              <pic:blipFill>
                                <a:blip r:embed="rId37"/>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Figure II: **A systems approach to using mechanistic physiological models to capture life-cycle vital rates and thermal load stress on survival to scale up to multi-species population dynamics. Created with BioRender.com.</w:t>
                  </w:r>
                </w:p>
                <w:bookmarkEnd w:id="40"/>
              </w:tc>
            </w:tr>
          </w:tbl>
        </w:tc>
      </w:tr>
    </w:tbl>
    <w:bookmarkEnd w:id="41"/>
    <w:bookmarkStart w:id="47" w:name="hot-solutions-for-a-changing-world"/>
    <w:p>
      <w:pPr>
        <w:pStyle w:val="Heading1"/>
      </w:pPr>
      <w:r>
        <w:t xml:space="preserve">‘Hot’</w:t>
      </w:r>
      <w:r>
        <w:t xml:space="preserve"> </w:t>
      </w:r>
      <w:r>
        <w:t xml:space="preserve">solutions for a changing world</w:t>
      </w:r>
    </w:p>
    <w:p>
      <w:pPr>
        <w:pStyle w:val="FirstParagraph"/>
      </w:pPr>
      <w:r>
        <w:t xml:space="preserve">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w:t>
      </w:r>
      <w:r>
        <w:t xml:space="preserve"> </w:t>
      </w:r>
      <w:r>
        <w:t xml:space="preserve">[74]</w:t>
      </w:r>
      <w:r>
        <w:t xml:space="preserve">, exacerbating food shortages. 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Pr>
          <w:b/>
          <w:bCs/>
        </w:rPr>
        <w:t xml:space="preserve">Boxes 1 &amp; 2</w:t>
      </w:r>
      <w:r>
        <w:t xml:space="preserve">) as a simple example, a systems modelling approach can allow for informed predictions about how to mitigate heat stress to crops while also considering the potential for pest outbreaks. In essence, we want to add a minimal amount of water to a system to cool leaves to avoid depleting limited water supplies while preventing microclimate conditions from becoming more optimal for pests. Making use of real weather data to predict microclimates and organism temperatures we could then assess how adding 2, 5, 10, or 20 mm d</w:t>
      </w:r>
      <w:r>
        <w:rPr>
          <w:vertAlign w:val="superscript"/>
        </w:rPr>
        <w:t xml:space="preserve">-1</w:t>
      </w:r>
      <w:r>
        <w:t xml:space="preserve"> </w:t>
      </w:r>
      <w:r>
        <w:t xml:space="preserve">of water to the system affects leaf temperature and the life-cycle for the grasshopper species that is a known pest. In our simple example, we can see that adding 5 mm of water can result in a 3.63°C decrease in leaf temperature. Adding more water does not result in significant gains in cooling (see</w:t>
      </w:r>
      <w:r>
        <w:t xml:space="preserve"> </w:t>
      </w:r>
      <w:hyperlink w:anchor="fig-2">
        <w:r>
          <w:rPr>
            <w:rStyle w:val="Hyperlink"/>
          </w:rPr>
          <w:t xml:space="preserve">Figure 4</w:t>
        </w:r>
      </w:hyperlink>
      <w:r>
        <w:t xml:space="preserve">). In additon, assuming we would add 5 mm d</w:t>
      </w:r>
      <w:r>
        <w:rPr>
          <w:vertAlign w:val="superscript"/>
        </w:rPr>
        <w:t xml:space="preserve">-1</w:t>
      </w:r>
      <w:r>
        <w:t xml:space="preserve"> </w:t>
      </w:r>
      <w:r>
        <w:t xml:space="preserve">each season during heatwave events, grasshopper populations would be suppressed over time whereas adding 2 mm d</w:t>
      </w:r>
      <w:r>
        <w:rPr>
          <w:vertAlign w:val="superscript"/>
        </w:rPr>
        <w:t xml:space="preserve">-1</w:t>
      </w:r>
      <w:r>
        <w:t xml:space="preserve"> </w:t>
      </w:r>
      <w:r>
        <w:t xml:space="preserve">results in grasshopper population growth, leading to potential heatwave associated outbreaks. Here, the optimal solution is adding 5 mm d</w:t>
      </w:r>
      <w:r>
        <w:rPr>
          <w:vertAlign w:val="superscript"/>
        </w:rPr>
        <w:t xml:space="preserve">-1</w:t>
      </w:r>
      <w:r>
        <w:t xml:space="preserve"> </w:t>
      </w:r>
      <w:r>
        <w:t xml:space="preserve">of water to both cool plants and protect them from pests. Identifying and/or modifying the thermal suitability of landscapes to benefit plants and animals under extreme heat is a promising feature of a systems-thinking approach</w:t>
      </w:r>
      <w:r>
        <w:t xml:space="preserve"> </w:t>
      </w:r>
      <w:r>
        <w:t xml:space="preserve">[17]</w:t>
      </w:r>
      <w:r>
        <w:t xml:space="preserve">. Additionally, as our understanding of the mechanisms associated with heat tolerance improve, genetic tools, environmental manipulations and artificial breeding can be used to enhance thermal tolerance creating more resilience to extreme heat events</w:t>
      </w:r>
      <w:r>
        <w:t xml:space="preserve"> </w:t>
      </w:r>
      <w:r>
        <w:t xml:space="preserve">[e.g., 53]</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2"/>
          <w:p>
            <w:pPr>
              <w:pStyle w:val="Compact"/>
              <w:jc w:val="center"/>
            </w:pPr>
            <w:r>
              <w:drawing>
                <wp:inline>
                  <wp:extent cx="6096000" cy="4876800"/>
                  <wp:effectExtent b="0" l="0" r="0" t="0"/>
                  <wp:docPr descr="" title="" id="43" name="Picture"/>
                  <a:graphic>
                    <a:graphicData uri="http://schemas.openxmlformats.org/drawingml/2006/picture">
                      <pic:pic>
                        <pic:nvPicPr>
                          <pic:cNvPr descr="ms_files/figure-docx/fig-2-1.png" id="44" name="Picture"/>
                          <pic:cNvPicPr>
                            <a:picLocks noChangeArrowheads="1" noChangeAspect="1"/>
                          </pic:cNvPicPr>
                        </pic:nvPicPr>
                        <pic:blipFill>
                          <a:blip r:embed="rId4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How a systems modelling approach to extreme heat can be used to inform solutions. Drawing on our case study of insect-plant interactions (</w:t>
            </w:r>
            <w:r>
              <w:rPr>
                <w:b/>
                <w:bCs/>
              </w:rPr>
              <w:t xml:space="preserve">Boxes 1 &amp; 2</w:t>
            </w:r>
            <w:r>
              <w:t xml:space="preserve">), we can use weather data to predict microclimates and thus leaf and body temperatures of insects. Given the associated heatwave is also during a period of drought, we are limited in water availability. Our goal is to use minimal water to cool plants while also preventing pest outbreaks. Adjusting the watering scenarios during the heatwave event increases water availability in our microclimate. We can then update the calculations of leaf and insect body temperature using biophysical models that account for the cooling effects of evaporation. Using our physiological models we can then predict how these different watering scenarios grasshopper life-cycles and population dynamics. We show how comparing amoung these different scenarios can inform management decisions given that watering 5 mm d</w:t>
            </w:r>
            <w:r>
              <w:rPr>
                <w:vertAlign w:val="superscript"/>
              </w:rPr>
              <w:t xml:space="preserve">-1</w:t>
            </w:r>
            <w:r>
              <w:t xml:space="preserve"> </w:t>
            </w:r>
            <w:r>
              <w:t xml:space="preserve">is optimal for both plant cooling and pest suppression (reduced population growth). Created with BioRender.com.</w:t>
            </w:r>
          </w:p>
          <w:bookmarkEnd w:id="45"/>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An important frontier: integrating eco-evolutionary feedback within a systems-modelling framework</w:t>
            </w:r>
          </w:p>
          <w:p>
            <w:pPr>
              <w:pStyle w:val="BodyText"/>
            </w:pPr>
            <w:pPr>
              <w:spacing w:before="16"/>
            </w:pPr>
            <w:r>
              <w:t xml:space="preserve">Extreme climactic events, such as heatwaves and droughts, are known to result in intense episodes of selection which can lead to rapid evolutionary change when traits are heritable</w:t>
            </w:r>
            <w:r>
              <w:t xml:space="preserve"> </w:t>
            </w:r>
            <w:r>
              <w:t xml:space="preserve">[75]</w:t>
            </w:r>
            <w:r>
              <w:t xml:space="preserve">. In addition, given the intensity of selection associated with extreme climatic events, they have the potential to radically alter the phenotypic and genetic variability available to selection in the future</w:t>
            </w:r>
            <w:r>
              <w:t xml:space="preserve"> </w:t>
            </w:r>
            <w:r>
              <w:t xml:space="preserve">[</w:t>
            </w:r>
            <w:r>
              <w:rPr>
                <w:b/>
                <w:bCs/>
              </w:rPr>
              <w:t xml:space="preserve">Urban2024?</w:t>
            </w:r>
            <w:r>
              <w:t xml:space="preserve">]</w:t>
            </w:r>
            <w:r>
              <w:t xml:space="preserve">,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w:t>
            </w:r>
            <w:r>
              <w:t xml:space="preserve"> </w:t>
            </w:r>
            <w:r>
              <w:t xml:space="preserve">[75]</w:t>
            </w:r>
            <w:r>
              <w:t xml:space="preserve">. Predicting evolutionary responses also relies on our ability to predict heatwaves and how organisms experience them in the future – a task that is becoming more feasible with new climate models</w:t>
            </w:r>
            <w:r>
              <w:t xml:space="preserve"> </w:t>
            </w:r>
            <w:r>
              <w:t xml:space="preserve">[e.g., 76,77]</w:t>
            </w:r>
            <w:r>
              <w:t xml:space="preserve">.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w:t>
            </w:r>
            <w:r>
              <w:t xml:space="preserve"> </w:t>
            </w:r>
            <w:r>
              <w:t xml:space="preserve">[78–80]</w:t>
            </w:r>
            <w:r>
              <w:t xml:space="preserve">. Considering various forms of plastic responses (e.g., behavioural, developmental, and physiological plasticity) as environments change through time is also crucial because it can dampen selection and shelter genetic variation while also promoting persistence</w:t>
            </w:r>
            <w:r>
              <w:t xml:space="preserve"> </w:t>
            </w:r>
            <w:r>
              <w:t xml:space="preserve">[81,82]</w:t>
            </w:r>
            <w:r>
              <w:t xml:space="preserve">. Many of these processes can now be incorporated into a systems modelling framework (e.g, behavioural plasticity), to capture well known environment-phenotype feedback.</w:t>
            </w:r>
          </w:p>
          <w:p>
            <w:pPr>
              <w:pStyle w:val="BodyText"/>
            </w:pPr>
            <w:r>
              <w:t xml:space="preserve">A more complete systems modelling approach that captures eco-evolutionary dynamics needs to think about</w:t>
            </w:r>
            <w:r>
              <w:t xml:space="preserve"> </w:t>
            </w:r>
            <w:r>
              <w:t xml:space="preserve">‘traits’</w:t>
            </w:r>
            <w:r>
              <w:t xml:space="preserve"> </w:t>
            </w:r>
            <w:r>
              <w:t xml:space="preserve">more broadly than those typically thought of by evolutionary ecologists (e.g., body mass). For example,</w:t>
            </w:r>
            <w:r>
              <w:t xml:space="preserve"> </w:t>
            </w:r>
            <w:r>
              <w:t xml:space="preserve">‘traits’</w:t>
            </w:r>
            <w:r>
              <w:t xml:space="preserve"> </w:t>
            </w:r>
            <w:r>
              <w:t xml:space="preserve">can include the parameters within models that establish functional traits within a population (e.g., DEB parameters)</w:t>
            </w:r>
            <w:r>
              <w:t xml:space="preserve">[83,84]</w:t>
            </w:r>
            <w:r>
              <w:t xml:space="preserve">, which may provide predictions for suites of resulting traits that emerge from such parameters. Furthermore, it needs to consider the evolution of suites of traits which can be done using the multivariate breeders equation</w:t>
            </w:r>
            <w:r>
              <w:t xml:space="preserve"> </w:t>
            </w:r>
            <w:r>
              <w:t xml:space="preserve">[85]</w:t>
            </w:r>
            <w:r>
              <w:t xml:space="preserve">:</w:t>
            </w:r>
          </w:p>
          <w:p>
            <w:pPr>
              <w:pStyle w:val="BodyText"/>
            </w:pPr>
            <w:bookmarkStart w:id="46"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3</m:t>
                    </m:r>
                  </m:e>
                </m:d>
              </m:oMath>
            </m:oMathPara>
            <w:bookmarkEnd w:id="46"/>
          </w:p>
          <w:p>
            <w:pPr>
              <w:pStyle w:val="FirstParagraph"/>
            </w:pPr>
            <w:pPr>
              <w:spacing w:after="16"/>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[86]</w:t>
            </w:r>
            <w:r>
              <w:t xml:space="preserve">). Plasticity can be captured by mapping trait development to the environment and incorporating environmental variability into the Breeders equation</w:t>
            </w:r>
            <w:r>
              <w:t xml:space="preserve"> </w:t>
            </w:r>
            <w:r>
              <w:t xml:space="preserve">[see also, 87]</w:t>
            </w:r>
            <w:r>
              <w:t xml:space="preserve">. While the multivariate breeders equation can be useful for predicting short term evolutionary responses (i.e., one or a few generations) it likely has limited in predictive power over longer timespans because of changes in heritability and selection through time, which is a future challenge</w:t>
            </w:r>
            <w:r>
              <w:t xml:space="preserve"> </w:t>
            </w:r>
            <w:r>
              <w:t xml:space="preserve">[80,86]</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For data deficient species, how effective is using parameters of closely related species or modelling species based on common functional trait groups at successfully predicting the impacts of extreme heat?</w:t>
            </w:r>
          </w:p>
        </w:tc>
      </w:tr>
    </w:tbl>
    <w:bookmarkEnd w:id="47"/>
    <w:bookmarkStart w:id="48" w:name="concluding-remarks"/>
    <w:p>
      <w:pPr>
        <w:pStyle w:val="Heading1"/>
      </w:pPr>
      <w:r>
        <w:t xml:space="preserve">Concluding Remarks</w:t>
      </w:r>
    </w:p>
    <w:p>
      <w:pPr>
        <w:pStyle w:val="FirstParagraph"/>
      </w:pPr>
      <w:r>
        <w:t xml:space="preserve">Implementing a systems-modelling approach will no doubt be challenging, particularly for complex communities, and knowledge gaps remain (see</w:t>
      </w:r>
      <w:r>
        <w:t xml:space="preserve"> </w:t>
      </w:r>
      <w:r>
        <w:rPr>
          <w:b/>
          <w:bCs/>
        </w:rPr>
        <w:t xml:space="preserve">Outstanding Questions</w:t>
      </w:r>
      <w:r>
        <w:t xml:space="preserve">). However, more mechanistic approaches that encapsulate key biological processes (physiology, behaviour, phenology, species interactions and eco-evolutionary dynamics -</w:t>
      </w:r>
      <w:r>
        <w:t xml:space="preserve"> </w:t>
      </w:r>
      <w:r>
        <w:rPr>
          <w:b/>
          <w:bCs/>
        </w:rPr>
        <w:t xml:space="preserve">Box 3</w:t>
      </w:r>
      <w:r>
        <w:t xml:space="preserve">) are needed now, more than ever, to better predict biological responses to extreme heat</w:t>
      </w:r>
      <w:r>
        <w:t xml:space="preserve"> </w:t>
      </w:r>
      <w:r>
        <w:t xml:space="preserve">[47,88]</w:t>
      </w:r>
      <w:r>
        <w:t xml:space="preserve">. Coupled mechanistic models within and across species are expected to have improved predictive power when extrapolated to new conditions and can help better integrate interacting processes</w:t>
      </w:r>
      <w:r>
        <w:t xml:space="preserve"> </w:t>
      </w:r>
      <w:r>
        <w:t xml:space="preserve">[17,88]</w:t>
      </w:r>
      <w:r>
        <w:t xml:space="preserve">.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w:t>
      </w:r>
      <w:r>
        <w:t xml:space="preserve"> </w:t>
      </w:r>
      <w:r>
        <w:t xml:space="preserve">[23]</w:t>
      </w:r>
      <w:r>
        <w:t xml:space="preserve">, and careful consideration of the key processes important to a system can help alleviate these challenges</w:t>
      </w:r>
      <w:r>
        <w:t xml:space="preserve"> </w:t>
      </w:r>
      <w:r>
        <w:t xml:space="preserve">[17]</w:t>
      </w:r>
      <w:r>
        <w:t xml:space="preserve">. For example, large databases of physiological traits for both plants and animals now exist</w:t>
      </w:r>
      <w:r>
        <w:t xml:space="preserve"> </w:t>
      </w:r>
      <w:r>
        <w:t xml:space="preserve">[e.g., 89,90]</w:t>
      </w:r>
      <w:r>
        <w:t xml:space="preserve"> </w:t>
      </w:r>
      <w:r>
        <w:t xml:space="preserve">and advanced missing data approaches can help estimate likely parameters for data deficient species</w:t>
      </w:r>
      <w:r>
        <w:t xml:space="preserve"> </w:t>
      </w:r>
      <w:r>
        <w:t xml:space="preserve">[e.g., 62]</w:t>
      </w:r>
      <w:r>
        <w:t xml:space="preserve">. In addition, ever more sophisticated and powerful computational pipelines (e.g. </w:t>
      </w:r>
      <w:r>
        <w:rPr>
          <w:i/>
          <w:iCs/>
        </w:rPr>
        <w:t xml:space="preserve">NicheMapR</w:t>
      </w:r>
      <w:r>
        <w:t xml:space="preserve">,</w:t>
      </w:r>
      <w:r>
        <w:t xml:space="preserve"> </w:t>
      </w:r>
      <w:r>
        <w:rPr>
          <w:i/>
          <w:iCs/>
        </w:rPr>
        <w:t xml:space="preserve">TrenchR</w:t>
      </w:r>
      <w:r>
        <w:t xml:space="preserve">,</w:t>
      </w:r>
      <w:r>
        <w:t xml:space="preserve"> </w:t>
      </w:r>
      <w:r>
        <w:rPr>
          <w:i/>
          <w:iCs/>
        </w:rPr>
        <w:t xml:space="preserve">mcera5</w:t>
      </w:r>
      <w:r>
        <w:t xml:space="preserve">,</w:t>
      </w:r>
      <w:r>
        <w:t xml:space="preserve"> </w:t>
      </w:r>
      <w:r>
        <w:rPr>
          <w:i/>
          <w:iCs/>
        </w:rPr>
        <w:t xml:space="preserve">terra</w:t>
      </w:r>
      <w:r>
        <w:t xml:space="preserve"> </w:t>
      </w:r>
      <w:r>
        <w:t xml:space="preserve">in R) make it easier to implement and connect models. 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tractable</w:t>
      </w:r>
      <w:r>
        <w:t xml:space="preserve"> </w:t>
      </w:r>
      <w:r>
        <w:t xml:space="preserve">[17]</w:t>
      </w:r>
      <w:r>
        <w:t xml:space="preserve">. Even simple models that compare counterfactual scenarios may provide important quantitative insights into the impacts of extreme heat on organisms, populations and communities</w:t>
      </w:r>
      <w:r>
        <w:t xml:space="preserve"> </w:t>
      </w:r>
      <w:r>
        <w:t xml:space="preserve">[91–93]</w:t>
      </w:r>
      <w:r>
        <w:t xml:space="preserve">. Such insights can form the basis for prediction-driven solutions for mitigating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p>
    <w:bookmarkEnd w:id="48"/>
    <w:bookmarkStart w:id="49" w:name="acknowledgements"/>
    <w:p>
      <w:pPr>
        <w:pStyle w:val="Heading1"/>
      </w:pPr>
      <w:r>
        <w:t xml:space="preserve">Acknowledgements</w:t>
      </w:r>
    </w:p>
    <w:p>
      <w:pPr>
        <w:pStyle w:val="FirstParagraph"/>
      </w:pPr>
      <w:r>
        <w:t xml:space="preserve">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bookmarkEnd w:id="49"/>
    <w:bookmarkStart w:id="50" w:name="data-and-code"/>
    <w:p>
      <w:pPr>
        <w:pStyle w:val="Heading1"/>
      </w:pPr>
      <w:r>
        <w:t xml:space="preserve">Data and Code</w:t>
      </w:r>
    </w:p>
    <w:p>
      <w:pPr>
        <w:pStyle w:val="FirstParagraph"/>
      </w:pPr>
      <w:r>
        <w:t xml:space="preserve">Link to the data and code used to for examples in Box 1 and 2 can be found here: https://daniel1noble.github.io/thermal_tol_interactions/ with the full set of files being located on our GitHub repository at https://github.com/daniel1noble/thermal_tol_interactions.</w:t>
      </w:r>
    </w:p>
    <w:bookmarkEnd w:id="50"/>
    <w:bookmarkStart w:id="214" w:name="references"/>
    <w:p>
      <w:pPr>
        <w:pStyle w:val="Heading1"/>
      </w:pPr>
      <w:r>
        <w:t xml:space="preserve">References</w:t>
      </w:r>
    </w:p>
    <w:p>
      <w:pPr>
        <w:pStyle w:val="FirstParagraph"/>
      </w:pPr>
    </w:p>
    <w:bookmarkStart w:id="213" w:name="refs"/>
    <w:bookmarkStart w:id="51"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51"/>
    <w:bookmarkStart w:id="52"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p>
    <w:bookmarkEnd w:id="52"/>
    <w:bookmarkStart w:id="54" w:name="ref-Evans2025"/>
    <w:p>
      <w:pPr>
        <w:pStyle w:val="Bibliography"/>
      </w:pPr>
      <w:r>
        <w:t xml:space="preserve">3.</w:t>
      </w:r>
      <w:r>
        <w:t xml:space="preserve"> </w:t>
      </w:r>
      <w:r>
        <w:t xml:space="preserve">	</w:t>
      </w:r>
      <w:r>
        <w:t xml:space="preserve">Evans, M.E.K.</w:t>
      </w:r>
      <w:r>
        <w:t xml:space="preserve"> </w:t>
      </w:r>
      <w:r>
        <w:rPr>
          <w:i/>
          <w:iCs/>
        </w:rPr>
        <w:t xml:space="preserve">et al.</w:t>
      </w:r>
      <w:r>
        <w:t xml:space="preserve"> </w:t>
      </w:r>
      <w:r>
        <w:t xml:space="preserve">(2025)</w:t>
      </w:r>
      <w:r>
        <w:t xml:space="preserve"> </w:t>
      </w:r>
      <w:hyperlink r:id="rId53">
        <w:r>
          <w:rPr>
            <w:rStyle w:val="Hyperlink"/>
          </w:rPr>
          <w:t xml:space="preserve">Scaling plant responses to heat: From molecules to the biosphere</w:t>
        </w:r>
      </w:hyperlink>
      <w:r>
        <w:t xml:space="preserve">.</w:t>
      </w:r>
      <w:r>
        <w:t xml:space="preserve"> </w:t>
      </w:r>
      <w:r>
        <w:rPr>
          <w:i/>
          <w:iCs/>
        </w:rPr>
        <w:t xml:space="preserve">Science</w:t>
      </w:r>
      <w:r>
        <w:t xml:space="preserve"> </w:t>
      </w:r>
      <w:r>
        <w:t xml:space="preserve">388, 1167–1173</w:t>
      </w:r>
    </w:p>
    <w:bookmarkEnd w:id="54"/>
    <w:bookmarkStart w:id="55"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55"/>
    <w:bookmarkStart w:id="56"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6"/>
    <w:bookmarkStart w:id="57"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7"/>
    <w:bookmarkStart w:id="58"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8"/>
    <w:bookmarkStart w:id="60" w:name="ref-Bernacchi2025"/>
    <w:p>
      <w:pPr>
        <w:pStyle w:val="Bibliography"/>
      </w:pPr>
      <w:r>
        <w:t xml:space="preserve">8.</w:t>
      </w:r>
      <w:r>
        <w:t xml:space="preserve"> </w:t>
      </w:r>
      <w:r>
        <w:t xml:space="preserve">	</w:t>
      </w:r>
      <w:r>
        <w:t xml:space="preserve">Bernacchi, C.J.</w:t>
      </w:r>
      <w:r>
        <w:t xml:space="preserve"> </w:t>
      </w:r>
      <w:r>
        <w:rPr>
          <w:i/>
          <w:iCs/>
        </w:rPr>
        <w:t xml:space="preserve">et al.</w:t>
      </w:r>
      <w:r>
        <w:t xml:space="preserve"> </w:t>
      </w:r>
      <w:r>
        <w:t xml:space="preserve">(2025)</w:t>
      </w:r>
      <w:r>
        <w:t xml:space="preserve"> </w:t>
      </w:r>
      <w:hyperlink r:id="rId59">
        <w:r>
          <w:rPr>
            <w:rStyle w:val="Hyperlink"/>
          </w:rPr>
          <w:t xml:space="preserve">Safeguarding crop photosynthesis in a rapidly warming world</w:t>
        </w:r>
      </w:hyperlink>
      <w:r>
        <w:t xml:space="preserve">.</w:t>
      </w:r>
      <w:r>
        <w:t xml:space="preserve"> </w:t>
      </w:r>
      <w:r>
        <w:rPr>
          <w:i/>
          <w:iCs/>
        </w:rPr>
        <w:t xml:space="preserve">Science</w:t>
      </w:r>
      <w:r>
        <w:t xml:space="preserve"> </w:t>
      </w:r>
      <w:r>
        <w:t xml:space="preserve">388, 1153–1160</w:t>
      </w:r>
    </w:p>
    <w:bookmarkEnd w:id="60"/>
    <w:bookmarkStart w:id="61" w:name="ref-Martinez2023"/>
    <w:p>
      <w:pPr>
        <w:pStyle w:val="Bibliography"/>
      </w:pPr>
      <w:r>
        <w:t xml:space="preserve">9.</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61"/>
    <w:bookmarkStart w:id="63" w:name="ref-Rezende2020"/>
    <w:p>
      <w:pPr>
        <w:pStyle w:val="Bibliography"/>
      </w:pPr>
      <w:r>
        <w:t xml:space="preserve">10.</w:t>
      </w:r>
      <w:r>
        <w:t xml:space="preserve"> </w:t>
      </w:r>
      <w:r>
        <w:t xml:space="preserve">	</w:t>
      </w:r>
      <w:r>
        <w:t xml:space="preserve">Rezende, E.L.</w:t>
      </w:r>
      <w:r>
        <w:t xml:space="preserve"> </w:t>
      </w:r>
      <w:r>
        <w:rPr>
          <w:i/>
          <w:iCs/>
        </w:rPr>
        <w:t xml:space="preserve">et al.</w:t>
      </w:r>
      <w:r>
        <w:t xml:space="preserve"> </w:t>
      </w:r>
      <w:r>
        <w:t xml:space="preserve">(2020)</w:t>
      </w:r>
      <w:r>
        <w:t xml:space="preserve"> </w:t>
      </w:r>
      <w:hyperlink r:id="rId62">
        <w:r>
          <w:rPr>
            <w:rStyle w:val="Hyperlink"/>
          </w:rPr>
          <w:t xml:space="preserve">Predicting temperature mortality and selection in natural drosophila populations</w:t>
        </w:r>
      </w:hyperlink>
      <w:r>
        <w:t xml:space="preserve">.</w:t>
      </w:r>
      <w:r>
        <w:t xml:space="preserve"> </w:t>
      </w:r>
      <w:r>
        <w:rPr>
          <w:i/>
          <w:iCs/>
        </w:rPr>
        <w:t xml:space="preserve">Science</w:t>
      </w:r>
      <w:r>
        <w:t xml:space="preserve"> </w:t>
      </w:r>
      <w:r>
        <w:t xml:space="preserve">369, 1242–1245</w:t>
      </w:r>
    </w:p>
    <w:bookmarkEnd w:id="63"/>
    <w:bookmarkStart w:id="64" w:name="ref-Orsted2024"/>
    <w:p>
      <w:pPr>
        <w:pStyle w:val="Bibliography"/>
      </w:pPr>
      <w:r>
        <w:t xml:space="preserve">11.</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64"/>
    <w:bookmarkStart w:id="65" w:name="ref-Lopez-Goldar2024"/>
    <w:p>
      <w:pPr>
        <w:pStyle w:val="Bibliography"/>
      </w:pPr>
      <w:r>
        <w:t xml:space="preserve">12.</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65"/>
    <w:bookmarkStart w:id="66" w:name="ref-Trivedi2022"/>
    <w:p>
      <w:pPr>
        <w:pStyle w:val="Bibliography"/>
      </w:pPr>
      <w:r>
        <w:t xml:space="preserve">13.</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6"/>
    <w:bookmarkStart w:id="67" w:name="ref-Kooijman2010"/>
    <w:p>
      <w:pPr>
        <w:pStyle w:val="Bibliography"/>
      </w:pPr>
      <w:r>
        <w:t xml:space="preserve">14.</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7"/>
    <w:bookmarkStart w:id="68" w:name="ref-Kearney2009b"/>
    <w:p>
      <w:pPr>
        <w:pStyle w:val="Bibliography"/>
      </w:pPr>
      <w:r>
        <w:t xml:space="preserve">15.</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8"/>
    <w:bookmarkStart w:id="70" w:name="ref-Kearney2024"/>
    <w:p>
      <w:pPr>
        <w:pStyle w:val="Bibliography"/>
      </w:pPr>
      <w:r>
        <w:t xml:space="preserve">16.</w:t>
      </w:r>
      <w:r>
        <w:t xml:space="preserve"> </w:t>
      </w:r>
      <w:r>
        <w:t xml:space="preserve">	</w:t>
      </w:r>
      <w:r>
        <w:t xml:space="preserve">Kearney, M.R. and Leigh, A. (2024)</w:t>
      </w:r>
      <w:r>
        <w:t xml:space="preserve"> </w:t>
      </w:r>
      <w:hyperlink r:id="rId69">
        <w:r>
          <w:rPr>
            <w:rStyle w:val="Hyperlink"/>
          </w:rPr>
          <w:t xml:space="preserve">Fast, accurate and accessible calculations of leaf temperature and its physiological consequences with</w:t>
        </w:r>
        <w:r>
          <w:rPr>
            <w:rStyle w:val="Hyperlink"/>
          </w:rPr>
          <w:t xml:space="preserve"> </w:t>
        </w:r>
        <w:r>
          <w:rPr>
            <w:rStyle w:val="Hyperlink"/>
          </w:rPr>
          <w:t xml:space="preserve">NicheMapR</w:t>
        </w:r>
      </w:hyperlink>
      <w:r>
        <w:t xml:space="preserve">.</w:t>
      </w:r>
      <w:r>
        <w:t xml:space="preserve"> </w:t>
      </w:r>
      <w:r>
        <w:rPr>
          <w:i/>
          <w:iCs/>
        </w:rPr>
        <w:t xml:space="preserve">Methods Ecol. Evol.</w:t>
      </w:r>
      <w:r>
        <w:t xml:space="preserve"> </w:t>
      </w:r>
      <w:r>
        <w:t xml:space="preserve">15, 1516–1531</w:t>
      </w:r>
    </w:p>
    <w:bookmarkEnd w:id="70"/>
    <w:bookmarkStart w:id="71" w:name="ref-Briscoe2023"/>
    <w:p>
      <w:pPr>
        <w:pStyle w:val="Bibliography"/>
      </w:pPr>
      <w:r>
        <w:t xml:space="preserve">17.</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71"/>
    <w:bookmarkStart w:id="73" w:name="ref-Rezende2014"/>
    <w:p>
      <w:pPr>
        <w:pStyle w:val="Bibliography"/>
      </w:pPr>
      <w:r>
        <w:t xml:space="preserve">18.</w:t>
      </w:r>
      <w:r>
        <w:t xml:space="preserve"> </w:t>
      </w:r>
      <w:r>
        <w:t xml:space="preserve">	</w:t>
      </w:r>
      <w:r>
        <w:t xml:space="preserve">Rezende, E.L.</w:t>
      </w:r>
      <w:r>
        <w:t xml:space="preserve"> </w:t>
      </w:r>
      <w:r>
        <w:rPr>
          <w:i/>
          <w:iCs/>
        </w:rPr>
        <w:t xml:space="preserve">et al.</w:t>
      </w:r>
      <w:r>
        <w:t xml:space="preserve"> </w:t>
      </w:r>
      <w:r>
        <w:t xml:space="preserve">(2014)</w:t>
      </w:r>
      <w:r>
        <w:t xml:space="preserve"> </w:t>
      </w:r>
      <w:hyperlink r:id="rId72">
        <w:r>
          <w:rPr>
            <w:rStyle w:val="Hyperlink"/>
          </w:rPr>
          <w:t xml:space="preserve">Tolerance landscapes in thermal ecology</w:t>
        </w:r>
      </w:hyperlink>
      <w:r>
        <w:t xml:space="preserve">.</w:t>
      </w:r>
      <w:r>
        <w:t xml:space="preserve"> </w:t>
      </w:r>
      <w:r>
        <w:rPr>
          <w:i/>
          <w:iCs/>
        </w:rPr>
        <w:t xml:space="preserve">Funct. Ecol.</w:t>
      </w:r>
      <w:r>
        <w:t xml:space="preserve"> </w:t>
      </w:r>
      <w:r>
        <w:t xml:space="preserve">28, 799–809</w:t>
      </w:r>
    </w:p>
    <w:bookmarkEnd w:id="73"/>
    <w:bookmarkStart w:id="75" w:name="ref-Arnold2025a"/>
    <w:p>
      <w:pPr>
        <w:pStyle w:val="Bibliography"/>
      </w:pPr>
      <w:r>
        <w:t xml:space="preserve">19.</w:t>
      </w:r>
      <w:r>
        <w:t xml:space="preserve"> </w:t>
      </w:r>
      <w:r>
        <w:t xml:space="preserve">	</w:t>
      </w:r>
      <w:r>
        <w:t xml:space="preserve">Arnold, P.A.</w:t>
      </w:r>
      <w:r>
        <w:t xml:space="preserve"> </w:t>
      </w:r>
      <w:r>
        <w:rPr>
          <w:i/>
          <w:iCs/>
        </w:rPr>
        <w:t xml:space="preserve">et al.</w:t>
      </w:r>
      <w:r>
        <w:t xml:space="preserve"> </w:t>
      </w:r>
      <w:r>
        <w:t xml:space="preserve">(2025)</w:t>
      </w:r>
      <w:r>
        <w:t xml:space="preserve"> </w:t>
      </w:r>
      <w:hyperlink r:id="rId74">
        <w:r>
          <w:rPr>
            <w:rStyle w:val="Hyperlink"/>
          </w:rPr>
          <w:t xml:space="preserve">A framework for modelling thermal load sensitivity across life</w:t>
        </w:r>
      </w:hyperlink>
      <w:r>
        <w:t xml:space="preserve">.</w:t>
      </w:r>
      <w:r>
        <w:t xml:space="preserve"> </w:t>
      </w:r>
      <w:r>
        <w:rPr>
          <w:i/>
          <w:iCs/>
        </w:rPr>
        <w:t xml:space="preserve">Glob. Chang. Biol.</w:t>
      </w:r>
      <w:r>
        <w:t xml:space="preserve"> </w:t>
      </w:r>
      <w:r>
        <w:t xml:space="preserve">31, e70315</w:t>
      </w:r>
    </w:p>
    <w:bookmarkEnd w:id="75"/>
    <w:bookmarkStart w:id="77" w:name="ref-Bimler2018"/>
    <w:p>
      <w:pPr>
        <w:pStyle w:val="Bibliography"/>
      </w:pPr>
      <w:r>
        <w:t xml:space="preserve">20.</w:t>
      </w:r>
      <w:r>
        <w:t xml:space="preserve"> </w:t>
      </w:r>
      <w:r>
        <w:t xml:space="preserve">	</w:t>
      </w:r>
      <w:r>
        <w:t xml:space="preserve">Bimler, M.D.</w:t>
      </w:r>
      <w:r>
        <w:t xml:space="preserve"> </w:t>
      </w:r>
      <w:r>
        <w:rPr>
          <w:i/>
          <w:iCs/>
        </w:rPr>
        <w:t xml:space="preserve">et al.</w:t>
      </w:r>
      <w:r>
        <w:t xml:space="preserve"> </w:t>
      </w:r>
      <w:r>
        <w:t xml:space="preserve">(2018)</w:t>
      </w:r>
      <w:r>
        <w:t xml:space="preserve"> </w:t>
      </w:r>
      <w:hyperlink r:id="rId76">
        <w:r>
          <w:rPr>
            <w:rStyle w:val="Hyperlink"/>
          </w:rPr>
          <w:t xml:space="preserve">Accurate predictions of coexistence in natural systems require the inclusion of facilitative interactions and environmental dependency</w:t>
        </w:r>
      </w:hyperlink>
      <w:r>
        <w:t xml:space="preserve">.</w:t>
      </w:r>
      <w:r>
        <w:t xml:space="preserve"> </w:t>
      </w:r>
      <w:r>
        <w:rPr>
          <w:i/>
          <w:iCs/>
        </w:rPr>
        <w:t xml:space="preserve">J. Ecol.</w:t>
      </w:r>
      <w:r>
        <w:t xml:space="preserve"> </w:t>
      </w:r>
      <w:r>
        <w:t xml:space="preserve">106, 1839–1852</w:t>
      </w:r>
    </w:p>
    <w:bookmarkEnd w:id="77"/>
    <w:bookmarkStart w:id="79" w:name="ref-Bowler2022"/>
    <w:p>
      <w:pPr>
        <w:pStyle w:val="Bibliography"/>
      </w:pPr>
      <w:r>
        <w:t xml:space="preserve">21.</w:t>
      </w:r>
      <w:r>
        <w:t xml:space="preserve"> </w:t>
      </w:r>
      <w:r>
        <w:t xml:space="preserve">	</w:t>
      </w:r>
      <w:r>
        <w:t xml:space="preserve">Bowler, C.H.</w:t>
      </w:r>
      <w:r>
        <w:t xml:space="preserve"> </w:t>
      </w:r>
      <w:r>
        <w:rPr>
          <w:i/>
          <w:iCs/>
        </w:rPr>
        <w:t xml:space="preserve">et al.</w:t>
      </w:r>
      <w:r>
        <w:t xml:space="preserve"> </w:t>
      </w:r>
      <w:r>
        <w:t xml:space="preserve">(2022)</w:t>
      </w:r>
      <w:r>
        <w:t xml:space="preserve"> </w:t>
      </w:r>
      <w:hyperlink r:id="rId78">
        <w:r>
          <w:rPr>
            <w:rStyle w:val="Hyperlink"/>
          </w:rPr>
          <w:t xml:space="preserve">Accounting for demographic uncertainty increases predictions for species coexistence: A case study with annual plants</w:t>
        </w:r>
      </w:hyperlink>
      <w:r>
        <w:t xml:space="preserve">.</w:t>
      </w:r>
      <w:r>
        <w:t xml:space="preserve"> </w:t>
      </w:r>
      <w:r>
        <w:rPr>
          <w:i/>
          <w:iCs/>
        </w:rPr>
        <w:t xml:space="preserve">Ecol. Lett.</w:t>
      </w:r>
      <w:r>
        <w:t xml:space="preserve"> </w:t>
      </w:r>
      <w:r>
        <w:t xml:space="preserve">25, 1618–1628</w:t>
      </w:r>
    </w:p>
    <w:bookmarkEnd w:id="79"/>
    <w:bookmarkStart w:id="81" w:name="ref-Kearney2017"/>
    <w:p>
      <w:pPr>
        <w:pStyle w:val="Bibliography"/>
      </w:pPr>
      <w:r>
        <w:t xml:space="preserve">22.</w:t>
      </w:r>
      <w:r>
        <w:t xml:space="preserve"> </w:t>
      </w:r>
      <w:r>
        <w:t xml:space="preserve">	</w:t>
      </w:r>
      <w:r>
        <w:t xml:space="preserve">Kearney, M.R. and Porter, W.P. (2017)</w:t>
      </w:r>
      <w:r>
        <w:t xml:space="preserve"> </w:t>
      </w:r>
      <w:hyperlink r:id="rId80">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 (Cop.)</w:t>
      </w:r>
      <w:r>
        <w:t xml:space="preserve"> </w:t>
      </w:r>
      <w:r>
        <w:t xml:space="preserve">40, 664–674</w:t>
      </w:r>
    </w:p>
    <w:bookmarkEnd w:id="81"/>
    <w:bookmarkStart w:id="83" w:name="ref-Maclean2019"/>
    <w:p>
      <w:pPr>
        <w:pStyle w:val="Bibliography"/>
      </w:pPr>
      <w:r>
        <w:t xml:space="preserve">23.</w:t>
      </w:r>
      <w:r>
        <w:t xml:space="preserve"> </w:t>
      </w:r>
      <w:r>
        <w:t xml:space="preserve">	</w:t>
      </w:r>
      <w:r>
        <w:t xml:space="preserve">Maclean, I.M.D.</w:t>
      </w:r>
      <w:r>
        <w:t xml:space="preserve"> </w:t>
      </w:r>
      <w:r>
        <w:rPr>
          <w:i/>
          <w:iCs/>
        </w:rPr>
        <w:t xml:space="preserve">et al.</w:t>
      </w:r>
      <w:r>
        <w:t xml:space="preserve"> </w:t>
      </w:r>
      <w:r>
        <w:t xml:space="preserve">(2019)</w:t>
      </w:r>
      <w:r>
        <w:t xml:space="preserve"> </w:t>
      </w:r>
      <w:hyperlink r:id="rId82">
        <w:r>
          <w:rPr>
            <w:rStyle w:val="Hyperlink"/>
          </w:rPr>
          <w:t xml:space="preserve">Microclima: An r package for modelling meso‐ and microclimate</w:t>
        </w:r>
      </w:hyperlink>
      <w:r>
        <w:t xml:space="preserve">.</w:t>
      </w:r>
      <w:r>
        <w:t xml:space="preserve"> </w:t>
      </w:r>
      <w:r>
        <w:rPr>
          <w:i/>
          <w:iCs/>
        </w:rPr>
        <w:t xml:space="preserve">Methods Ecol. Evol.</w:t>
      </w:r>
      <w:r>
        <w:t xml:space="preserve"> </w:t>
      </w:r>
      <w:r>
        <w:t xml:space="preserve">10, 280–290</w:t>
      </w:r>
    </w:p>
    <w:bookmarkEnd w:id="83"/>
    <w:bookmarkStart w:id="85" w:name="ref-Kearney2020"/>
    <w:p>
      <w:pPr>
        <w:pStyle w:val="Bibliography"/>
      </w:pPr>
      <w:r>
        <w:t xml:space="preserve">24.</w:t>
      </w:r>
      <w:r>
        <w:t xml:space="preserve"> </w:t>
      </w:r>
      <w:r>
        <w:t xml:space="preserve">	</w:t>
      </w:r>
      <w:r>
        <w:t xml:space="preserve">Kearney, M.R.</w:t>
      </w:r>
      <w:r>
        <w:t xml:space="preserve"> </w:t>
      </w:r>
      <w:r>
        <w:rPr>
          <w:i/>
          <w:iCs/>
        </w:rPr>
        <w:t xml:space="preserve">et al.</w:t>
      </w:r>
      <w:r>
        <w:t xml:space="preserve"> </w:t>
      </w:r>
      <w:r>
        <w:t xml:space="preserve">(2020)</w:t>
      </w:r>
      <w:r>
        <w:t xml:space="preserve"> </w:t>
      </w:r>
      <w:hyperlink r:id="rId84">
        <w:r>
          <w:rPr>
            <w:rStyle w:val="Hyperlink"/>
          </w:rPr>
          <w:t xml:space="preserve">A method for computing hourly, historical, terrain‐corrected microclimate anywhere on earth</w:t>
        </w:r>
      </w:hyperlink>
      <w:r>
        <w:t xml:space="preserve">.</w:t>
      </w:r>
      <w:r>
        <w:t xml:space="preserve"> </w:t>
      </w:r>
      <w:r>
        <w:rPr>
          <w:i/>
          <w:iCs/>
        </w:rPr>
        <w:t xml:space="preserve">Methods Ecol. Evol.</w:t>
      </w:r>
      <w:r>
        <w:t xml:space="preserve"> </w:t>
      </w:r>
      <w:r>
        <w:t xml:space="preserve">11, 38–43</w:t>
      </w:r>
    </w:p>
    <w:bookmarkEnd w:id="85"/>
    <w:bookmarkStart w:id="87" w:name="ref-Maclean2021"/>
    <w:p>
      <w:pPr>
        <w:pStyle w:val="Bibliography"/>
      </w:pPr>
      <w:r>
        <w:t xml:space="preserve">25.</w:t>
      </w:r>
      <w:r>
        <w:t xml:space="preserve"> </w:t>
      </w:r>
      <w:r>
        <w:t xml:space="preserve">	</w:t>
      </w:r>
      <w:r>
        <w:t xml:space="preserve">Maclean, I.M.D.</w:t>
      </w:r>
      <w:r>
        <w:t xml:space="preserve"> </w:t>
      </w:r>
      <w:r>
        <w:rPr>
          <w:i/>
          <w:iCs/>
        </w:rPr>
        <w:t xml:space="preserve">et al.</w:t>
      </w:r>
      <w:r>
        <w:t xml:space="preserve"> </w:t>
      </w:r>
      <w:r>
        <w:t xml:space="preserve">(2021)</w:t>
      </w:r>
      <w:r>
        <w:t xml:space="preserve"> </w:t>
      </w:r>
      <w:hyperlink r:id="rId86">
        <w:r>
          <w:rPr>
            <w:rStyle w:val="Hyperlink"/>
          </w:rPr>
          <w:t xml:space="preserve">On the measurement of microclimate</w:t>
        </w:r>
      </w:hyperlink>
      <w:r>
        <w:t xml:space="preserve">.</w:t>
      </w:r>
      <w:r>
        <w:t xml:space="preserve"> </w:t>
      </w:r>
      <w:r>
        <w:rPr>
          <w:i/>
          <w:iCs/>
        </w:rPr>
        <w:t xml:space="preserve">Methods Ecol. Evol.</w:t>
      </w:r>
      <w:r>
        <w:t xml:space="preserve"> </w:t>
      </w:r>
      <w:r>
        <w:t xml:space="preserve">12, 1397–1410</w:t>
      </w:r>
    </w:p>
    <w:bookmarkEnd w:id="87"/>
    <w:bookmarkStart w:id="89" w:name="ref-Buckley2023"/>
    <w:p>
      <w:pPr>
        <w:pStyle w:val="Bibliography"/>
      </w:pPr>
      <w:r>
        <w:t xml:space="preserve">26.</w:t>
      </w:r>
      <w:r>
        <w:t xml:space="preserve"> </w:t>
      </w:r>
      <w:r>
        <w:t xml:space="preserve">	</w:t>
      </w:r>
      <w:r>
        <w:t xml:space="preserve">Buckley, L.B.</w:t>
      </w:r>
      <w:r>
        <w:t xml:space="preserve"> </w:t>
      </w:r>
      <w:r>
        <w:rPr>
          <w:i/>
          <w:iCs/>
        </w:rPr>
        <w:t xml:space="preserve">et al.</w:t>
      </w:r>
      <w:r>
        <w:t xml:space="preserve"> </w:t>
      </w:r>
      <w:r>
        <w:t xml:space="preserve">(2023)</w:t>
      </w:r>
      <w:r>
        <w:t xml:space="preserve"> </w:t>
      </w:r>
      <w:hyperlink r:id="rId88">
        <w:r>
          <w:rPr>
            <w:rStyle w:val="Hyperlink"/>
          </w:rPr>
          <w:t xml:space="preserve">TrenchR</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modular and accessible microclimate and biophysical ecology</w:t>
        </w:r>
      </w:hyperlink>
      <w:r>
        <w:t xml:space="preserve">.</w:t>
      </w:r>
      <w:r>
        <w:t xml:space="preserve"> </w:t>
      </w:r>
      <w:r>
        <w:rPr>
          <w:i/>
          <w:iCs/>
        </w:rPr>
        <w:t xml:space="preserve">PLOS Clim</w:t>
      </w:r>
      <w:r>
        <w:t xml:space="preserve"> </w:t>
      </w:r>
      <w:r>
        <w:t xml:space="preserve">2, e0000139</w:t>
      </w:r>
    </w:p>
    <w:bookmarkEnd w:id="89"/>
    <w:bookmarkStart w:id="90" w:name="ref-Bramer2018"/>
    <w:p>
      <w:pPr>
        <w:pStyle w:val="Bibliography"/>
      </w:pPr>
      <w:r>
        <w:t xml:space="preserve">27.</w:t>
      </w:r>
      <w:r>
        <w:t xml:space="preserve"> </w:t>
      </w:r>
      <w:r>
        <w:t xml:space="preserve">	</w:t>
      </w:r>
      <w:r>
        <w:t xml:space="preserve">Bramer, I.</w:t>
      </w:r>
      <w:r>
        <w:t xml:space="preserve"> </w:t>
      </w:r>
      <w:r>
        <w:rPr>
          <w:i/>
          <w:iCs/>
        </w:rPr>
        <w:t xml:space="preserve">et al.</w:t>
      </w:r>
      <w:r>
        <w:t xml:space="preserve"> </w:t>
      </w:r>
      <w:r>
        <w:t xml:space="preserve">(2018) Advances in monitoring and modelling climate at ecologically relevant scales. 58, 101–161</w:t>
      </w:r>
    </w:p>
    <w:bookmarkEnd w:id="90"/>
    <w:bookmarkStart w:id="92" w:name="ref-Levy2016"/>
    <w:p>
      <w:pPr>
        <w:pStyle w:val="Bibliography"/>
      </w:pPr>
      <w:r>
        <w:t xml:space="preserve">28.</w:t>
      </w:r>
      <w:r>
        <w:t xml:space="preserve"> </w:t>
      </w:r>
      <w:r>
        <w:t xml:space="preserve">	</w:t>
      </w:r>
      <w:r>
        <w:t xml:space="preserve">Levy, O.</w:t>
      </w:r>
      <w:r>
        <w:t xml:space="preserve"> </w:t>
      </w:r>
      <w:r>
        <w:rPr>
          <w:i/>
          <w:iCs/>
        </w:rPr>
        <w:t xml:space="preserve">et al.</w:t>
      </w:r>
      <w:r>
        <w:t xml:space="preserve"> </w:t>
      </w:r>
      <w:r>
        <w:t xml:space="preserve">(2016)</w:t>
      </w:r>
      <w:r>
        <w:t xml:space="preserve"> </w:t>
      </w:r>
      <w:hyperlink r:id="rId91">
        <w:r>
          <w:rPr>
            <w:rStyle w:val="Hyperlink"/>
          </w:rPr>
          <w:t xml:space="preserve">A dynamically downscaled projection of past and future microclimates</w:t>
        </w:r>
      </w:hyperlink>
      <w:r>
        <w:t xml:space="preserve">.</w:t>
      </w:r>
      <w:r>
        <w:t xml:space="preserve"> </w:t>
      </w:r>
      <w:r>
        <w:rPr>
          <w:i/>
          <w:iCs/>
        </w:rPr>
        <w:t xml:space="preserve">Ecology</w:t>
      </w:r>
      <w:r>
        <w:t xml:space="preserve"> </w:t>
      </w:r>
      <w:r>
        <w:t xml:space="preserve">97, 1888–1888</w:t>
      </w:r>
    </w:p>
    <w:bookmarkEnd w:id="92"/>
    <w:bookmarkStart w:id="94" w:name="ref-De_Frenne2024"/>
    <w:p>
      <w:pPr>
        <w:pStyle w:val="Bibliography"/>
      </w:pPr>
      <w:r>
        <w:t xml:space="preserve">29.</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r>
        <w:t xml:space="preserve"> </w:t>
      </w:r>
      <w:r>
        <w:t xml:space="preserve">DOI:</w:t>
      </w:r>
      <w:r>
        <w:t xml:space="preserve"> </w:t>
      </w:r>
      <w:hyperlink r:id="rId93">
        <w:r>
          <w:rPr>
            <w:rStyle w:val="Hyperlink"/>
          </w:rPr>
          <w:t xml:space="preserve">10.1111/2041-210x.14476</w:t>
        </w:r>
      </w:hyperlink>
    </w:p>
    <w:bookmarkEnd w:id="94"/>
    <w:bookmarkStart w:id="96" w:name="ref-Meyer2023"/>
    <w:p>
      <w:pPr>
        <w:pStyle w:val="Bibliography"/>
      </w:pPr>
      <w:r>
        <w:t xml:space="preserve">30.</w:t>
      </w:r>
      <w:r>
        <w:t xml:space="preserve"> </w:t>
      </w:r>
      <w:r>
        <w:t xml:space="preserve">	</w:t>
      </w:r>
      <w:r>
        <w:t xml:space="preserve">Meyer, A.V.</w:t>
      </w:r>
      <w:r>
        <w:t xml:space="preserve"> </w:t>
      </w:r>
      <w:r>
        <w:rPr>
          <w:i/>
          <w:iCs/>
        </w:rPr>
        <w:t xml:space="preserve">et al.</w:t>
      </w:r>
      <w:r>
        <w:t xml:space="preserve"> </w:t>
      </w:r>
      <w:r>
        <w:t xml:space="preserve">(2023)</w:t>
      </w:r>
      <w:r>
        <w:t xml:space="preserve"> </w:t>
      </w:r>
      <w:hyperlink r:id="rId95">
        <w:r>
          <w:rPr>
            <w:rStyle w:val="Hyperlink"/>
          </w:rPr>
          <w:t xml:space="preserve">A guide and tools for selecting and accessing microclimate data for mechanistic niche modeling</w:t>
        </w:r>
      </w:hyperlink>
      <w:r>
        <w:t xml:space="preserve">.</w:t>
      </w:r>
      <w:r>
        <w:t xml:space="preserve"> </w:t>
      </w:r>
      <w:r>
        <w:rPr>
          <w:i/>
          <w:iCs/>
        </w:rPr>
        <w:t xml:space="preserve">Ecosphere</w:t>
      </w:r>
      <w:r>
        <w:t xml:space="preserve"> </w:t>
      </w:r>
      <w:r>
        <w:t xml:space="preserve">14</w:t>
      </w:r>
    </w:p>
    <w:bookmarkEnd w:id="96"/>
    <w:bookmarkStart w:id="98" w:name="ref-Drake2018"/>
    <w:p>
      <w:pPr>
        <w:pStyle w:val="Bibliography"/>
      </w:pPr>
      <w:r>
        <w:t xml:space="preserve">31.</w:t>
      </w:r>
      <w:r>
        <w:t xml:space="preserve"> </w:t>
      </w:r>
      <w:r>
        <w:t xml:space="preserve">	</w:t>
      </w:r>
      <w:r>
        <w:t xml:space="preserve">Drake, J.E.</w:t>
      </w:r>
      <w:r>
        <w:t xml:space="preserve"> </w:t>
      </w:r>
      <w:r>
        <w:rPr>
          <w:i/>
          <w:iCs/>
        </w:rPr>
        <w:t xml:space="preserve">et al.</w:t>
      </w:r>
      <w:r>
        <w:t xml:space="preserve"> </w:t>
      </w:r>
      <w:r>
        <w:t xml:space="preserve">(2018)</w:t>
      </w:r>
      <w:r>
        <w:t xml:space="preserve"> </w:t>
      </w:r>
      <w:hyperlink r:id="rId97">
        <w:r>
          <w:rPr>
            <w:rStyle w:val="Hyperlink"/>
          </w:rPr>
          <w:t xml:space="preserve">Trees tolerate an extreme heatwave via sustained transpirational cooling and increased leaf thermal tolerance</w:t>
        </w:r>
      </w:hyperlink>
      <w:r>
        <w:t xml:space="preserve">.</w:t>
      </w:r>
      <w:r>
        <w:t xml:space="preserve"> </w:t>
      </w:r>
      <w:r>
        <w:rPr>
          <w:i/>
          <w:iCs/>
        </w:rPr>
        <w:t xml:space="preserve">Glob. Chang. Biol.</w:t>
      </w:r>
      <w:r>
        <w:t xml:space="preserve"> </w:t>
      </w:r>
      <w:r>
        <w:t xml:space="preserve">24, 2390–2402</w:t>
      </w:r>
    </w:p>
    <w:bookmarkEnd w:id="98"/>
    <w:bookmarkStart w:id="100" w:name="ref-Holzworth2018"/>
    <w:p>
      <w:pPr>
        <w:pStyle w:val="Bibliography"/>
      </w:pPr>
      <w:r>
        <w:t xml:space="preserve">32.</w:t>
      </w:r>
      <w:r>
        <w:t xml:space="preserve"> </w:t>
      </w:r>
      <w:r>
        <w:t xml:space="preserve">	</w:t>
      </w:r>
      <w:r>
        <w:t xml:space="preserve">Holzworth, D.</w:t>
      </w:r>
      <w:r>
        <w:t xml:space="preserve"> </w:t>
      </w:r>
      <w:r>
        <w:rPr>
          <w:i/>
          <w:iCs/>
        </w:rPr>
        <w:t xml:space="preserve">et al.</w:t>
      </w:r>
      <w:r>
        <w:t xml:space="preserve"> </w:t>
      </w:r>
      <w:r>
        <w:t xml:space="preserve">(2018)</w:t>
      </w:r>
      <w:r>
        <w:t xml:space="preserve"> </w:t>
      </w:r>
      <w:hyperlink r:id="rId99">
        <w:r>
          <w:rPr>
            <w:rStyle w:val="Hyperlink"/>
          </w:rPr>
          <w:t xml:space="preserve">APSIM</w:t>
        </w:r>
        <w:r>
          <w:rPr>
            <w:rStyle w:val="Hyperlink"/>
          </w:rPr>
          <w:t xml:space="preserve"> </w:t>
        </w:r>
        <w:r>
          <w:rPr>
            <w:rStyle w:val="Hyperlink"/>
          </w:rPr>
          <w:t xml:space="preserve">next generation: Overcoming challenges in modernising a farming systems model</w:t>
        </w:r>
      </w:hyperlink>
      <w:r>
        <w:t xml:space="preserve">.</w:t>
      </w:r>
      <w:r>
        <w:t xml:space="preserve"> </w:t>
      </w:r>
      <w:r>
        <w:rPr>
          <w:i/>
          <w:iCs/>
        </w:rPr>
        <w:t xml:space="preserve">Environ. Model. Softw.</w:t>
      </w:r>
      <w:r>
        <w:t xml:space="preserve"> </w:t>
      </w:r>
      <w:r>
        <w:t xml:space="preserve">103, 43–51</w:t>
      </w:r>
    </w:p>
    <w:bookmarkEnd w:id="100"/>
    <w:bookmarkStart w:id="102" w:name="ref-Medlyn2011"/>
    <w:p>
      <w:pPr>
        <w:pStyle w:val="Bibliography"/>
      </w:pPr>
      <w:r>
        <w:t xml:space="preserve">33.</w:t>
      </w:r>
      <w:r>
        <w:t xml:space="preserve"> </w:t>
      </w:r>
      <w:r>
        <w:t xml:space="preserve">	</w:t>
      </w:r>
      <w:r>
        <w:t xml:space="preserve">Medlyn, B.E.</w:t>
      </w:r>
      <w:r>
        <w:t xml:space="preserve"> </w:t>
      </w:r>
      <w:r>
        <w:rPr>
          <w:i/>
          <w:iCs/>
        </w:rPr>
        <w:t xml:space="preserve">et al.</w:t>
      </w:r>
      <w:r>
        <w:t xml:space="preserve"> </w:t>
      </w:r>
      <w:r>
        <w:t xml:space="preserve">(2011)</w:t>
      </w:r>
      <w:r>
        <w:t xml:space="preserve"> </w:t>
      </w:r>
      <w:hyperlink r:id="rId101">
        <w:r>
          <w:rPr>
            <w:rStyle w:val="Hyperlink"/>
          </w:rPr>
          <w:t xml:space="preserve">Reconciling the optimal and empirical approaches to modelling stomatal conductance:</w:t>
        </w:r>
        <w:r>
          <w:rPr>
            <w:rStyle w:val="Hyperlink"/>
          </w:rPr>
          <w:t xml:space="preserve"> </w:t>
        </w:r>
        <w:r>
          <w:rPr>
            <w:rStyle w:val="Hyperlink"/>
          </w:rPr>
          <w:t xml:space="preserve">RECONCILING</w:t>
        </w:r>
        <w:r>
          <w:rPr>
            <w:rStyle w:val="Hyperlink"/>
          </w:rPr>
          <w:t xml:space="preserve"> </w:t>
        </w:r>
        <w:r>
          <w:rPr>
            <w:rStyle w:val="Hyperlink"/>
          </w:rPr>
          <w:t xml:space="preserve">OPTIMAL</w:t>
        </w:r>
        <w:r>
          <w:rPr>
            <w:rStyle w:val="Hyperlink"/>
          </w:rPr>
          <w:t xml:space="preserve"> </w:t>
        </w:r>
        <w:r>
          <w:rPr>
            <w:rStyle w:val="Hyperlink"/>
          </w:rPr>
          <w:t xml:space="preserve">AND</w:t>
        </w:r>
        <w:r>
          <w:rPr>
            <w:rStyle w:val="Hyperlink"/>
          </w:rPr>
          <w:t xml:space="preserve"> </w:t>
        </w:r>
        <w:r>
          <w:rPr>
            <w:rStyle w:val="Hyperlink"/>
          </w:rPr>
          <w:t xml:space="preserve">EMPIRICAL</w:t>
        </w:r>
        <w:r>
          <w:rPr>
            <w:rStyle w:val="Hyperlink"/>
          </w:rPr>
          <w:t xml:space="preserve"> </w:t>
        </w:r>
        <w:r>
          <w:rPr>
            <w:rStyle w:val="Hyperlink"/>
          </w:rPr>
          <w:t xml:space="preserve">STOMATAL</w:t>
        </w:r>
        <w:r>
          <w:rPr>
            <w:rStyle w:val="Hyperlink"/>
          </w:rPr>
          <w:t xml:space="preserve"> </w:t>
        </w:r>
        <w:r>
          <w:rPr>
            <w:rStyle w:val="Hyperlink"/>
          </w:rPr>
          <w:t xml:space="preserve">MODELS</w:t>
        </w:r>
      </w:hyperlink>
      <w:r>
        <w:t xml:space="preserve">.</w:t>
      </w:r>
      <w:r>
        <w:t xml:space="preserve"> </w:t>
      </w:r>
      <w:r>
        <w:rPr>
          <w:i/>
          <w:iCs/>
        </w:rPr>
        <w:t xml:space="preserve">Glob. Chang. Biol.</w:t>
      </w:r>
      <w:r>
        <w:t xml:space="preserve"> </w:t>
      </w:r>
      <w:r>
        <w:t xml:space="preserve">17, 2134–2144</w:t>
      </w:r>
    </w:p>
    <w:bookmarkEnd w:id="102"/>
    <w:bookmarkStart w:id="104" w:name="ref-Porter1973"/>
    <w:p>
      <w:pPr>
        <w:pStyle w:val="Bibliography"/>
      </w:pPr>
      <w:r>
        <w:t xml:space="preserve">34.</w:t>
      </w:r>
      <w:r>
        <w:t xml:space="preserve"> </w:t>
      </w:r>
      <w:r>
        <w:t xml:space="preserve">	</w:t>
      </w:r>
      <w:r>
        <w:t xml:space="preserve">Porter, W.P.</w:t>
      </w:r>
      <w:r>
        <w:t xml:space="preserve"> </w:t>
      </w:r>
      <w:r>
        <w:rPr>
          <w:i/>
          <w:iCs/>
        </w:rPr>
        <w:t xml:space="preserve">et al.</w:t>
      </w:r>
      <w:r>
        <w:t xml:space="preserve"> </w:t>
      </w:r>
      <w:r>
        <w:t xml:space="preserve">(1973)</w:t>
      </w:r>
      <w:r>
        <w:t xml:space="preserve"> </w:t>
      </w:r>
      <w:hyperlink r:id="rId103">
        <w:r>
          <w:rPr>
            <w:rStyle w:val="Hyperlink"/>
          </w:rPr>
          <w:t xml:space="preserve">Behavioral implications of mechanistic ecology : Thermal and behavioral modeling of desert ectotherms and their microenvironment</w:t>
        </w:r>
      </w:hyperlink>
      <w:r>
        <w:t xml:space="preserve">.</w:t>
      </w:r>
      <w:r>
        <w:t xml:space="preserve"> </w:t>
      </w:r>
      <w:r>
        <w:rPr>
          <w:i/>
          <w:iCs/>
        </w:rPr>
        <w:t xml:space="preserve">Oecologia</w:t>
      </w:r>
      <w:r>
        <w:t xml:space="preserve"> </w:t>
      </w:r>
      <w:r>
        <w:t xml:space="preserve">13, 1–54</w:t>
      </w:r>
    </w:p>
    <w:bookmarkEnd w:id="104"/>
    <w:bookmarkStart w:id="106" w:name="ref-Porter1969"/>
    <w:p>
      <w:pPr>
        <w:pStyle w:val="Bibliography"/>
      </w:pPr>
      <w:r>
        <w:t xml:space="preserve">35.</w:t>
      </w:r>
      <w:r>
        <w:t xml:space="preserve"> </w:t>
      </w:r>
      <w:r>
        <w:t xml:space="preserve">	</w:t>
      </w:r>
      <w:r>
        <w:t xml:space="preserve">Porter, W.P. and Gates, D.M. (1969)</w:t>
      </w:r>
      <w:r>
        <w:t xml:space="preserve"> </w:t>
      </w:r>
      <w:hyperlink r:id="rId105">
        <w:r>
          <w:rPr>
            <w:rStyle w:val="Hyperlink"/>
          </w:rPr>
          <w:t xml:space="preserve">Thermodynamic equilibria of animals with environment</w:t>
        </w:r>
      </w:hyperlink>
      <w:r>
        <w:t xml:space="preserve">.</w:t>
      </w:r>
      <w:r>
        <w:t xml:space="preserve"> </w:t>
      </w:r>
      <w:r>
        <w:rPr>
          <w:i/>
          <w:iCs/>
        </w:rPr>
        <w:t xml:space="preserve">Ecol. Monogr.</w:t>
      </w:r>
      <w:r>
        <w:t xml:space="preserve"> </w:t>
      </w:r>
      <w:r>
        <w:t xml:space="preserve">39, 227–244</w:t>
      </w:r>
    </w:p>
    <w:bookmarkEnd w:id="106"/>
    <w:bookmarkStart w:id="108" w:name="ref-Riddell2017"/>
    <w:p>
      <w:pPr>
        <w:pStyle w:val="Bibliography"/>
      </w:pPr>
      <w:r>
        <w:t xml:space="preserve">36.</w:t>
      </w:r>
      <w:r>
        <w:t xml:space="preserve"> </w:t>
      </w:r>
      <w:r>
        <w:t xml:space="preserve">	</w:t>
      </w:r>
      <w:r>
        <w:t xml:space="preserve">Riddell, E.A.</w:t>
      </w:r>
      <w:r>
        <w:t xml:space="preserve"> </w:t>
      </w:r>
      <w:r>
        <w:rPr>
          <w:i/>
          <w:iCs/>
        </w:rPr>
        <w:t xml:space="preserve">et al.</w:t>
      </w:r>
      <w:r>
        <w:t xml:space="preserve"> </w:t>
      </w:r>
      <w:r>
        <w:t xml:space="preserve">(2017)</w:t>
      </w:r>
      <w:r>
        <w:t xml:space="preserve"> </w:t>
      </w:r>
      <w:hyperlink r:id="rId107">
        <w:r>
          <w:rPr>
            <w:rStyle w:val="Hyperlink"/>
          </w:rPr>
          <w:t xml:space="preserve">Physical calculations of resistance to water loss improve predictions of species range models</w:t>
        </w:r>
      </w:hyperlink>
      <w:r>
        <w:t xml:space="preserve">.</w:t>
      </w:r>
      <w:r>
        <w:t xml:space="preserve"> </w:t>
      </w:r>
      <w:r>
        <w:rPr>
          <w:i/>
          <w:iCs/>
        </w:rPr>
        <w:t xml:space="preserve">Ecol. Monogr.</w:t>
      </w:r>
      <w:r>
        <w:t xml:space="preserve"> </w:t>
      </w:r>
      <w:r>
        <w:t xml:space="preserve">87, 21–33</w:t>
      </w:r>
    </w:p>
    <w:bookmarkEnd w:id="108"/>
    <w:bookmarkStart w:id="110" w:name="ref-Duursma2015"/>
    <w:p>
      <w:pPr>
        <w:pStyle w:val="Bibliography"/>
      </w:pPr>
      <w:r>
        <w:t xml:space="preserve">37.</w:t>
      </w:r>
      <w:r>
        <w:t xml:space="preserve"> </w:t>
      </w:r>
      <w:r>
        <w:t xml:space="preserve">	</w:t>
      </w:r>
      <w:r>
        <w:t xml:space="preserve">Duursma, R.A. (2015)</w:t>
      </w:r>
      <w:r>
        <w:t xml:space="preserve"> </w:t>
      </w:r>
      <w:hyperlink r:id="rId109">
        <w:r>
          <w:rPr>
            <w:rStyle w:val="Hyperlink"/>
          </w:rPr>
          <w:t xml:space="preserve">Plantecophys–an</w:t>
        </w:r>
        <w:r>
          <w:rPr>
            <w:rStyle w:val="Hyperlink"/>
          </w:rPr>
          <w:t xml:space="preserve"> </w:t>
        </w:r>
        <w:r>
          <w:rPr>
            <w:rStyle w:val="Hyperlink"/>
          </w:rPr>
          <w:t xml:space="preserve">R</w:t>
        </w:r>
        <w:r>
          <w:rPr>
            <w:rStyle w:val="Hyperlink"/>
          </w:rPr>
          <w:t xml:space="preserve"> </w:t>
        </w:r>
        <w:r>
          <w:rPr>
            <w:rStyle w:val="Hyperlink"/>
          </w:rPr>
          <w:t xml:space="preserve">package for analysing and modelling leaf gas exchange data</w:t>
        </w:r>
      </w:hyperlink>
      <w:r>
        <w:t xml:space="preserve">.</w:t>
      </w:r>
      <w:r>
        <w:t xml:space="preserve"> </w:t>
      </w:r>
      <w:r>
        <w:rPr>
          <w:i/>
          <w:iCs/>
        </w:rPr>
        <w:t xml:space="preserve">PLoS One</w:t>
      </w:r>
      <w:r>
        <w:t xml:space="preserve"> </w:t>
      </w:r>
      <w:r>
        <w:t xml:space="preserve">10, e0143346</w:t>
      </w:r>
    </w:p>
    <w:bookmarkEnd w:id="110"/>
    <w:bookmarkStart w:id="112" w:name="ref-Wild2025"/>
    <w:p>
      <w:pPr>
        <w:pStyle w:val="Bibliography"/>
      </w:pPr>
      <w:r>
        <w:t xml:space="preserve">38.</w:t>
      </w:r>
      <w:r>
        <w:t xml:space="preserve"> </w:t>
      </w:r>
      <w:r>
        <w:t xml:space="preserve">	</w:t>
      </w:r>
      <w:r>
        <w:t xml:space="preserve">Wild, K.H.</w:t>
      </w:r>
      <w:r>
        <w:t xml:space="preserve"> </w:t>
      </w:r>
      <w:r>
        <w:rPr>
          <w:i/>
          <w:iCs/>
        </w:rPr>
        <w:t xml:space="preserve">et al.</w:t>
      </w:r>
      <w:r>
        <w:t xml:space="preserve"> </w:t>
      </w:r>
      <w:r>
        <w:t xml:space="preserve">(2025)</w:t>
      </w:r>
      <w:r>
        <w:t xml:space="preserve"> </w:t>
      </w:r>
      <w:hyperlink r:id="rId111">
        <w:r>
          <w:rPr>
            <w:rStyle w:val="Hyperlink"/>
          </w:rPr>
          <w:t xml:space="preserve">Climate change and the cost-of-living squeeze in desert lizards</w:t>
        </w:r>
      </w:hyperlink>
      <w:r>
        <w:t xml:space="preserve">.</w:t>
      </w:r>
      <w:r>
        <w:t xml:space="preserve"> </w:t>
      </w:r>
      <w:r>
        <w:rPr>
          <w:i/>
          <w:iCs/>
        </w:rPr>
        <w:t xml:space="preserve">Science</w:t>
      </w:r>
      <w:r>
        <w:t xml:space="preserve"> </w:t>
      </w:r>
      <w:r>
        <w:t xml:space="preserve">387, 303–309</w:t>
      </w:r>
    </w:p>
    <w:bookmarkEnd w:id="112"/>
    <w:bookmarkStart w:id="114" w:name="ref-Briscoe2022"/>
    <w:p>
      <w:pPr>
        <w:pStyle w:val="Bibliography"/>
      </w:pPr>
      <w:r>
        <w:t xml:space="preserve">39.</w:t>
      </w:r>
      <w:r>
        <w:t xml:space="preserve"> </w:t>
      </w:r>
      <w:r>
        <w:t xml:space="preserve">	</w:t>
      </w:r>
      <w:r>
        <w:t xml:space="preserve">Briscoe, N.J.</w:t>
      </w:r>
      <w:r>
        <w:t xml:space="preserve"> </w:t>
      </w:r>
      <w:r>
        <w:rPr>
          <w:i/>
          <w:iCs/>
        </w:rPr>
        <w:t xml:space="preserve">et al.</w:t>
      </w:r>
      <w:r>
        <w:t xml:space="preserve"> </w:t>
      </w:r>
      <w:r>
        <w:t xml:space="preserve">(2022)</w:t>
      </w:r>
      <w:r>
        <w:t xml:space="preserve"> </w:t>
      </w:r>
      <w:hyperlink r:id="rId113">
        <w:r>
          <w:rPr>
            <w:rStyle w:val="Hyperlink"/>
          </w:rPr>
          <w:t xml:space="preserve">Too hot to hunt: Mechanistic predictions of thermal refuge from cat predation risk</w:t>
        </w:r>
      </w:hyperlink>
      <w:r>
        <w:t xml:space="preserve">.</w:t>
      </w:r>
      <w:r>
        <w:t xml:space="preserve"> </w:t>
      </w:r>
      <w:r>
        <w:rPr>
          <w:i/>
          <w:iCs/>
        </w:rPr>
        <w:t xml:space="preserve">Conserv. Lett.</w:t>
      </w:r>
      <w:r>
        <w:t xml:space="preserve"> </w:t>
      </w:r>
      <w:r>
        <w:t xml:space="preserve">15</w:t>
      </w:r>
    </w:p>
    <w:bookmarkEnd w:id="114"/>
    <w:bookmarkStart w:id="116" w:name="ref-Duursma2019"/>
    <w:p>
      <w:pPr>
        <w:pStyle w:val="Bibliography"/>
      </w:pPr>
      <w:r>
        <w:t xml:space="preserve">40.</w:t>
      </w:r>
      <w:r>
        <w:t xml:space="preserve"> </w:t>
      </w:r>
      <w:r>
        <w:t xml:space="preserve">	</w:t>
      </w:r>
      <w:r>
        <w:t xml:space="preserve">Duursma, R.A.</w:t>
      </w:r>
      <w:r>
        <w:t xml:space="preserve"> </w:t>
      </w:r>
      <w:r>
        <w:rPr>
          <w:i/>
          <w:iCs/>
        </w:rPr>
        <w:t xml:space="preserve">et al.</w:t>
      </w:r>
      <w:r>
        <w:t xml:space="preserve"> </w:t>
      </w:r>
      <w:r>
        <w:t xml:space="preserve">(2019)</w:t>
      </w:r>
      <w:r>
        <w:t xml:space="preserve"> </w:t>
      </w:r>
      <w:hyperlink r:id="rId115">
        <w:r>
          <w:rPr>
            <w:rStyle w:val="Hyperlink"/>
          </w:rPr>
          <w:t xml:space="preserve">On the minimum leaf conductance: Its role in models of plant water use, and ecological and environmental controls</w:t>
        </w:r>
      </w:hyperlink>
      <w:r>
        <w:t xml:space="preserve">.</w:t>
      </w:r>
      <w:r>
        <w:t xml:space="preserve"> </w:t>
      </w:r>
      <w:r>
        <w:rPr>
          <w:i/>
          <w:iCs/>
        </w:rPr>
        <w:t xml:space="preserve">New Phytol.</w:t>
      </w:r>
      <w:r>
        <w:t xml:space="preserve"> </w:t>
      </w:r>
      <w:r>
        <w:t xml:space="preserve">221, 693–705</w:t>
      </w:r>
    </w:p>
    <w:bookmarkEnd w:id="116"/>
    <w:bookmarkStart w:id="118" w:name="ref-Loughran2020"/>
    <w:p>
      <w:pPr>
        <w:pStyle w:val="Bibliography"/>
      </w:pPr>
      <w:r>
        <w:t xml:space="preserve">41.</w:t>
      </w:r>
      <w:r>
        <w:t xml:space="preserve"> </w:t>
      </w:r>
      <w:r>
        <w:t xml:space="preserve">	</w:t>
      </w:r>
      <w:r>
        <w:t xml:space="preserve">Loughran, C.L. and Wolf, B.O. (2020)</w:t>
      </w:r>
      <w:r>
        <w:t xml:space="preserve"> </w:t>
      </w:r>
      <w:hyperlink r:id="rId117">
        <w:r>
          <w:rPr>
            <w:rStyle w:val="Hyperlink"/>
          </w:rPr>
          <w:t xml:space="preserve">The functional significance of panting as a mechanism of thermoregulation and its relationship to the critical thermal maxima in lizards</w:t>
        </w:r>
      </w:hyperlink>
      <w:r>
        <w:t xml:space="preserve">.</w:t>
      </w:r>
      <w:r>
        <w:t xml:space="preserve"> </w:t>
      </w:r>
      <w:r>
        <w:rPr>
          <w:i/>
          <w:iCs/>
        </w:rPr>
        <w:t xml:space="preserve">J. Exp. Biol.</w:t>
      </w:r>
      <w:r>
        <w:t xml:space="preserve"> </w:t>
      </w:r>
      <w:r>
        <w:t xml:space="preserve">223, jeb224139</w:t>
      </w:r>
    </w:p>
    <w:bookmarkEnd w:id="118"/>
    <w:bookmarkStart w:id="120" w:name="ref-Sharpe2022"/>
    <w:p>
      <w:pPr>
        <w:pStyle w:val="Bibliography"/>
      </w:pPr>
      <w:r>
        <w:t xml:space="preserve">42.</w:t>
      </w:r>
      <w:r>
        <w:t xml:space="preserve"> </w:t>
      </w:r>
      <w:r>
        <w:t xml:space="preserve">	</w:t>
      </w:r>
      <w:r>
        <w:t xml:space="preserve">Sharpe, L.L.</w:t>
      </w:r>
      <w:r>
        <w:t xml:space="preserve"> </w:t>
      </w:r>
      <w:r>
        <w:rPr>
          <w:i/>
          <w:iCs/>
        </w:rPr>
        <w:t xml:space="preserve">et al.</w:t>
      </w:r>
      <w:r>
        <w:t xml:space="preserve"> </w:t>
      </w:r>
      <w:r>
        <w:t xml:space="preserve">(2022)</w:t>
      </w:r>
      <w:r>
        <w:t xml:space="preserve"> </w:t>
      </w:r>
      <w:hyperlink r:id="rId119">
        <w:r>
          <w:rPr>
            <w:rStyle w:val="Hyperlink"/>
          </w:rPr>
          <w:t xml:space="preserve">In the hot seat: Behavioral change and old-growth trees underpin an australian songbird’s response to extreme heat</w:t>
        </w:r>
      </w:hyperlink>
      <w:r>
        <w:t xml:space="preserve">.</w:t>
      </w:r>
      <w:r>
        <w:t xml:space="preserve"> </w:t>
      </w:r>
      <w:r>
        <w:rPr>
          <w:i/>
          <w:iCs/>
        </w:rPr>
        <w:t xml:space="preserve">Front. Ecol. Evol.</w:t>
      </w:r>
      <w:r>
        <w:t xml:space="preserve"> </w:t>
      </w:r>
      <w:r>
        <w:t xml:space="preserve">10</w:t>
      </w:r>
    </w:p>
    <w:bookmarkEnd w:id="120"/>
    <w:bookmarkStart w:id="122" w:name="ref-Posch2024"/>
    <w:p>
      <w:pPr>
        <w:pStyle w:val="Bibliography"/>
      </w:pPr>
      <w:r>
        <w:t xml:space="preserve">43.</w:t>
      </w:r>
      <w:r>
        <w:t xml:space="preserve"> </w:t>
      </w:r>
      <w:r>
        <w:t xml:space="preserve">	</w:t>
      </w:r>
      <w:r>
        <w:t xml:space="preserve">Posch, B.C.</w:t>
      </w:r>
      <w:r>
        <w:t xml:space="preserve"> </w:t>
      </w:r>
      <w:r>
        <w:rPr>
          <w:i/>
          <w:iCs/>
        </w:rPr>
        <w:t xml:space="preserve">et al.</w:t>
      </w:r>
      <w:r>
        <w:t xml:space="preserve"> </w:t>
      </w:r>
      <w:r>
        <w:t xml:space="preserve">(2024)</w:t>
      </w:r>
      <w:r>
        <w:t xml:space="preserve"> </w:t>
      </w:r>
      <w:hyperlink r:id="rId121">
        <w:r>
          <w:rPr>
            <w:rStyle w:val="Hyperlink"/>
          </w:rPr>
          <w:t xml:space="preserve">Intensive leaf cooling promotes tree survival during a record heatwave</w:t>
        </w:r>
      </w:hyperlink>
      <w:r>
        <w:t xml:space="preserve">.</w:t>
      </w:r>
      <w:r>
        <w:t xml:space="preserve"> </w:t>
      </w:r>
      <w:r>
        <w:rPr>
          <w:i/>
          <w:iCs/>
        </w:rPr>
        <w:t xml:space="preserve">Proc. Natl. Acad. Sci. U. S. A.</w:t>
      </w:r>
      <w:r>
        <w:t xml:space="preserve"> </w:t>
      </w:r>
      <w:r>
        <w:t xml:space="preserve">121, e2408583121</w:t>
      </w:r>
    </w:p>
    <w:bookmarkEnd w:id="122"/>
    <w:bookmarkStart w:id="123" w:name="ref-Orsted2022"/>
    <w:p>
      <w:pPr>
        <w:pStyle w:val="Bibliography"/>
      </w:pPr>
      <w:r>
        <w:t xml:space="preserve">44.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123"/>
    <w:bookmarkStart w:id="125" w:name="ref-Jagadish2021"/>
    <w:p>
      <w:pPr>
        <w:pStyle w:val="Bibliography"/>
      </w:pPr>
      <w:r>
        <w:t xml:space="preserve">45.</w:t>
      </w:r>
      <w:r>
        <w:t xml:space="preserve"> </w:t>
      </w:r>
      <w:r>
        <w:t xml:space="preserve">	</w:t>
      </w:r>
      <w:r>
        <w:t xml:space="preserve">Jagadish, S.V.K.</w:t>
      </w:r>
      <w:r>
        <w:t xml:space="preserve"> </w:t>
      </w:r>
      <w:r>
        <w:rPr>
          <w:i/>
          <w:iCs/>
        </w:rPr>
        <w:t xml:space="preserve">et al.</w:t>
      </w:r>
      <w:r>
        <w:t xml:space="preserve"> </w:t>
      </w:r>
      <w:r>
        <w:t xml:space="preserve">(2021)</w:t>
      </w:r>
      <w:r>
        <w:t xml:space="preserve"> </w:t>
      </w:r>
      <w:hyperlink r:id="rId124">
        <w:r>
          <w:rPr>
            <w:rStyle w:val="Hyperlink"/>
          </w:rPr>
          <w:t xml:space="preserve">Plant heat stress: Concepts directing future research</w:t>
        </w:r>
      </w:hyperlink>
      <w:r>
        <w:t xml:space="preserve">.</w:t>
      </w:r>
      <w:r>
        <w:t xml:space="preserve"> </w:t>
      </w:r>
      <w:r>
        <w:rPr>
          <w:i/>
          <w:iCs/>
        </w:rPr>
        <w:t xml:space="preserve">Plant Cell Environ.</w:t>
      </w:r>
      <w:r>
        <w:t xml:space="preserve"> </w:t>
      </w:r>
      <w:r>
        <w:t xml:space="preserve">44, 1992–2005</w:t>
      </w:r>
    </w:p>
    <w:bookmarkEnd w:id="125"/>
    <w:bookmarkStart w:id="127" w:name="ref-Faber2024"/>
    <w:p>
      <w:pPr>
        <w:pStyle w:val="Bibliography"/>
      </w:pPr>
      <w:r>
        <w:t xml:space="preserve">46.</w:t>
      </w:r>
      <w:r>
        <w:t xml:space="preserve"> </w:t>
      </w:r>
      <w:r>
        <w:t xml:space="preserve">	</w:t>
      </w:r>
      <w:r>
        <w:t xml:space="preserve">Faber, A.H.</w:t>
      </w:r>
      <w:r>
        <w:t xml:space="preserve"> </w:t>
      </w:r>
      <w:r>
        <w:rPr>
          <w:i/>
          <w:iCs/>
        </w:rPr>
        <w:t xml:space="preserve">et al.</w:t>
      </w:r>
      <w:r>
        <w:t xml:space="preserve"> </w:t>
      </w:r>
      <w:r>
        <w:t xml:space="preserve">(2024)</w:t>
      </w:r>
      <w:r>
        <w:t xml:space="preserve"> </w:t>
      </w:r>
      <w:hyperlink r:id="rId126">
        <w:r>
          <w:rPr>
            <w:rStyle w:val="Hyperlink"/>
          </w:rPr>
          <w:t xml:space="preserve">Application of the thermal death time model in predicting thermal damage accumulation in plants</w:t>
        </w:r>
      </w:hyperlink>
      <w:r>
        <w:t xml:space="preserve">.</w:t>
      </w:r>
      <w:r>
        <w:t xml:space="preserve"> </w:t>
      </w:r>
      <w:r>
        <w:rPr>
          <w:i/>
          <w:iCs/>
        </w:rPr>
        <w:t xml:space="preserve">J. Exp. Bot.</w:t>
      </w:r>
      <w:r>
        <w:t xml:space="preserve"> </w:t>
      </w:r>
      <w:r>
        <w:t xml:space="preserve">75, 3467–3482</w:t>
      </w:r>
    </w:p>
    <w:bookmarkEnd w:id="127"/>
    <w:bookmarkStart w:id="128" w:name="ref-Martinez-De_Leon2024"/>
    <w:p>
      <w:pPr>
        <w:pStyle w:val="Bibliography"/>
      </w:pPr>
      <w:r>
        <w:t xml:space="preserve">47.</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128"/>
    <w:bookmarkStart w:id="130" w:name="ref-Marchin2022"/>
    <w:p>
      <w:pPr>
        <w:pStyle w:val="Bibliography"/>
      </w:pPr>
      <w:r>
        <w:t xml:space="preserve">48.</w:t>
      </w:r>
      <w:r>
        <w:t xml:space="preserve"> </w:t>
      </w:r>
      <w:r>
        <w:t xml:space="preserve">	</w:t>
      </w:r>
      <w:r>
        <w:t xml:space="preserve">Marchin, R.M.</w:t>
      </w:r>
      <w:r>
        <w:t xml:space="preserve"> </w:t>
      </w:r>
      <w:r>
        <w:rPr>
          <w:i/>
          <w:iCs/>
        </w:rPr>
        <w:t xml:space="preserve">et al.</w:t>
      </w:r>
      <w:r>
        <w:t xml:space="preserve"> </w:t>
      </w:r>
      <w:r>
        <w:t xml:space="preserve">(2022)</w:t>
      </w:r>
      <w:r>
        <w:t xml:space="preserve"> </w:t>
      </w:r>
      <w:hyperlink r:id="rId129">
        <w:r>
          <w:rPr>
            <w:rStyle w:val="Hyperlink"/>
          </w:rPr>
          <w:t xml:space="preserve">Extreme heat increases stomatal conductance and drought-induced mortality risk in vulnerable plant species</w:t>
        </w:r>
      </w:hyperlink>
      <w:r>
        <w:t xml:space="preserve">.</w:t>
      </w:r>
      <w:r>
        <w:t xml:space="preserve"> </w:t>
      </w:r>
      <w:r>
        <w:rPr>
          <w:i/>
          <w:iCs/>
        </w:rPr>
        <w:t xml:space="preserve">Glob. Chang. Biol.</w:t>
      </w:r>
      <w:r>
        <w:t xml:space="preserve"> </w:t>
      </w:r>
      <w:r>
        <w:t xml:space="preserve">28, 1133–1146</w:t>
      </w:r>
    </w:p>
    <w:bookmarkEnd w:id="130"/>
    <w:bookmarkStart w:id="132" w:name="ref-Youngblood2025"/>
    <w:p>
      <w:pPr>
        <w:pStyle w:val="Bibliography"/>
      </w:pPr>
      <w:r>
        <w:t xml:space="preserve">49.</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r>
        <w:t xml:space="preserve"> </w:t>
      </w:r>
      <w:r>
        <w:t xml:space="preserve">DOI:</w:t>
      </w:r>
      <w:r>
        <w:t xml:space="preserve"> </w:t>
      </w:r>
      <w:hyperlink r:id="rId131">
        <w:r>
          <w:rPr>
            <w:rStyle w:val="Hyperlink"/>
          </w:rPr>
          <w:t xml:space="preserve">10.1111/1365-2435.70038</w:t>
        </w:r>
      </w:hyperlink>
    </w:p>
    <w:bookmarkEnd w:id="132"/>
    <w:bookmarkStart w:id="134" w:name="ref-Mengutay2013"/>
    <w:p>
      <w:pPr>
        <w:pStyle w:val="Bibliography"/>
      </w:pPr>
      <w:r>
        <w:t xml:space="preserve">50.</w:t>
      </w:r>
      <w:r>
        <w:t xml:space="preserve"> </w:t>
      </w:r>
      <w:r>
        <w:t xml:space="preserve">	</w:t>
      </w:r>
      <w:r>
        <w:t xml:space="preserve">Mengutay, M.</w:t>
      </w:r>
      <w:r>
        <w:t xml:space="preserve"> </w:t>
      </w:r>
      <w:r>
        <w:rPr>
          <w:i/>
          <w:iCs/>
        </w:rPr>
        <w:t xml:space="preserve">et al.</w:t>
      </w:r>
      <w:r>
        <w:t xml:space="preserve"> </w:t>
      </w:r>
      <w:r>
        <w:t xml:space="preserve">(2013)</w:t>
      </w:r>
      <w:r>
        <w:t xml:space="preserve"> </w:t>
      </w:r>
      <w:hyperlink r:id="rId133">
        <w:r>
          <w:rPr>
            <w:rStyle w:val="Hyperlink"/>
          </w:rPr>
          <w:t xml:space="preserve">Adequate magnesium nutrition mitigates adverse effects of heat stress on maize and wheat</w:t>
        </w:r>
      </w:hyperlink>
      <w:r>
        <w:t xml:space="preserve">.</w:t>
      </w:r>
      <w:r>
        <w:t xml:space="preserve"> </w:t>
      </w:r>
      <w:r>
        <w:rPr>
          <w:i/>
          <w:iCs/>
        </w:rPr>
        <w:t xml:space="preserve">Plant Soil</w:t>
      </w:r>
      <w:r>
        <w:t xml:space="preserve"> </w:t>
      </w:r>
      <w:r>
        <w:t xml:space="preserve">368, 57–72</w:t>
      </w:r>
    </w:p>
    <w:bookmarkEnd w:id="134"/>
    <w:bookmarkStart w:id="136" w:name="ref-Andersen2010"/>
    <w:p>
      <w:pPr>
        <w:pStyle w:val="Bibliography"/>
      </w:pPr>
      <w:r>
        <w:t xml:space="preserve">51.</w:t>
      </w:r>
      <w:r>
        <w:t xml:space="preserve"> </w:t>
      </w:r>
      <w:r>
        <w:t xml:space="preserve">	</w:t>
      </w:r>
      <w:r>
        <w:t xml:space="preserve">Andersen, L.H.</w:t>
      </w:r>
      <w:r>
        <w:t xml:space="preserve"> </w:t>
      </w:r>
      <w:r>
        <w:rPr>
          <w:i/>
          <w:iCs/>
        </w:rPr>
        <w:t xml:space="preserve">et al.</w:t>
      </w:r>
      <w:r>
        <w:t xml:space="preserve"> </w:t>
      </w:r>
      <w:r>
        <w:t xml:space="preserve">(2010)</w:t>
      </w:r>
      <w:r>
        <w:t xml:space="preserve"> </w:t>
      </w:r>
      <w:hyperlink r:id="rId135">
        <w:r>
          <w:rPr>
            <w:rStyle w:val="Hyperlink"/>
          </w:rPr>
          <w:t xml:space="preserve">Protein and carbohydrate composition of larval food affects tolerance to thermal stress and desiccation in adult drosophila melanogaster</w:t>
        </w:r>
      </w:hyperlink>
      <w:r>
        <w:t xml:space="preserve">.</w:t>
      </w:r>
      <w:r>
        <w:t xml:space="preserve"> </w:t>
      </w:r>
      <w:r>
        <w:rPr>
          <w:i/>
          <w:iCs/>
        </w:rPr>
        <w:t xml:space="preserve">J. Insect Physiol.</w:t>
      </w:r>
      <w:r>
        <w:t xml:space="preserve"> </w:t>
      </w:r>
      <w:r>
        <w:t xml:space="preserve">56, 336–340</w:t>
      </w:r>
    </w:p>
    <w:bookmarkEnd w:id="136"/>
    <w:bookmarkStart w:id="138" w:name="ref-Chouhan2023"/>
    <w:p>
      <w:pPr>
        <w:pStyle w:val="Bibliography"/>
      </w:pPr>
      <w:r>
        <w:t xml:space="preserve">52.</w:t>
      </w:r>
      <w:r>
        <w:t xml:space="preserve"> </w:t>
      </w:r>
      <w:r>
        <w:t xml:space="preserve">	</w:t>
      </w:r>
      <w:r>
        <w:t xml:space="preserve">Chouhan, D.</w:t>
      </w:r>
      <w:r>
        <w:t xml:space="preserve"> </w:t>
      </w:r>
      <w:r>
        <w:rPr>
          <w:i/>
          <w:iCs/>
        </w:rPr>
        <w:t xml:space="preserve">et al.</w:t>
      </w:r>
      <w:r>
        <w:t xml:space="preserve"> </w:t>
      </w:r>
      <w:r>
        <w:t xml:space="preserve">(2023)</w:t>
      </w:r>
      <w:r>
        <w:t xml:space="preserve"> </w:t>
      </w:r>
      <w:hyperlink r:id="rId137">
        <w:r>
          <w:rPr>
            <w:rStyle w:val="Hyperlink"/>
          </w:rPr>
          <w:t xml:space="preserve">Plant-microbe interaction and their role in mitigation of heat stress</w:t>
        </w:r>
      </w:hyperlink>
      <w:r>
        <w:t xml:space="preserve">. In</w:t>
      </w:r>
      <w:r>
        <w:t xml:space="preserve"> </w:t>
      </w:r>
      <w:r>
        <w:rPr>
          <w:i/>
          <w:iCs/>
        </w:rPr>
        <w:t xml:space="preserve">Rhizosphere biology</w:t>
      </w:r>
      <w:r>
        <w:t xml:space="preserve">, pp. 127–147, Springer Nature Singapore</w:t>
      </w:r>
    </w:p>
    <w:bookmarkEnd w:id="138"/>
    <w:bookmarkStart w:id="139" w:name="ref-Marquez2007"/>
    <w:p>
      <w:pPr>
        <w:pStyle w:val="Bibliography"/>
      </w:pPr>
      <w:r>
        <w:t xml:space="preserve">53.</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39"/>
    <w:bookmarkStart w:id="141" w:name="ref-Hoang2019"/>
    <w:p>
      <w:pPr>
        <w:pStyle w:val="Bibliography"/>
      </w:pPr>
      <w:r>
        <w:t xml:space="preserve">54.</w:t>
      </w:r>
      <w:r>
        <w:t xml:space="preserve"> </w:t>
      </w:r>
      <w:r>
        <w:t xml:space="preserve">	</w:t>
      </w:r>
      <w:r>
        <w:t xml:space="preserve">Hoang, K.L.</w:t>
      </w:r>
      <w:r>
        <w:t xml:space="preserve"> </w:t>
      </w:r>
      <w:r>
        <w:rPr>
          <w:i/>
          <w:iCs/>
        </w:rPr>
        <w:t xml:space="preserve">et al.</w:t>
      </w:r>
      <w:r>
        <w:t xml:space="preserve"> </w:t>
      </w:r>
      <w:r>
        <w:t xml:space="preserve">(2019)</w:t>
      </w:r>
      <w:r>
        <w:t xml:space="preserve"> </w:t>
      </w:r>
      <w:hyperlink r:id="rId140">
        <w:r>
          <w:rPr>
            <w:rStyle w:val="Hyperlink"/>
          </w:rPr>
          <w:t xml:space="preserve">The effects of bacillus subtilis on caenorhabditis elegans fitness after heat stress</w:t>
        </w:r>
      </w:hyperlink>
      <w:r>
        <w:t xml:space="preserve">.</w:t>
      </w:r>
      <w:r>
        <w:t xml:space="preserve"> </w:t>
      </w:r>
      <w:r>
        <w:rPr>
          <w:i/>
          <w:iCs/>
        </w:rPr>
        <w:t xml:space="preserve">Ecol. Evol.</w:t>
      </w:r>
      <w:r>
        <w:t xml:space="preserve"> </w:t>
      </w:r>
      <w:r>
        <w:t xml:space="preserve">9, 3491–3499</w:t>
      </w:r>
    </w:p>
    <w:bookmarkEnd w:id="141"/>
    <w:bookmarkStart w:id="143" w:name="ref-Kearney2020a"/>
    <w:p>
      <w:pPr>
        <w:pStyle w:val="Bibliography"/>
      </w:pPr>
      <w:r>
        <w:t xml:space="preserve">55.</w:t>
      </w:r>
      <w:r>
        <w:t xml:space="preserve"> </w:t>
      </w:r>
      <w:r>
        <w:t xml:space="preserve">	</w:t>
      </w:r>
      <w:r>
        <w:t xml:space="preserve">Kearney, M.R. and Porter, W.P. (2020)</w:t>
      </w:r>
      <w:r>
        <w:t xml:space="preserve"> </w:t>
      </w:r>
      <w:hyperlink r:id="rId142">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ectotherm and dynamic energy budget models</w:t>
        </w:r>
      </w:hyperlink>
      <w:r>
        <w:t xml:space="preserve">.</w:t>
      </w:r>
      <w:r>
        <w:t xml:space="preserve"> </w:t>
      </w:r>
      <w:r>
        <w:rPr>
          <w:i/>
          <w:iCs/>
        </w:rPr>
        <w:t xml:space="preserve">Ecography (Cop.)</w:t>
      </w:r>
      <w:r>
        <w:t xml:space="preserve"> </w:t>
      </w:r>
      <w:r>
        <w:t xml:space="preserve">43, 85–96</w:t>
      </w:r>
    </w:p>
    <w:bookmarkEnd w:id="143"/>
    <w:bookmarkStart w:id="145" w:name="ref-Nisbet2000"/>
    <w:p>
      <w:pPr>
        <w:pStyle w:val="Bibliography"/>
      </w:pPr>
      <w:r>
        <w:t xml:space="preserve">56.</w:t>
      </w:r>
      <w:r>
        <w:t xml:space="preserve"> </w:t>
      </w:r>
      <w:r>
        <w:t xml:space="preserve">	</w:t>
      </w:r>
      <w:r>
        <w:t xml:space="preserve">Nisbet, R.</w:t>
      </w:r>
      <w:r>
        <w:t xml:space="preserve"> </w:t>
      </w:r>
      <w:r>
        <w:rPr>
          <w:i/>
          <w:iCs/>
        </w:rPr>
        <w:t xml:space="preserve">et al.</w:t>
      </w:r>
      <w:r>
        <w:t xml:space="preserve"> </w:t>
      </w:r>
      <w:r>
        <w:t xml:space="preserve">(2000)</w:t>
      </w:r>
      <w:r>
        <w:t xml:space="preserve"> </w:t>
      </w:r>
      <w:hyperlink r:id="rId144">
        <w:r>
          <w:rPr>
            <w:rStyle w:val="Hyperlink"/>
          </w:rPr>
          <w:t xml:space="preserve">From molecules to ecosystems through dynamic energy budget models</w:t>
        </w:r>
      </w:hyperlink>
      <w:r>
        <w:t xml:space="preserve">.</w:t>
      </w:r>
      <w:r>
        <w:t xml:space="preserve"> </w:t>
      </w:r>
      <w:r>
        <w:rPr>
          <w:i/>
          <w:iCs/>
        </w:rPr>
        <w:t xml:space="preserve">Journal of Animal Ecology</w:t>
      </w:r>
      <w:r>
        <w:t xml:space="preserve"> </w:t>
      </w:r>
      <w:r>
        <w:t xml:space="preserve">69, 913–926</w:t>
      </w:r>
    </w:p>
    <w:bookmarkEnd w:id="145"/>
    <w:bookmarkStart w:id="147" w:name="ref-Jager2020"/>
    <w:p>
      <w:pPr>
        <w:pStyle w:val="Bibliography"/>
      </w:pPr>
      <w:r>
        <w:t xml:space="preserve">57.</w:t>
      </w:r>
      <w:r>
        <w:t xml:space="preserve"> </w:t>
      </w:r>
      <w:r>
        <w:t xml:space="preserve">	</w:t>
      </w:r>
      <w:r>
        <w:t xml:space="preserve">Jager, T. (2020)</w:t>
      </w:r>
      <w:r>
        <w:t xml:space="preserve"> </w:t>
      </w:r>
      <w:hyperlink r:id="rId146">
        <w:r>
          <w:rPr>
            <w:rStyle w:val="Hyperlink"/>
          </w:rPr>
          <w:t xml:space="preserve">Revisiting simplified</w:t>
        </w:r>
        <w:r>
          <w:rPr>
            <w:rStyle w:val="Hyperlink"/>
          </w:rPr>
          <w:t xml:space="preserve"> </w:t>
        </w:r>
        <w:r>
          <w:rPr>
            <w:rStyle w:val="Hyperlink"/>
          </w:rPr>
          <w:t xml:space="preserve">DEBtox</w:t>
        </w:r>
        <w:r>
          <w:rPr>
            <w:rStyle w:val="Hyperlink"/>
          </w:rPr>
          <w:t xml:space="preserve"> </w:t>
        </w:r>
        <w:r>
          <w:rPr>
            <w:rStyle w:val="Hyperlink"/>
          </w:rPr>
          <w:t xml:space="preserve">models for analysing ecotoxicity data</w:t>
        </w:r>
      </w:hyperlink>
      <w:r>
        <w:t xml:space="preserve">.</w:t>
      </w:r>
      <w:r>
        <w:t xml:space="preserve"> </w:t>
      </w:r>
      <w:r>
        <w:rPr>
          <w:i/>
          <w:iCs/>
        </w:rPr>
        <w:t xml:space="preserve">Ecol. Modell.</w:t>
      </w:r>
      <w:r>
        <w:t xml:space="preserve"> </w:t>
      </w:r>
      <w:r>
        <w:t xml:space="preserve">416, 108904</w:t>
      </w:r>
    </w:p>
    <w:bookmarkEnd w:id="147"/>
    <w:bookmarkStart w:id="148" w:name="ref-Kearney2013"/>
    <w:p>
      <w:pPr>
        <w:pStyle w:val="Bibliography"/>
      </w:pPr>
      <w:r>
        <w:t xml:space="preserve">58.</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48"/>
    <w:bookmarkStart w:id="150" w:name="ref-Kearney2010"/>
    <w:p>
      <w:pPr>
        <w:pStyle w:val="Bibliography"/>
      </w:pPr>
      <w:r>
        <w:t xml:space="preserve">59.</w:t>
      </w:r>
      <w:r>
        <w:t xml:space="preserve"> </w:t>
      </w:r>
      <w:r>
        <w:t xml:space="preserve">	</w:t>
      </w:r>
      <w:r>
        <w:t xml:space="preserve">Kearney, M.</w:t>
      </w:r>
      <w:r>
        <w:t xml:space="preserve"> </w:t>
      </w:r>
      <w:r>
        <w:rPr>
          <w:i/>
          <w:iCs/>
        </w:rPr>
        <w:t xml:space="preserve">et al.</w:t>
      </w:r>
      <w:r>
        <w:t xml:space="preserve"> </w:t>
      </w:r>
      <w:r>
        <w:t xml:space="preserve">(2010)</w:t>
      </w:r>
      <w:r>
        <w:t xml:space="preserve"> </w:t>
      </w:r>
      <w:hyperlink r:id="rId149">
        <w:r>
          <w:rPr>
            <w:rStyle w:val="Hyperlink"/>
          </w:rPr>
          <w:t xml:space="preserve">Modelling the ecological niche from functional traits</w:t>
        </w:r>
      </w:hyperlink>
      <w:r>
        <w:t xml:space="preserve">.</w:t>
      </w:r>
      <w:r>
        <w:t xml:space="preserve"> </w:t>
      </w:r>
      <w:r>
        <w:rPr>
          <w:i/>
          <w:iCs/>
        </w:rPr>
        <w:t xml:space="preserve">Philos. Trans. R. Soc. Lond. B Biol. Sci.</w:t>
      </w:r>
      <w:r>
        <w:t xml:space="preserve"> </w:t>
      </w:r>
      <w:r>
        <w:t xml:space="preserve">365, 3469–3483</w:t>
      </w:r>
    </w:p>
    <w:bookmarkEnd w:id="150"/>
    <w:bookmarkStart w:id="152" w:name="ref-Marques2018"/>
    <w:p>
      <w:pPr>
        <w:pStyle w:val="Bibliography"/>
      </w:pPr>
      <w:r>
        <w:t xml:space="preserve">60.</w:t>
      </w:r>
      <w:r>
        <w:t xml:space="preserve"> </w:t>
      </w:r>
      <w:r>
        <w:t xml:space="preserve">	</w:t>
      </w:r>
      <w:r>
        <w:t xml:space="preserve">Marques, G.M.</w:t>
      </w:r>
      <w:r>
        <w:t xml:space="preserve"> </w:t>
      </w:r>
      <w:r>
        <w:rPr>
          <w:i/>
          <w:iCs/>
        </w:rPr>
        <w:t xml:space="preserve">et al.</w:t>
      </w:r>
      <w:r>
        <w:t xml:space="preserve"> </w:t>
      </w:r>
      <w:r>
        <w:t xml:space="preserve">(2018)</w:t>
      </w:r>
      <w:r>
        <w:t xml:space="preserve"> </w:t>
      </w:r>
      <w:hyperlink r:id="rId151">
        <w:r>
          <w:rPr>
            <w:rStyle w:val="Hyperlink"/>
          </w:rPr>
          <w:t xml:space="preserve">The</w:t>
        </w:r>
        <w:r>
          <w:rPr>
            <w:rStyle w:val="Hyperlink"/>
          </w:rPr>
          <w:t xml:space="preserve"> </w:t>
        </w:r>
        <w:r>
          <w:rPr>
            <w:rStyle w:val="Hyperlink"/>
          </w:rPr>
          <w:t xml:space="preserve">AmP</w:t>
        </w:r>
        <w:r>
          <w:rPr>
            <w:rStyle w:val="Hyperlink"/>
          </w:rPr>
          <w:t xml:space="preserve"> </w:t>
        </w:r>
        <w:r>
          <w:rPr>
            <w:rStyle w:val="Hyperlink"/>
          </w:rPr>
          <w:t xml:space="preserve">project: Comparing species on the basis of dynamic energy budget parameters</w:t>
        </w:r>
      </w:hyperlink>
      <w:r>
        <w:t xml:space="preserve">.</w:t>
      </w:r>
      <w:r>
        <w:t xml:space="preserve"> </w:t>
      </w:r>
      <w:r>
        <w:rPr>
          <w:i/>
          <w:iCs/>
        </w:rPr>
        <w:t xml:space="preserve">PLoS Comput. Biol.</w:t>
      </w:r>
      <w:r>
        <w:t xml:space="preserve"> </w:t>
      </w:r>
      <w:r>
        <w:t xml:space="preserve">14, e1006100</w:t>
      </w:r>
    </w:p>
    <w:bookmarkEnd w:id="152"/>
    <w:bookmarkStart w:id="154" w:name="ref-Kooijman2021"/>
    <w:p>
      <w:pPr>
        <w:pStyle w:val="Bibliography"/>
      </w:pPr>
      <w:r>
        <w:t xml:space="preserve">61.</w:t>
      </w:r>
      <w:r>
        <w:t xml:space="preserve"> </w:t>
      </w:r>
      <w:r>
        <w:t xml:space="preserve">	</w:t>
      </w:r>
      <w:r>
        <w:t xml:space="preserve">Kooijman, S.A.L.M.</w:t>
      </w:r>
      <w:r>
        <w:t xml:space="preserve"> </w:t>
      </w:r>
      <w:r>
        <w:rPr>
          <w:i/>
          <w:iCs/>
        </w:rPr>
        <w:t xml:space="preserve">et al.</w:t>
      </w:r>
      <w:r>
        <w:t xml:space="preserve"> </w:t>
      </w:r>
      <w:r>
        <w:t xml:space="preserve">(2021)</w:t>
      </w:r>
      <w:r>
        <w:t xml:space="preserve"> </w:t>
      </w:r>
      <w:hyperlink r:id="rId153">
        <w:r>
          <w:rPr>
            <w:rStyle w:val="Hyperlink"/>
          </w:rPr>
          <w:t xml:space="preserve">Multidimensional scaling for animal traits in the context of dynamic energy budget theory</w:t>
        </w:r>
      </w:hyperlink>
      <w:r>
        <w:t xml:space="preserve">.</w:t>
      </w:r>
      <w:r>
        <w:t xml:space="preserve"> </w:t>
      </w:r>
      <w:r>
        <w:rPr>
          <w:i/>
          <w:iCs/>
        </w:rPr>
        <w:t xml:space="preserve">Conserv. Physiol.</w:t>
      </w:r>
      <w:r>
        <w:t xml:space="preserve"> </w:t>
      </w:r>
      <w:r>
        <w:t xml:space="preserve">9, coab086</w:t>
      </w:r>
    </w:p>
    <w:bookmarkEnd w:id="154"/>
    <w:bookmarkStart w:id="156" w:name="ref-Bruggeman2009"/>
    <w:p>
      <w:pPr>
        <w:pStyle w:val="Bibliography"/>
      </w:pPr>
      <w:r>
        <w:t xml:space="preserve">62.</w:t>
      </w:r>
      <w:r>
        <w:t xml:space="preserve"> </w:t>
      </w:r>
      <w:r>
        <w:t xml:space="preserve">	</w:t>
      </w:r>
      <w:r>
        <w:t xml:space="preserve">Bruggeman, J.</w:t>
      </w:r>
      <w:r>
        <w:t xml:space="preserve"> </w:t>
      </w:r>
      <w:r>
        <w:rPr>
          <w:i/>
          <w:iCs/>
        </w:rPr>
        <w:t xml:space="preserve">et al.</w:t>
      </w:r>
      <w:r>
        <w:t xml:space="preserve"> </w:t>
      </w:r>
      <w:r>
        <w:t xml:space="preserve">(2009)</w:t>
      </w:r>
      <w:r>
        <w:t xml:space="preserve"> </w:t>
      </w:r>
      <w:hyperlink r:id="rId155">
        <w:r>
          <w:rPr>
            <w:rStyle w:val="Hyperlink"/>
          </w:rPr>
          <w:t xml:space="preserve">PhyloPars</w:t>
        </w:r>
        <w:r>
          <w:rPr>
            <w:rStyle w:val="Hyperlink"/>
          </w:rPr>
          <w:t xml:space="preserve">: Estimation of missing parameter values using phylogeny</w:t>
        </w:r>
      </w:hyperlink>
      <w:r>
        <w:t xml:space="preserve">.</w:t>
      </w:r>
      <w:r>
        <w:t xml:space="preserve"> </w:t>
      </w:r>
      <w:r>
        <w:rPr>
          <w:i/>
          <w:iCs/>
        </w:rPr>
        <w:t xml:space="preserve">Nucleic Acids Research</w:t>
      </w:r>
      <w:r>
        <w:t xml:space="preserve"> </w:t>
      </w:r>
      <w:r>
        <w:t xml:space="preserve">37, W179–W184</w:t>
      </w:r>
    </w:p>
    <w:bookmarkEnd w:id="156"/>
    <w:bookmarkStart w:id="157" w:name="ref-Bonan2019"/>
    <w:p>
      <w:pPr>
        <w:pStyle w:val="Bibliography"/>
      </w:pPr>
      <w:r>
        <w:t xml:space="preserve">63.</w:t>
      </w:r>
      <w:r>
        <w:t xml:space="preserve"> </w:t>
      </w:r>
      <w:r>
        <w:t xml:space="preserve">	</w:t>
      </w:r>
      <w:r>
        <w:t xml:space="preserve">Bonan, G. (2019)</w:t>
      </w:r>
      <w:r>
        <w:t xml:space="preserve"> </w:t>
      </w:r>
      <w:r>
        <w:rPr>
          <w:i/>
          <w:iCs/>
        </w:rPr>
        <w:t xml:space="preserve">Climate change and terrestrial ecosystem modeling</w:t>
      </w:r>
      <w:r>
        <w:t xml:space="preserve">, Cambridge University Press</w:t>
      </w:r>
    </w:p>
    <w:bookmarkEnd w:id="157"/>
    <w:bookmarkStart w:id="159" w:name="ref-Kumarathunge2019"/>
    <w:p>
      <w:pPr>
        <w:pStyle w:val="Bibliography"/>
      </w:pPr>
      <w:r>
        <w:t xml:space="preserve">64.</w:t>
      </w:r>
      <w:r>
        <w:t xml:space="preserve"> </w:t>
      </w:r>
      <w:r>
        <w:t xml:space="preserve">	</w:t>
      </w:r>
      <w:r>
        <w:t xml:space="preserve">Kumarathunge, D.P.</w:t>
      </w:r>
      <w:r>
        <w:t xml:space="preserve"> </w:t>
      </w:r>
      <w:r>
        <w:rPr>
          <w:i/>
          <w:iCs/>
        </w:rPr>
        <w:t xml:space="preserve">et al.</w:t>
      </w:r>
      <w:r>
        <w:t xml:space="preserve"> </w:t>
      </w:r>
      <w:r>
        <w:t xml:space="preserve">(2019)</w:t>
      </w:r>
      <w:r>
        <w:t xml:space="preserve"> </w:t>
      </w:r>
      <w:hyperlink r:id="rId158">
        <w:r>
          <w:rPr>
            <w:rStyle w:val="Hyperlink"/>
          </w:rPr>
          <w:t xml:space="preserve">Acclimation and adaptation components of the temperature dependence of plant photosynthesis at the global scale</w:t>
        </w:r>
      </w:hyperlink>
      <w:r>
        <w:t xml:space="preserve">.</w:t>
      </w:r>
      <w:r>
        <w:t xml:space="preserve"> </w:t>
      </w:r>
      <w:r>
        <w:rPr>
          <w:i/>
          <w:iCs/>
        </w:rPr>
        <w:t xml:space="preserve">New Phytol.</w:t>
      </w:r>
      <w:r>
        <w:t xml:space="preserve"> </w:t>
      </w:r>
      <w:r>
        <w:t xml:space="preserve">222, 768–784</w:t>
      </w:r>
    </w:p>
    <w:bookmarkEnd w:id="159"/>
    <w:bookmarkStart w:id="161" w:name="ref-De_Kauwe2020"/>
    <w:p>
      <w:pPr>
        <w:pStyle w:val="Bibliography"/>
      </w:pPr>
      <w:r>
        <w:t xml:space="preserve">65.</w:t>
      </w:r>
      <w:r>
        <w:t xml:space="preserve"> </w:t>
      </w:r>
      <w:r>
        <w:t xml:space="preserve">	</w:t>
      </w:r>
      <w:r>
        <w:t xml:space="preserve">De Kauwe, M.G.</w:t>
      </w:r>
      <w:r>
        <w:t xml:space="preserve"> </w:t>
      </w:r>
      <w:r>
        <w:rPr>
          <w:i/>
          <w:iCs/>
        </w:rPr>
        <w:t xml:space="preserve">et al.</w:t>
      </w:r>
      <w:r>
        <w:t xml:space="preserve"> </w:t>
      </w:r>
      <w:r>
        <w:t xml:space="preserve">(2020)</w:t>
      </w:r>
      <w:r>
        <w:t xml:space="preserve"> </w:t>
      </w:r>
      <w:hyperlink r:id="rId160">
        <w:r>
          <w:rPr>
            <w:rStyle w:val="Hyperlink"/>
          </w:rPr>
          <w:t xml:space="preserve">Identifying areas at risk of drought-induced tree mortality across south-eastern australia</w:t>
        </w:r>
      </w:hyperlink>
      <w:r>
        <w:t xml:space="preserve">.</w:t>
      </w:r>
      <w:r>
        <w:t xml:space="preserve"> </w:t>
      </w:r>
      <w:r>
        <w:rPr>
          <w:i/>
          <w:iCs/>
        </w:rPr>
        <w:t xml:space="preserve">Glob. Chang. Biol.</w:t>
      </w:r>
      <w:r>
        <w:t xml:space="preserve"> </w:t>
      </w:r>
      <w:r>
        <w:t xml:space="preserve">26, 5716–5733</w:t>
      </w:r>
    </w:p>
    <w:bookmarkEnd w:id="161"/>
    <w:bookmarkStart w:id="163" w:name="ref-Chesson2000"/>
    <w:p>
      <w:pPr>
        <w:pStyle w:val="Bibliography"/>
      </w:pPr>
      <w:r>
        <w:t xml:space="preserve">66.</w:t>
      </w:r>
      <w:r>
        <w:t xml:space="preserve"> </w:t>
      </w:r>
      <w:r>
        <w:t xml:space="preserve">	</w:t>
      </w:r>
      <w:r>
        <w:t xml:space="preserve">Chesson, P. (2000)</w:t>
      </w:r>
      <w:r>
        <w:t xml:space="preserve"> </w:t>
      </w:r>
      <w:hyperlink r:id="rId162">
        <w:r>
          <w:rPr>
            <w:rStyle w:val="Hyperlink"/>
          </w:rPr>
          <w:t xml:space="preserve">General theory of competitive coexistence in spatially-varying environments</w:t>
        </w:r>
      </w:hyperlink>
      <w:r>
        <w:t xml:space="preserve">.</w:t>
      </w:r>
      <w:r>
        <w:t xml:space="preserve"> </w:t>
      </w:r>
      <w:r>
        <w:rPr>
          <w:i/>
          <w:iCs/>
        </w:rPr>
        <w:t xml:space="preserve">Theor. Popul. Biol.</w:t>
      </w:r>
      <w:r>
        <w:t xml:space="preserve"> </w:t>
      </w:r>
      <w:r>
        <w:t xml:space="preserve">58, 211–237</w:t>
      </w:r>
    </w:p>
    <w:bookmarkEnd w:id="163"/>
    <w:bookmarkStart w:id="165" w:name="ref-Ricker1954a"/>
    <w:p>
      <w:pPr>
        <w:pStyle w:val="Bibliography"/>
      </w:pPr>
      <w:r>
        <w:t xml:space="preserve">67.</w:t>
      </w:r>
      <w:r>
        <w:t xml:space="preserve"> </w:t>
      </w:r>
      <w:r>
        <w:t xml:space="preserve">	</w:t>
      </w:r>
      <w:r>
        <w:t xml:space="preserve">Ricker, W.E. (1954)</w:t>
      </w:r>
      <w:r>
        <w:t xml:space="preserve"> </w:t>
      </w:r>
      <w:hyperlink r:id="rId164">
        <w:r>
          <w:rPr>
            <w:rStyle w:val="Hyperlink"/>
          </w:rPr>
          <w:t xml:space="preserve">Stock and recruitment</w:t>
        </w:r>
      </w:hyperlink>
      <w:r>
        <w:t xml:space="preserve">.</w:t>
      </w:r>
      <w:r>
        <w:t xml:space="preserve"> </w:t>
      </w:r>
      <w:r>
        <w:rPr>
          <w:i/>
          <w:iCs/>
        </w:rPr>
        <w:t xml:space="preserve">J. Fish. Res. Board Can.</w:t>
      </w:r>
      <w:r>
        <w:t xml:space="preserve"> </w:t>
      </w:r>
      <w:r>
        <w:t xml:space="preserve">11, 559–623</w:t>
      </w:r>
    </w:p>
    <w:bookmarkEnd w:id="165"/>
    <w:bookmarkStart w:id="167" w:name="ref-Beverton2012"/>
    <w:p>
      <w:pPr>
        <w:pStyle w:val="Bibliography"/>
      </w:pPr>
      <w:r>
        <w:t xml:space="preserve">68.</w:t>
      </w:r>
      <w:r>
        <w:t xml:space="preserve"> </w:t>
      </w:r>
      <w:r>
        <w:t xml:space="preserve">	</w:t>
      </w:r>
      <w:r>
        <w:t xml:space="preserve">Beverton, R.J.H. and Holt, S. (2012)</w:t>
      </w:r>
      <w:r>
        <w:t xml:space="preserve"> </w:t>
      </w:r>
      <w:hyperlink r:id="rId166">
        <w:r>
          <w:rPr>
            <w:rStyle w:val="Hyperlink"/>
            <w:i/>
            <w:iCs/>
          </w:rPr>
          <w:t xml:space="preserve">On the dynamics of exploited fish populations</w:t>
        </w:r>
      </w:hyperlink>
      <w:r>
        <w:t xml:space="preserve">, Springer</w:t>
      </w:r>
    </w:p>
    <w:bookmarkEnd w:id="167"/>
    <w:bookmarkStart w:id="169" w:name="ref-Mayfield2017"/>
    <w:p>
      <w:pPr>
        <w:pStyle w:val="Bibliography"/>
      </w:pPr>
      <w:r>
        <w:t xml:space="preserve">69.</w:t>
      </w:r>
      <w:r>
        <w:t xml:space="preserve"> </w:t>
      </w:r>
      <w:r>
        <w:t xml:space="preserve">	</w:t>
      </w:r>
      <w:r>
        <w:t xml:space="preserve">Mayfield, M. and Stouffer, D.B. (2017)</w:t>
      </w:r>
      <w:r>
        <w:t xml:space="preserve"> </w:t>
      </w:r>
      <w:hyperlink r:id="rId168">
        <w:r>
          <w:rPr>
            <w:rStyle w:val="Hyperlink"/>
          </w:rPr>
          <w:t xml:space="preserve">Higher-order interactions capture unexplained complexity in diverse communities</w:t>
        </w:r>
      </w:hyperlink>
      <w:r>
        <w:t xml:space="preserve">.</w:t>
      </w:r>
      <w:r>
        <w:t xml:space="preserve"> </w:t>
      </w:r>
      <w:r>
        <w:rPr>
          <w:i/>
          <w:iCs/>
        </w:rPr>
        <w:t xml:space="preserve">Nature Ecology &amp;Evolution</w:t>
      </w:r>
      <w:r>
        <w:t xml:space="preserve"> </w:t>
      </w:r>
      <w:r>
        <w:t xml:space="preserve">1, 0062</w:t>
      </w:r>
    </w:p>
    <w:bookmarkEnd w:id="169"/>
    <w:bookmarkStart w:id="171" w:name="ref-Buche2025"/>
    <w:p>
      <w:pPr>
        <w:pStyle w:val="Bibliography"/>
      </w:pPr>
      <w:r>
        <w:t xml:space="preserve">70.</w:t>
      </w:r>
      <w:r>
        <w:t xml:space="preserve"> </w:t>
      </w:r>
      <w:r>
        <w:t xml:space="preserve">	</w:t>
      </w:r>
      <w:r>
        <w:t xml:space="preserve">Buche, L.</w:t>
      </w:r>
      <w:r>
        <w:t xml:space="preserve"> </w:t>
      </w:r>
      <w:r>
        <w:rPr>
          <w:i/>
          <w:iCs/>
        </w:rPr>
        <w:t xml:space="preserve">et al.</w:t>
      </w:r>
      <w:r>
        <w:t xml:space="preserve"> </w:t>
      </w:r>
      <w:r>
        <w:t xml:space="preserve">(2025)</w:t>
      </w:r>
      <w:r>
        <w:t xml:space="preserve"> </w:t>
      </w:r>
      <w:hyperlink r:id="rId170">
        <w:r>
          <w:rPr>
            <w:rStyle w:val="Hyperlink"/>
          </w:rPr>
          <w:t xml:space="preserve">A continuum from positive to negative interactions drives plant species’ performance in a diverse community</w:t>
        </w:r>
      </w:hyperlink>
      <w:r>
        <w:t xml:space="preserve">.</w:t>
      </w:r>
      <w:r>
        <w:t xml:space="preserve"> </w:t>
      </w:r>
      <w:r>
        <w:rPr>
          <w:i/>
          <w:iCs/>
        </w:rPr>
        <w:t xml:space="preserve">Ecol. Lett.</w:t>
      </w:r>
      <w:r>
        <w:t xml:space="preserve"> </w:t>
      </w:r>
      <w:r>
        <w:t xml:space="preserve">28, e70059</w:t>
      </w:r>
    </w:p>
    <w:bookmarkEnd w:id="171"/>
    <w:bookmarkStart w:id="173" w:name="ref-Bimler2024"/>
    <w:p>
      <w:pPr>
        <w:pStyle w:val="Bibliography"/>
      </w:pPr>
      <w:r>
        <w:t xml:space="preserve">71.</w:t>
      </w:r>
      <w:r>
        <w:t xml:space="preserve"> </w:t>
      </w:r>
      <w:r>
        <w:t xml:space="preserve">	</w:t>
      </w:r>
      <w:r>
        <w:t xml:space="preserve">Bimler, M.D.</w:t>
      </w:r>
      <w:r>
        <w:t xml:space="preserve"> </w:t>
      </w:r>
      <w:r>
        <w:rPr>
          <w:i/>
          <w:iCs/>
        </w:rPr>
        <w:t xml:space="preserve">et al.</w:t>
      </w:r>
      <w:r>
        <w:t xml:space="preserve"> </w:t>
      </w:r>
      <w:r>
        <w:t xml:space="preserve">(2024)</w:t>
      </w:r>
      <w:r>
        <w:t xml:space="preserve"> </w:t>
      </w:r>
      <w:hyperlink r:id="rId172">
        <w:r>
          <w:rPr>
            <w:rStyle w:val="Hyperlink"/>
          </w:rPr>
          <w:t xml:space="preserve">Plant interaction networks reveal the limits of our understanding of diversity maintenance</w:t>
        </w:r>
      </w:hyperlink>
      <w:r>
        <w:t xml:space="preserve">.</w:t>
      </w:r>
      <w:r>
        <w:t xml:space="preserve"> </w:t>
      </w:r>
      <w:r>
        <w:rPr>
          <w:i/>
          <w:iCs/>
        </w:rPr>
        <w:t xml:space="preserve">Ecol. Lett.</w:t>
      </w:r>
      <w:r>
        <w:t xml:space="preserve"> </w:t>
      </w:r>
      <w:r>
        <w:t xml:space="preserve">27, e14376</w:t>
      </w:r>
    </w:p>
    <w:bookmarkEnd w:id="173"/>
    <w:bookmarkStart w:id="175" w:name="ref-Martyn2021"/>
    <w:p>
      <w:pPr>
        <w:pStyle w:val="Bibliography"/>
      </w:pPr>
      <w:r>
        <w:t xml:space="preserve">72.</w:t>
      </w:r>
      <w:r>
        <w:t xml:space="preserve"> </w:t>
      </w:r>
      <w:r>
        <w:t xml:space="preserve">	</w:t>
      </w:r>
      <w:r>
        <w:t xml:space="preserve">Martyn, T.E.</w:t>
      </w:r>
      <w:r>
        <w:t xml:space="preserve"> </w:t>
      </w:r>
      <w:r>
        <w:rPr>
          <w:i/>
          <w:iCs/>
        </w:rPr>
        <w:t xml:space="preserve">et al.</w:t>
      </w:r>
      <w:r>
        <w:t xml:space="preserve"> </w:t>
      </w:r>
      <w:r>
        <w:t xml:space="preserve">(2021)</w:t>
      </w:r>
      <w:r>
        <w:t xml:space="preserve"> </w:t>
      </w:r>
      <w:hyperlink r:id="rId174">
        <w:r>
          <w:rPr>
            <w:rStyle w:val="Hyperlink"/>
          </w:rPr>
          <w:t xml:space="preserve">Identifying</w:t>
        </w:r>
        <w:r>
          <w:rPr>
            <w:rStyle w:val="Hyperlink"/>
          </w:rPr>
          <w:t xml:space="preserve"> </w:t>
        </w:r>
        <w:r>
          <w:rPr>
            <w:rStyle w:val="Hyperlink"/>
          </w:rPr>
          <w:t xml:space="preserve">“useful”</w:t>
        </w:r>
        <w:r>
          <w:rPr>
            <w:rStyle w:val="Hyperlink"/>
          </w:rPr>
          <w:t xml:space="preserve"> </w:t>
        </w:r>
        <w:r>
          <w:rPr>
            <w:rStyle w:val="Hyperlink"/>
          </w:rPr>
          <w:t xml:space="preserve">fitness models: Balancing the benefits of added complexity with realistic data requirements in models of individual plant fitness</w:t>
        </w:r>
      </w:hyperlink>
      <w:r>
        <w:t xml:space="preserve">.</w:t>
      </w:r>
      <w:r>
        <w:t xml:space="preserve"> </w:t>
      </w:r>
      <w:r>
        <w:rPr>
          <w:i/>
          <w:iCs/>
        </w:rPr>
        <w:t xml:space="preserve">Am. Nat.</w:t>
      </w:r>
      <w:r>
        <w:t xml:space="preserve"> </w:t>
      </w:r>
      <w:r>
        <w:t xml:space="preserve">197, 415–433</w:t>
      </w:r>
    </w:p>
    <w:bookmarkEnd w:id="175"/>
    <w:bookmarkStart w:id="177" w:name="ref-Llandres2015"/>
    <w:p>
      <w:pPr>
        <w:pStyle w:val="Bibliography"/>
      </w:pPr>
      <w:r>
        <w:t xml:space="preserve">73.</w:t>
      </w:r>
      <w:r>
        <w:t xml:space="preserve"> </w:t>
      </w:r>
      <w:r>
        <w:t xml:space="preserve">	</w:t>
      </w:r>
      <w:r>
        <w:t xml:space="preserve">Llandres, A.L.</w:t>
      </w:r>
      <w:r>
        <w:t xml:space="preserve"> </w:t>
      </w:r>
      <w:r>
        <w:rPr>
          <w:i/>
          <w:iCs/>
        </w:rPr>
        <w:t xml:space="preserve">et al.</w:t>
      </w:r>
      <w:r>
        <w:t xml:space="preserve"> </w:t>
      </w:r>
      <w:r>
        <w:t xml:space="preserve">(2015)</w:t>
      </w:r>
      <w:r>
        <w:t xml:space="preserve"> </w:t>
      </w:r>
      <w:hyperlink r:id="rId176">
        <w:r>
          <w:rPr>
            <w:rStyle w:val="Hyperlink"/>
          </w:rPr>
          <w:t xml:space="preserve">A dynamic energy budget for the whole life-cycle of holometabolous insects</w:t>
        </w:r>
      </w:hyperlink>
      <w:r>
        <w:t xml:space="preserve">.</w:t>
      </w:r>
      <w:r>
        <w:t xml:space="preserve"> </w:t>
      </w:r>
      <w:r>
        <w:rPr>
          <w:i/>
          <w:iCs/>
        </w:rPr>
        <w:t xml:space="preserve">Ecol. Monogr.</w:t>
      </w:r>
      <w:r>
        <w:t xml:space="preserve"> </w:t>
      </w:r>
      <w:r>
        <w:t xml:space="preserve">85, 353–371</w:t>
      </w:r>
    </w:p>
    <w:bookmarkEnd w:id="177"/>
    <w:bookmarkStart w:id="179" w:name="ref-Shekhawat2022"/>
    <w:p>
      <w:pPr>
        <w:pStyle w:val="Bibliography"/>
      </w:pPr>
      <w:r>
        <w:t xml:space="preserve">74.</w:t>
      </w:r>
      <w:r>
        <w:t xml:space="preserve"> </w:t>
      </w:r>
      <w:r>
        <w:t xml:space="preserve">	</w:t>
      </w:r>
      <w:r>
        <w:t xml:space="preserve">Shekhawat, K.</w:t>
      </w:r>
      <w:r>
        <w:t xml:space="preserve"> </w:t>
      </w:r>
      <w:r>
        <w:rPr>
          <w:i/>
          <w:iCs/>
        </w:rPr>
        <w:t xml:space="preserve">et al.</w:t>
      </w:r>
      <w:r>
        <w:t xml:space="preserve"> </w:t>
      </w:r>
      <w:r>
        <w:t xml:space="preserve">(2022)</w:t>
      </w:r>
      <w:r>
        <w:t xml:space="preserve"> </w:t>
      </w:r>
      <w:hyperlink r:id="rId178">
        <w:r>
          <w:rPr>
            <w:rStyle w:val="Hyperlink"/>
          </w:rPr>
          <w:t xml:space="preserve">Beat the heat: Plant- and microbe-mediated strategies for crop thermotolerance</w:t>
        </w:r>
      </w:hyperlink>
      <w:r>
        <w:t xml:space="preserve">.</w:t>
      </w:r>
      <w:r>
        <w:t xml:space="preserve"> </w:t>
      </w:r>
      <w:r>
        <w:rPr>
          <w:i/>
          <w:iCs/>
        </w:rPr>
        <w:t xml:space="preserve">Trends Plant Sci.</w:t>
      </w:r>
      <w:r>
        <w:t xml:space="preserve"> </w:t>
      </w:r>
      <w:r>
        <w:t xml:space="preserve">27, 802–813</w:t>
      </w:r>
    </w:p>
    <w:bookmarkEnd w:id="179"/>
    <w:bookmarkStart w:id="180" w:name="ref-Baeckens2025"/>
    <w:p>
      <w:pPr>
        <w:pStyle w:val="Bibliography"/>
      </w:pPr>
      <w:r>
        <w:t xml:space="preserve">75.</w:t>
      </w:r>
      <w:r>
        <w:t xml:space="preserve"> </w:t>
      </w:r>
      <w:r>
        <w:t xml:space="preserve">	</w:t>
      </w:r>
      <w:r>
        <w:t xml:space="preserve">Baeckens, S. and Donihue, C.M. (2025) Evolutionary consequences of extreme climate events.</w:t>
      </w:r>
      <w:r>
        <w:t xml:space="preserve"> </w:t>
      </w:r>
      <w:r>
        <w:rPr>
          <w:i/>
          <w:iCs/>
        </w:rPr>
        <w:t xml:space="preserve">Current Biology</w:t>
      </w:r>
      <w:r>
        <w:t xml:space="preserve"> </w:t>
      </w:r>
      <w:r>
        <w:t xml:space="preserve">35, R850–R864</w:t>
      </w:r>
    </w:p>
    <w:bookmarkEnd w:id="180"/>
    <w:bookmarkStart w:id="181" w:name="ref-Munoz-Sabater2021"/>
    <w:p>
      <w:pPr>
        <w:pStyle w:val="Bibliography"/>
      </w:pPr>
      <w:r>
        <w:t xml:space="preserve">76.</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181"/>
    <w:bookmarkStart w:id="183" w:name="ref-Eyring2016"/>
    <w:p>
      <w:pPr>
        <w:pStyle w:val="Bibliography"/>
      </w:pPr>
      <w:r>
        <w:t xml:space="preserve">77.</w:t>
      </w:r>
      <w:r>
        <w:t xml:space="preserve"> </w:t>
      </w:r>
      <w:r>
        <w:t xml:space="preserve">	</w:t>
      </w:r>
      <w:r>
        <w:t xml:space="preserve">Eyring, V.</w:t>
      </w:r>
      <w:r>
        <w:t xml:space="preserve"> </w:t>
      </w:r>
      <w:r>
        <w:rPr>
          <w:i/>
          <w:iCs/>
        </w:rPr>
        <w:t xml:space="preserve">et al.</w:t>
      </w:r>
      <w:r>
        <w:t xml:space="preserve"> </w:t>
      </w:r>
      <w:r>
        <w:t xml:space="preserve">(2016)</w:t>
      </w:r>
      <w:r>
        <w:t xml:space="preserve"> </w:t>
      </w:r>
      <w:hyperlink r:id="rId182">
        <w:r>
          <w:rPr>
            <w:rStyle w:val="Hyperlink"/>
          </w:rPr>
          <w:t xml:space="preserve">Overview of the coupled model intercomparison project phase 6 (</w:t>
        </w:r>
        <w:r>
          <w:rPr>
            <w:rStyle w:val="Hyperlink"/>
          </w:rPr>
          <w:t xml:space="preserve">CMIP6</w:t>
        </w:r>
        <w:r>
          <w:rPr>
            <w:rStyle w:val="Hyperlink"/>
          </w:rPr>
          <w:t xml:space="preserve">) experimental design and organization</w:t>
        </w:r>
      </w:hyperlink>
      <w:r>
        <w:t xml:space="preserve">.</w:t>
      </w:r>
      <w:r>
        <w:t xml:space="preserve"> </w:t>
      </w:r>
      <w:r>
        <w:rPr>
          <w:i/>
          <w:iCs/>
        </w:rPr>
        <w:t xml:space="preserve">Geosci. Model Dev.</w:t>
      </w:r>
      <w:r>
        <w:t xml:space="preserve"> </w:t>
      </w:r>
      <w:r>
        <w:t xml:space="preserve">9, 1937–1958</w:t>
      </w:r>
    </w:p>
    <w:bookmarkEnd w:id="183"/>
    <w:bookmarkStart w:id="185" w:name="ref-Chevin2017"/>
    <w:p>
      <w:pPr>
        <w:pStyle w:val="Bibliography"/>
      </w:pPr>
      <w:r>
        <w:t xml:space="preserve">78.</w:t>
      </w:r>
      <w:r>
        <w:t xml:space="preserve"> </w:t>
      </w:r>
      <w:r>
        <w:t xml:space="preserve">	</w:t>
      </w:r>
      <w:r>
        <w:t xml:space="preserve">Chevin, L.-M. and Hoffmann, A.A. (2017)</w:t>
      </w:r>
      <w:r>
        <w:t xml:space="preserve"> </w:t>
      </w:r>
      <w:hyperlink r:id="rId184">
        <w:r>
          <w:rPr>
            <w:rStyle w:val="Hyperlink"/>
          </w:rPr>
          <w:t xml:space="preserve">Evolution of phenotypic plasticity in extreme environments</w:t>
        </w:r>
      </w:hyperlink>
      <w:r>
        <w:t xml:space="preserve">.</w:t>
      </w:r>
      <w:r>
        <w:t xml:space="preserve"> </w:t>
      </w:r>
      <w:r>
        <w:rPr>
          <w:i/>
          <w:iCs/>
        </w:rPr>
        <w:t xml:space="preserve">Philos. Trans. R. Soc. Lond. B Biol. Sci.</w:t>
      </w:r>
      <w:r>
        <w:t xml:space="preserve"> </w:t>
      </w:r>
      <w:r>
        <w:t xml:space="preserve">372</w:t>
      </w:r>
    </w:p>
    <w:bookmarkEnd w:id="185"/>
    <w:bookmarkStart w:id="187" w:name="ref-Hoffmann2022"/>
    <w:p>
      <w:pPr>
        <w:pStyle w:val="Bibliography"/>
      </w:pPr>
      <w:r>
        <w:t xml:space="preserve">79.</w:t>
      </w:r>
      <w:r>
        <w:t xml:space="preserve"> </w:t>
      </w:r>
      <w:r>
        <w:t xml:space="preserve">	</w:t>
      </w:r>
      <w:r>
        <w:t xml:space="preserve">Hoffmann, A.A. and Bridle, J. (2022)</w:t>
      </w:r>
      <w:r>
        <w:t xml:space="preserve"> </w:t>
      </w:r>
      <w:hyperlink r:id="rId186">
        <w:r>
          <w:rPr>
            <w:rStyle w:val="Hyperlink"/>
          </w:rPr>
          <w:t xml:space="preserve">The dangers of irreversibility in an age of increased uncertainty: Revisiting plasticity in invertebrates</w:t>
        </w:r>
      </w:hyperlink>
      <w:r>
        <w:t xml:space="preserve">.</w:t>
      </w:r>
      <w:r>
        <w:t xml:space="preserve"> </w:t>
      </w:r>
      <w:r>
        <w:rPr>
          <w:i/>
          <w:iCs/>
        </w:rPr>
        <w:t xml:space="preserve">Oikos</w:t>
      </w:r>
      <w:r>
        <w:t xml:space="preserve"> </w:t>
      </w:r>
      <w:r>
        <w:t xml:space="preserve">2022</w:t>
      </w:r>
    </w:p>
    <w:bookmarkEnd w:id="187"/>
    <w:bookmarkStart w:id="188" w:name="ref-Hoffmann2011"/>
    <w:p>
      <w:pPr>
        <w:pStyle w:val="Bibliography"/>
      </w:pPr>
      <w:r>
        <w:t xml:space="preserve">80.</w:t>
      </w:r>
      <w:r>
        <w:t xml:space="preserve"> </w:t>
      </w:r>
      <w:r>
        <w:t xml:space="preserve">	</w:t>
      </w:r>
      <w:r>
        <w:t xml:space="preserve">Hoffmann, A.A. and Sgrò, C.M. (2011) Climate change and evolutionary adaptation. 470, 479–485</w:t>
      </w:r>
    </w:p>
    <w:bookmarkEnd w:id="188"/>
    <w:bookmarkStart w:id="189" w:name="ref-Catullo2019"/>
    <w:p>
      <w:pPr>
        <w:pStyle w:val="Bibliography"/>
      </w:pPr>
      <w:r>
        <w:t xml:space="preserve">81.</w:t>
      </w:r>
      <w:r>
        <w:t xml:space="preserve"> </w:t>
      </w:r>
      <w:r>
        <w:t xml:space="preserve">	</w:t>
      </w:r>
      <w:r>
        <w:t xml:space="preserve">Catullo, R.A.</w:t>
      </w:r>
      <w:r>
        <w:t xml:space="preserve"> </w:t>
      </w:r>
      <w:r>
        <w:rPr>
          <w:i/>
          <w:iCs/>
        </w:rPr>
        <w:t xml:space="preserve">et al.</w:t>
      </w:r>
      <w:r>
        <w:t xml:space="preserve"> </w:t>
      </w:r>
      <w:r>
        <w:t xml:space="preserve">(2019) The potential for rapid evolution under anthropogenic climate change. 29, R996–R1007</w:t>
      </w:r>
    </w:p>
    <w:bookmarkEnd w:id="189"/>
    <w:bookmarkStart w:id="191" w:name="ref-Ghalambor2015"/>
    <w:p>
      <w:pPr>
        <w:pStyle w:val="Bibliography"/>
      </w:pPr>
      <w:r>
        <w:t xml:space="preserve">82.</w:t>
      </w:r>
      <w:r>
        <w:t xml:space="preserve"> </w:t>
      </w:r>
      <w:r>
        <w:t xml:space="preserve">	</w:t>
      </w:r>
      <w:r>
        <w:t xml:space="preserve">Ghalambor, C.</w:t>
      </w:r>
      <w:r>
        <w:t xml:space="preserve"> </w:t>
      </w:r>
      <w:r>
        <w:rPr>
          <w:i/>
          <w:iCs/>
        </w:rPr>
        <w:t xml:space="preserve">et al.</w:t>
      </w:r>
      <w:r>
        <w:t xml:space="preserve"> </w:t>
      </w:r>
      <w:r>
        <w:t xml:space="preserve">(2015)</w:t>
      </w:r>
      <w:r>
        <w:t xml:space="preserve"> </w:t>
      </w:r>
      <w:hyperlink r:id="rId190">
        <w:r>
          <w:rPr>
            <w:rStyle w:val="Hyperlink"/>
          </w:rPr>
          <w:t xml:space="preserve">Non-adaptive plasticity potentiates rapid adaptive evolution of gene expression in nature</w:t>
        </w:r>
      </w:hyperlink>
      <w:r>
        <w:t xml:space="preserve">.</w:t>
      </w:r>
      <w:r>
        <w:t xml:space="preserve"> </w:t>
      </w:r>
      <w:r>
        <w:rPr>
          <w:i/>
          <w:iCs/>
        </w:rPr>
        <w:t xml:space="preserve">Nature</w:t>
      </w:r>
      <w:r>
        <w:t xml:space="preserve"> </w:t>
      </w:r>
      <w:r>
        <w:t xml:space="preserve">525, 372–375</w:t>
      </w:r>
    </w:p>
    <w:bookmarkEnd w:id="191"/>
    <w:bookmarkStart w:id="193" w:name="ref-Sousa2010"/>
    <w:p>
      <w:pPr>
        <w:pStyle w:val="Bibliography"/>
      </w:pPr>
      <w:r>
        <w:t xml:space="preserve">83.</w:t>
      </w:r>
      <w:r>
        <w:t xml:space="preserve"> </w:t>
      </w:r>
      <w:r>
        <w:t xml:space="preserve">	</w:t>
      </w:r>
      <w:r>
        <w:t xml:space="preserve">Sousa, T.</w:t>
      </w:r>
      <w:r>
        <w:t xml:space="preserve"> </w:t>
      </w:r>
      <w:r>
        <w:rPr>
          <w:i/>
          <w:iCs/>
        </w:rPr>
        <w:t xml:space="preserve">et al.</w:t>
      </w:r>
      <w:r>
        <w:t xml:space="preserve"> </w:t>
      </w:r>
      <w:r>
        <w:t xml:space="preserve">(2010)</w:t>
      </w:r>
      <w:r>
        <w:t xml:space="preserve"> </w:t>
      </w:r>
      <w:hyperlink r:id="rId192">
        <w:r>
          <w:rPr>
            <w:rStyle w:val="Hyperlink"/>
          </w:rPr>
          <w:t xml:space="preserve">Dynamic energy budget theory restores coherence in biology</w:t>
        </w:r>
      </w:hyperlink>
      <w:r>
        <w:t xml:space="preserve">.</w:t>
      </w:r>
      <w:r>
        <w:t xml:space="preserve"> </w:t>
      </w:r>
      <w:r>
        <w:rPr>
          <w:i/>
          <w:iCs/>
        </w:rPr>
        <w:t xml:space="preserve">Philos. Trans. R. Soc. Lond. B Biol. Sci.</w:t>
      </w:r>
      <w:r>
        <w:t xml:space="preserve"> </w:t>
      </w:r>
      <w:r>
        <w:t xml:space="preserve">365, 3413–3428</w:t>
      </w:r>
    </w:p>
    <w:bookmarkEnd w:id="193"/>
    <w:bookmarkStart w:id="194" w:name="ref-Kearney2009a"/>
    <w:p>
      <w:pPr>
        <w:pStyle w:val="Bibliography"/>
      </w:pPr>
      <w:r>
        <w:t xml:space="preserve">84.</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94"/>
    <w:bookmarkStart w:id="196" w:name="ref-Lande1979"/>
    <w:p>
      <w:pPr>
        <w:pStyle w:val="Bibliography"/>
      </w:pPr>
      <w:r>
        <w:t xml:space="preserve">85.</w:t>
      </w:r>
      <w:r>
        <w:t xml:space="preserve"> </w:t>
      </w:r>
      <w:r>
        <w:t xml:space="preserve">	</w:t>
      </w:r>
      <w:r>
        <w:t xml:space="preserve">Lande, R. (1979)</w:t>
      </w:r>
      <w:r>
        <w:t xml:space="preserve"> </w:t>
      </w:r>
      <w:hyperlink r:id="rId195">
        <w:r>
          <w:rPr>
            <w:rStyle w:val="Hyperlink"/>
          </w:rPr>
          <w:t xml:space="preserve">Quantitative genetic analysis of multivariate evolution, applied to brain:body size allometry</w:t>
        </w:r>
      </w:hyperlink>
      <w:r>
        <w:t xml:space="preserve">.</w:t>
      </w:r>
      <w:r>
        <w:t xml:space="preserve"> </w:t>
      </w:r>
      <w:r>
        <w:rPr>
          <w:i/>
          <w:iCs/>
        </w:rPr>
        <w:t xml:space="preserve">Evolution</w:t>
      </w:r>
      <w:r>
        <w:t xml:space="preserve"> </w:t>
      </w:r>
      <w:r>
        <w:t xml:space="preserve">33</w:t>
      </w:r>
    </w:p>
    <w:bookmarkEnd w:id="196"/>
    <w:bookmarkStart w:id="198" w:name="ref-Walsh2018"/>
    <w:p>
      <w:pPr>
        <w:pStyle w:val="Bibliography"/>
      </w:pPr>
      <w:r>
        <w:t xml:space="preserve">86.</w:t>
      </w:r>
      <w:r>
        <w:t xml:space="preserve"> </w:t>
      </w:r>
      <w:r>
        <w:t xml:space="preserve">	</w:t>
      </w:r>
      <w:r>
        <w:t xml:space="preserve">Walsh, B. and Lynch, M. (2018)</w:t>
      </w:r>
      <w:r>
        <w:t xml:space="preserve"> </w:t>
      </w:r>
      <w:hyperlink r:id="rId197">
        <w:r>
          <w:rPr>
            <w:rStyle w:val="Hyperlink"/>
            <w:i/>
            <w:iCs/>
          </w:rPr>
          <w:t xml:space="preserve">Evolution and selection of quantitative traits</w:t>
        </w:r>
      </w:hyperlink>
      <w:r>
        <w:t xml:space="preserve">, Oxford University Press</w:t>
      </w:r>
    </w:p>
    <w:bookmarkEnd w:id="198"/>
    <w:bookmarkStart w:id="200" w:name="ref-McGlothlin2014a"/>
    <w:p>
      <w:pPr>
        <w:pStyle w:val="Bibliography"/>
      </w:pPr>
      <w:r>
        <w:t xml:space="preserve">87.</w:t>
      </w:r>
      <w:r>
        <w:t xml:space="preserve"> </w:t>
      </w:r>
      <w:r>
        <w:t xml:space="preserve">	</w:t>
      </w:r>
      <w:r>
        <w:t xml:space="preserve">McGlothlin, J. and Galloway, L. (2014)</w:t>
      </w:r>
      <w:r>
        <w:t xml:space="preserve"> </w:t>
      </w:r>
      <w:hyperlink r:id="rId199">
        <w:r>
          <w:rPr>
            <w:rStyle w:val="Hyperlink"/>
          </w:rPr>
          <w:t xml:space="preserve">The contribution of maternal effects to selection response: An empirical test of competing models</w:t>
        </w:r>
      </w:hyperlink>
      <w:r>
        <w:t xml:space="preserve">.</w:t>
      </w:r>
      <w:r>
        <w:t xml:space="preserve"> </w:t>
      </w:r>
      <w:r>
        <w:rPr>
          <w:i/>
          <w:iCs/>
        </w:rPr>
        <w:t xml:space="preserve">Evolution</w:t>
      </w:r>
      <w:r>
        <w:t xml:space="preserve"> </w:t>
      </w:r>
      <w:r>
        <w:t xml:space="preserve">68</w:t>
      </w:r>
    </w:p>
    <w:bookmarkEnd w:id="200"/>
    <w:bookmarkStart w:id="202" w:name="ref-Urban2016"/>
    <w:p>
      <w:pPr>
        <w:pStyle w:val="Bibliography"/>
      </w:pPr>
      <w:r>
        <w:t xml:space="preserve">88.</w:t>
      </w:r>
      <w:r>
        <w:t xml:space="preserve"> </w:t>
      </w:r>
      <w:r>
        <w:t xml:space="preserve">	</w:t>
      </w:r>
      <w:r>
        <w:t xml:space="preserve">Urban, M.C.</w:t>
      </w:r>
      <w:r>
        <w:t xml:space="preserve"> </w:t>
      </w:r>
      <w:r>
        <w:rPr>
          <w:i/>
          <w:iCs/>
        </w:rPr>
        <w:t xml:space="preserve">et al.</w:t>
      </w:r>
      <w:r>
        <w:t xml:space="preserve"> </w:t>
      </w:r>
      <w:r>
        <w:t xml:space="preserve">(2016)</w:t>
      </w:r>
      <w:r>
        <w:t xml:space="preserve"> </w:t>
      </w:r>
      <w:hyperlink r:id="rId201">
        <w:r>
          <w:rPr>
            <w:rStyle w:val="Hyperlink"/>
          </w:rPr>
          <w:t xml:space="preserve">Improving the forecast for biodiversity under climate change</w:t>
        </w:r>
      </w:hyperlink>
      <w:r>
        <w:t xml:space="preserve">.</w:t>
      </w:r>
      <w:r>
        <w:t xml:space="preserve"> </w:t>
      </w:r>
      <w:r>
        <w:rPr>
          <w:i/>
          <w:iCs/>
        </w:rPr>
        <w:t xml:space="preserve">Science</w:t>
      </w:r>
      <w:r>
        <w:t xml:space="preserve"> </w:t>
      </w:r>
      <w:r>
        <w:t xml:space="preserve">353, aad8466–aad8466</w:t>
      </w:r>
    </w:p>
    <w:bookmarkEnd w:id="202"/>
    <w:bookmarkStart w:id="204" w:name="ref-Kattge2020"/>
    <w:p>
      <w:pPr>
        <w:pStyle w:val="Bibliography"/>
      </w:pPr>
      <w:r>
        <w:t xml:space="preserve">89.</w:t>
      </w:r>
      <w:r>
        <w:t xml:space="preserve"> </w:t>
      </w:r>
      <w:r>
        <w:t xml:space="preserve">	</w:t>
      </w:r>
      <w:r>
        <w:t xml:space="preserve">Kattge, J.</w:t>
      </w:r>
      <w:r>
        <w:t xml:space="preserve"> </w:t>
      </w:r>
      <w:r>
        <w:rPr>
          <w:i/>
          <w:iCs/>
        </w:rPr>
        <w:t xml:space="preserve">et al.</w:t>
      </w:r>
      <w:r>
        <w:t xml:space="preserve"> </w:t>
      </w:r>
      <w:r>
        <w:t xml:space="preserve">(2020)</w:t>
      </w:r>
      <w:r>
        <w:t xml:space="preserve"> </w:t>
      </w:r>
      <w:hyperlink r:id="rId203">
        <w:r>
          <w:rPr>
            <w:rStyle w:val="Hyperlink"/>
          </w:rPr>
          <w:t xml:space="preserve">TRY</w:t>
        </w:r>
        <w:r>
          <w:rPr>
            <w:rStyle w:val="Hyperlink"/>
          </w:rPr>
          <w:t xml:space="preserve"> </w:t>
        </w:r>
        <w:r>
          <w:rPr>
            <w:rStyle w:val="Hyperlink"/>
          </w:rPr>
          <w:t xml:space="preserve">plant trait database - enhanced coverage and open access</w:t>
        </w:r>
      </w:hyperlink>
      <w:r>
        <w:t xml:space="preserve">.</w:t>
      </w:r>
      <w:r>
        <w:t xml:space="preserve"> </w:t>
      </w:r>
      <w:r>
        <w:rPr>
          <w:i/>
          <w:iCs/>
        </w:rPr>
        <w:t xml:space="preserve">Glob. Chang. Biol.</w:t>
      </w:r>
      <w:r>
        <w:t xml:space="preserve"> </w:t>
      </w:r>
      <w:r>
        <w:t xml:space="preserve">26, 119–188</w:t>
      </w:r>
    </w:p>
    <w:bookmarkEnd w:id="204"/>
    <w:bookmarkStart w:id="206" w:name="ref-Leiva2025"/>
    <w:p>
      <w:pPr>
        <w:pStyle w:val="Bibliography"/>
      </w:pPr>
      <w:r>
        <w:t xml:space="preserve">90.</w:t>
      </w:r>
      <w:r>
        <w:t xml:space="preserve"> </w:t>
      </w:r>
      <w:r>
        <w:t xml:space="preserve">	</w:t>
      </w:r>
      <w:r>
        <w:t xml:space="preserve">Leiva, F.P.</w:t>
      </w:r>
      <w:r>
        <w:t xml:space="preserve"> </w:t>
      </w:r>
      <w:r>
        <w:rPr>
          <w:i/>
          <w:iCs/>
        </w:rPr>
        <w:t xml:space="preserve">et al.</w:t>
      </w:r>
      <w:r>
        <w:t xml:space="preserve"> </w:t>
      </w:r>
      <w:r>
        <w:t xml:space="preserve">(2025)</w:t>
      </w:r>
      <w:r>
        <w:t xml:space="preserve"> </w:t>
      </w:r>
      <w:r>
        <w:t xml:space="preserve">ShareTrait</w:t>
      </w:r>
      <w:r>
        <w:t xml:space="preserve">: Towards interoperable and reusable individual trait‐based data in ectotherms.</w:t>
      </w:r>
      <w:r>
        <w:t xml:space="preserve"> </w:t>
      </w:r>
      <w:r>
        <w:rPr>
          <w:i/>
          <w:iCs/>
        </w:rPr>
        <w:t xml:space="preserve">Funct. Ecol.</w:t>
      </w:r>
      <w:r>
        <w:t xml:space="preserve"> </w:t>
      </w:r>
      <w:r>
        <w:t xml:space="preserve">DOI:</w:t>
      </w:r>
      <w:r>
        <w:t xml:space="preserve"> </w:t>
      </w:r>
      <w:hyperlink r:id="rId205">
        <w:r>
          <w:rPr>
            <w:rStyle w:val="Hyperlink"/>
          </w:rPr>
          <w:t xml:space="preserve">10.1111/1365-2435.70147</w:t>
        </w:r>
      </w:hyperlink>
    </w:p>
    <w:bookmarkEnd w:id="206"/>
    <w:bookmarkStart w:id="208" w:name="ref-Dudney2025"/>
    <w:p>
      <w:pPr>
        <w:pStyle w:val="Bibliography"/>
      </w:pPr>
      <w:r>
        <w:t xml:space="preserve">91.</w:t>
      </w:r>
      <w:r>
        <w:t xml:space="preserve"> </w:t>
      </w:r>
      <w:r>
        <w:t xml:space="preserve">	</w:t>
      </w:r>
      <w:r>
        <w:t xml:space="preserve">Dudney, J.</w:t>
      </w:r>
      <w:r>
        <w:t xml:space="preserve"> </w:t>
      </w:r>
      <w:r>
        <w:rPr>
          <w:i/>
          <w:iCs/>
        </w:rPr>
        <w:t xml:space="preserve">et al.</w:t>
      </w:r>
      <w:r>
        <w:t xml:space="preserve"> </w:t>
      </w:r>
      <w:r>
        <w:t xml:space="preserve">(2025)</w:t>
      </w:r>
      <w:r>
        <w:t xml:space="preserve"> </w:t>
      </w:r>
      <w:hyperlink r:id="rId207">
        <w:r>
          <w:rPr>
            <w:rStyle w:val="Hyperlink"/>
          </w:rPr>
          <w:t xml:space="preserve">A causal inference framework for climate change attribution in ecology</w:t>
        </w:r>
      </w:hyperlink>
      <w:r>
        <w:t xml:space="preserve">.</w:t>
      </w:r>
      <w:r>
        <w:t xml:space="preserve"> </w:t>
      </w:r>
      <w:r>
        <w:rPr>
          <w:i/>
          <w:iCs/>
        </w:rPr>
        <w:t xml:space="preserve">Ecol. Lett.</w:t>
      </w:r>
      <w:r>
        <w:t xml:space="preserve"> </w:t>
      </w:r>
      <w:r>
        <w:t xml:space="preserve">28, e70192</w:t>
      </w:r>
    </w:p>
    <w:bookmarkEnd w:id="208"/>
    <w:bookmarkStart w:id="210" w:name="ref-Carroll2023"/>
    <w:p>
      <w:pPr>
        <w:pStyle w:val="Bibliography"/>
      </w:pPr>
      <w:r>
        <w:t xml:space="preserve">92.</w:t>
      </w:r>
      <w:r>
        <w:t xml:space="preserve"> </w:t>
      </w:r>
      <w:r>
        <w:t xml:space="preserve">	</w:t>
      </w:r>
      <w:r>
        <w:t xml:space="preserve">Carroll, T.</w:t>
      </w:r>
      <w:r>
        <w:t xml:space="preserve"> </w:t>
      </w:r>
      <w:r>
        <w:rPr>
          <w:i/>
          <w:iCs/>
        </w:rPr>
        <w:t xml:space="preserve">et al.</w:t>
      </w:r>
      <w:r>
        <w:t xml:space="preserve"> </w:t>
      </w:r>
      <w:r>
        <w:t xml:space="preserve">(2023)</w:t>
      </w:r>
      <w:r>
        <w:t xml:space="preserve"> </w:t>
      </w:r>
      <w:hyperlink r:id="rId209">
        <w:r>
          <w:rPr>
            <w:rStyle w:val="Hyperlink"/>
          </w:rPr>
          <w:t xml:space="preserve">Biodiversity change under adaptive community dynamics</w:t>
        </w:r>
      </w:hyperlink>
      <w:r>
        <w:t xml:space="preserve">.</w:t>
      </w:r>
      <w:r>
        <w:t xml:space="preserve"> </w:t>
      </w:r>
      <w:r>
        <w:rPr>
          <w:i/>
          <w:iCs/>
        </w:rPr>
        <w:t xml:space="preserve">Glob. Chang. Biol.</w:t>
      </w:r>
      <w:r>
        <w:t xml:space="preserve"> </w:t>
      </w:r>
      <w:r>
        <w:t xml:space="preserve">29, 3525–3538</w:t>
      </w:r>
    </w:p>
    <w:bookmarkEnd w:id="210"/>
    <w:bookmarkStart w:id="212" w:name="ref-Dornhaus2022"/>
    <w:p>
      <w:pPr>
        <w:pStyle w:val="Bibliography"/>
      </w:pPr>
      <w:r>
        <w:t xml:space="preserve">93.</w:t>
      </w:r>
      <w:r>
        <w:t xml:space="preserve"> </w:t>
      </w:r>
      <w:r>
        <w:t xml:space="preserve">	</w:t>
      </w:r>
      <w:r>
        <w:t xml:space="preserve">Dornhaus, A.</w:t>
      </w:r>
      <w:r>
        <w:t xml:space="preserve"> </w:t>
      </w:r>
      <w:r>
        <w:rPr>
          <w:i/>
          <w:iCs/>
        </w:rPr>
        <w:t xml:space="preserve">et al.</w:t>
      </w:r>
      <w:r>
        <w:t xml:space="preserve"> </w:t>
      </w:r>
      <w:r>
        <w:t xml:space="preserve">(2022)</w:t>
      </w:r>
      <w:r>
        <w:t xml:space="preserve"> </w:t>
      </w:r>
      <w:hyperlink r:id="rId211">
        <w:r>
          <w:rPr>
            <w:rStyle w:val="Hyperlink"/>
          </w:rPr>
          <w:t xml:space="preserve">How can we fully realize the potential of mathematical and biological models to reintegrate biology?</w:t>
        </w:r>
      </w:hyperlink>
      <w:r>
        <w:t xml:space="preserve"> </w:t>
      </w:r>
      <w:r>
        <w:rPr>
          <w:i/>
          <w:iCs/>
        </w:rPr>
        <w:t xml:space="preserve">Integr. Comp. Biol.</w:t>
      </w:r>
      <w:r>
        <w:t xml:space="preserve"> </w:t>
      </w:r>
      <w:r>
        <w:t xml:space="preserve">61, 2244–2254</w:t>
      </w:r>
    </w:p>
    <w:bookmarkEnd w:id="212"/>
    <w:bookmarkEnd w:id="213"/>
    <w:p>
      <w:pPr>
        <w:pStyle w:val="BodyText"/>
      </w:pPr>
    </w:p>
    <w:bookmarkEnd w:id="214"/>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hyperlink" Id="rId140" Target="https://doi.org/10.1002/ece3.4983" TargetMode="External" /><Relationship Type="http://schemas.openxmlformats.org/officeDocument/2006/relationships/hyperlink" Id="rId107" Target="https://doi.org/10.1002/ecm.1240" TargetMode="External" /><Relationship Type="http://schemas.openxmlformats.org/officeDocument/2006/relationships/hyperlink" Id="rId95" Target="https://doi.org/10.1002/ecs2.4506" TargetMode="External" /><Relationship Type="http://schemas.openxmlformats.org/officeDocument/2006/relationships/hyperlink" Id="rId91" Target="https://doi.org/10.1002/ecy.1444" TargetMode="External" /><Relationship Type="http://schemas.openxmlformats.org/officeDocument/2006/relationships/hyperlink" Id="rId162" Target="https://doi.org/10.1006/tpbi.2000.1486" TargetMode="External" /><Relationship Type="http://schemas.openxmlformats.org/officeDocument/2006/relationships/hyperlink" Id="rId166" Target="https://doi.org/10.1007/978-94-011-2106-4" TargetMode="External" /><Relationship Type="http://schemas.openxmlformats.org/officeDocument/2006/relationships/hyperlink" Id="rId137" Target="https://doi.org/10.1007/978-981-99-0030-5\_6" TargetMode="External" /><Relationship Type="http://schemas.openxmlformats.org/officeDocument/2006/relationships/hyperlink" Id="rId103" Target="https://doi.org/10.1007/BF00379617" TargetMode="External" /><Relationship Type="http://schemas.openxmlformats.org/officeDocument/2006/relationships/hyperlink" Id="rId133" Target="https://doi.org/10.1007/s11104-013-1761-6" TargetMode="External" /><Relationship Type="http://schemas.openxmlformats.org/officeDocument/2006/relationships/hyperlink" Id="rId146" Target="https://doi.org/10.1016/j.ecolmodel.2019.108904" TargetMode="External" /><Relationship Type="http://schemas.openxmlformats.org/officeDocument/2006/relationships/hyperlink" Id="rId99" Target="https://doi.org/10.1016/j.envsoft.2018.02.002" TargetMode="External" /><Relationship Type="http://schemas.openxmlformats.org/officeDocument/2006/relationships/hyperlink" Id="rId135" Target="https://doi.org/10.1016/j.jinsphys.2009.11.006" TargetMode="External" /><Relationship Type="http://schemas.openxmlformats.org/officeDocument/2006/relationships/hyperlink" Id="rId178" Target="https://doi.org/10.1016/j.tplants.2022.02.008" TargetMode="External" /><Relationship Type="http://schemas.openxmlformats.org/officeDocument/2006/relationships/hyperlink" Id="rId190" Target="https://doi.org/10.1038/nature15256" TargetMode="External" /><Relationship Type="http://schemas.openxmlformats.org/officeDocument/2006/relationships/hyperlink" Id="rId168" Target="https://doi.org/10.1038/s41559-016-0062" TargetMode="External" /><Relationship Type="http://schemas.openxmlformats.org/officeDocument/2006/relationships/hyperlink" Id="rId121" Target="https://doi.org/10.1073/pnas.2408583121" TargetMode="External" /><Relationship Type="http://schemas.openxmlformats.org/officeDocument/2006/relationships/hyperlink" Id="rId174" Target="https://doi.org/10.1086/713082" TargetMode="External" /><Relationship Type="http://schemas.openxmlformats.org/officeDocument/2006/relationships/hyperlink" Id="rId153" Target="https://doi.org/10.1093/conphys/coab086" TargetMode="External" /><Relationship Type="http://schemas.openxmlformats.org/officeDocument/2006/relationships/hyperlink" Id="rId211" Target="https://doi.org/10.1093/icb/icab142" TargetMode="External" /><Relationship Type="http://schemas.openxmlformats.org/officeDocument/2006/relationships/hyperlink" Id="rId126" Target="https://doi.org/10.1093/jxb/erae096" TargetMode="External" /><Relationship Type="http://schemas.openxmlformats.org/officeDocument/2006/relationships/hyperlink" Id="rId155" Target="https://doi.org/10.1093/nar/gkp370" TargetMode="External" /><Relationship Type="http://schemas.openxmlformats.org/officeDocument/2006/relationships/hyperlink" Id="rId197" Target="https://doi.org/10.1093/oso/9780198830870.001.0001" TargetMode="External" /><Relationship Type="http://schemas.openxmlformats.org/officeDocument/2006/relationships/hyperlink" Id="rId149" Target="https://doi.org/10.1098/rstb.2010.0034" TargetMode="External" /><Relationship Type="http://schemas.openxmlformats.org/officeDocument/2006/relationships/hyperlink" Id="rId192" Target="https://doi.org/10.1098/rstb.2010.0166" TargetMode="External" /><Relationship Type="http://schemas.openxmlformats.org/officeDocument/2006/relationships/hyperlink" Id="rId184" Target="https://doi.org/10.1098/rstb.2016.0138" TargetMode="External" /><Relationship Type="http://schemas.openxmlformats.org/officeDocument/2006/relationships/hyperlink" Id="rId72" Target="https://doi.org/10.1111/1365-2435.12268" TargetMode="External" /><Relationship Type="http://schemas.openxmlformats.org/officeDocument/2006/relationships/hyperlink" Id="rId131" Target="https://doi.org/10.1111/1365-2435.70038" TargetMode="External" /><Relationship Type="http://schemas.openxmlformats.org/officeDocument/2006/relationships/hyperlink" Id="rId205" Target="https://doi.org/10.1111/1365-2435.70147" TargetMode="External" /><Relationship Type="http://schemas.openxmlformats.org/officeDocument/2006/relationships/hyperlink" Id="rId76" Target="https://doi.org/10.1111/1365-2745.13030" TargetMode="External" /><Relationship Type="http://schemas.openxmlformats.org/officeDocument/2006/relationships/hyperlink" Id="rId82" Target="https://doi.org/10.1111/2041-210x.13093" TargetMode="External" /><Relationship Type="http://schemas.openxmlformats.org/officeDocument/2006/relationships/hyperlink" Id="rId84" Target="https://doi.org/10.1111/2041-210x.13330" TargetMode="External" /><Relationship Type="http://schemas.openxmlformats.org/officeDocument/2006/relationships/hyperlink" Id="rId86" Target="https://doi.org/10.1111/2041-210x.13627" TargetMode="External" /><Relationship Type="http://schemas.openxmlformats.org/officeDocument/2006/relationships/hyperlink" Id="rId69" Target="https://doi.org/10.1111/2041-210x.14373" TargetMode="External" /><Relationship Type="http://schemas.openxmlformats.org/officeDocument/2006/relationships/hyperlink" Id="rId93" Target="https://doi.org/10.1111/2041-210x.14476" TargetMode="External" /><Relationship Type="http://schemas.openxmlformats.org/officeDocument/2006/relationships/hyperlink" Id="rId144" Target="https://doi.org/10.1111/J.1365-2656.2000.00448.X" TargetMode="External" /><Relationship Type="http://schemas.openxmlformats.org/officeDocument/2006/relationships/hyperlink" Id="rId113" Target="https://doi.org/10.1111/conl.12906" TargetMode="External" /><Relationship Type="http://schemas.openxmlformats.org/officeDocument/2006/relationships/hyperlink" Id="rId80" Target="https://doi.org/10.1111/ecog.02360" TargetMode="External" /><Relationship Type="http://schemas.openxmlformats.org/officeDocument/2006/relationships/hyperlink" Id="rId142" Target="https://doi.org/10.1111/ecog.04680" TargetMode="External" /><Relationship Type="http://schemas.openxmlformats.org/officeDocument/2006/relationships/hyperlink" Id="rId78" Target="https://doi.org/10.1111/ele.14011" TargetMode="External" /><Relationship Type="http://schemas.openxmlformats.org/officeDocument/2006/relationships/hyperlink" Id="rId172" Target="https://doi.org/10.1111/ele.14376" TargetMode="External" /><Relationship Type="http://schemas.openxmlformats.org/officeDocument/2006/relationships/hyperlink" Id="rId170" Target="https://doi.org/10.1111/ele.70059" TargetMode="External" /><Relationship Type="http://schemas.openxmlformats.org/officeDocument/2006/relationships/hyperlink" Id="rId207" Target="https://doi.org/10.1111/ele.70192" TargetMode="External" /><Relationship Type="http://schemas.openxmlformats.org/officeDocument/2006/relationships/hyperlink" Id="rId199" Target="https://doi.org/10.1111/evo.12235" TargetMode="External" /><Relationship Type="http://schemas.openxmlformats.org/officeDocument/2006/relationships/hyperlink" Id="rId97" Target="https://doi.org/10.1111/gcb.14037" TargetMode="External" /><Relationship Type="http://schemas.openxmlformats.org/officeDocument/2006/relationships/hyperlink" Id="rId203" Target="https://doi.org/10.1111/gcb.14904" TargetMode="External" /><Relationship Type="http://schemas.openxmlformats.org/officeDocument/2006/relationships/hyperlink" Id="rId160" Target="https://doi.org/10.1111/gcb.15215" TargetMode="External" /><Relationship Type="http://schemas.openxmlformats.org/officeDocument/2006/relationships/hyperlink" Id="rId129" Target="https://doi.org/10.1111/gcb.15976" TargetMode="External" /><Relationship Type="http://schemas.openxmlformats.org/officeDocument/2006/relationships/hyperlink" Id="rId209" Target="https://doi.org/10.1111/gcb.16680" TargetMode="External" /><Relationship Type="http://schemas.openxmlformats.org/officeDocument/2006/relationships/hyperlink" Id="rId74" Target="https://doi.org/10.1111/gcb.70315" TargetMode="External" /><Relationship Type="http://schemas.openxmlformats.org/officeDocument/2006/relationships/hyperlink" Id="rId101" Target="https://doi.org/10.1111/j.1365-2486.2010.02375.x" TargetMode="External" /><Relationship Type="http://schemas.openxmlformats.org/officeDocument/2006/relationships/hyperlink" Id="rId195" Target="https://doi.org/10.1111/j.1558-5646.1979.tb04694.x" TargetMode="External" /><Relationship Type="http://schemas.openxmlformats.org/officeDocument/2006/relationships/hyperlink" Id="rId115" Target="https://doi.org/10.1111/nph.15395" TargetMode="External" /><Relationship Type="http://schemas.openxmlformats.org/officeDocument/2006/relationships/hyperlink" Id="rId158" Target="https://doi.org/10.1111/nph.15668" TargetMode="External" /><Relationship Type="http://schemas.openxmlformats.org/officeDocument/2006/relationships/hyperlink" Id="rId186" Target="https://doi.org/10.1111/oik.08715" TargetMode="External" /><Relationship Type="http://schemas.openxmlformats.org/officeDocument/2006/relationships/hyperlink" Id="rId124" Target="https://doi.org/10.1111/pce.14050" TargetMode="External" /><Relationship Type="http://schemas.openxmlformats.org/officeDocument/2006/relationships/hyperlink" Id="rId201" Target="https://doi.org/10.1126/science.aad8466" TargetMode="External" /><Relationship Type="http://schemas.openxmlformats.org/officeDocument/2006/relationships/hyperlink" Id="rId62" Target="https://doi.org/10.1126/science.aba9287" TargetMode="External" /><Relationship Type="http://schemas.openxmlformats.org/officeDocument/2006/relationships/hyperlink" Id="rId111" Target="https://doi.org/10.1126/science.adq4372" TargetMode="External" /><Relationship Type="http://schemas.openxmlformats.org/officeDocument/2006/relationships/hyperlink" Id="rId59" Target="https://doi.org/10.1126/science.adv5413" TargetMode="External" /><Relationship Type="http://schemas.openxmlformats.org/officeDocument/2006/relationships/hyperlink" Id="rId53" Target="https://doi.org/10.1126/science.adv7597" TargetMode="External" /><Relationship Type="http://schemas.openxmlformats.org/officeDocument/2006/relationships/hyperlink" Id="rId164" Target="https://doi.org/10.1139/f54-039" TargetMode="External" /><Relationship Type="http://schemas.openxmlformats.org/officeDocument/2006/relationships/hyperlink" Id="rId117" Target="https://doi.org/10.1242/jeb.224139" TargetMode="External" /><Relationship Type="http://schemas.openxmlformats.org/officeDocument/2006/relationships/hyperlink" Id="rId151" Target="https://doi.org/10.1371/journal.pcbi.1006100" TargetMode="External" /><Relationship Type="http://schemas.openxmlformats.org/officeDocument/2006/relationships/hyperlink" Id="rId88" Target="https://doi.org/10.1371/journal.pclm.0000139" TargetMode="External" /><Relationship Type="http://schemas.openxmlformats.org/officeDocument/2006/relationships/hyperlink" Id="rId109" Target="https://doi.org/10.1371/journal.pone.0143346" TargetMode="External" /><Relationship Type="http://schemas.openxmlformats.org/officeDocument/2006/relationships/hyperlink" Id="rId176" Target="https://doi.org/10.1890/14-0976.1" TargetMode="External" /><Relationship Type="http://schemas.openxmlformats.org/officeDocument/2006/relationships/hyperlink" Id="rId105" Target="https://doi.org/10.2307/1948545" TargetMode="External" /><Relationship Type="http://schemas.openxmlformats.org/officeDocument/2006/relationships/hyperlink" Id="rId119" Target="https://doi.org/10.3389/fevo.2022.813567" TargetMode="External" /><Relationship Type="http://schemas.openxmlformats.org/officeDocument/2006/relationships/hyperlink" Id="rId182" Target="https://doi.org/10.5194/gmd-9-1937-2016" TargetMode="External" /></Relationships>
</file>

<file path=word/_rels/footnotes.xml.rels><?xml version="1.0" encoding="UTF-8"?><Relationships xmlns="http://schemas.openxmlformats.org/package/2006/relationships"><Relationship Type="http://schemas.openxmlformats.org/officeDocument/2006/relationships/hyperlink" Id="rId140" Target="https://doi.org/10.1002/ece3.4983" TargetMode="External" /><Relationship Type="http://schemas.openxmlformats.org/officeDocument/2006/relationships/hyperlink" Id="rId107" Target="https://doi.org/10.1002/ecm.1240" TargetMode="External" /><Relationship Type="http://schemas.openxmlformats.org/officeDocument/2006/relationships/hyperlink" Id="rId95" Target="https://doi.org/10.1002/ecs2.4506" TargetMode="External" /><Relationship Type="http://schemas.openxmlformats.org/officeDocument/2006/relationships/hyperlink" Id="rId91" Target="https://doi.org/10.1002/ecy.1444" TargetMode="External" /><Relationship Type="http://schemas.openxmlformats.org/officeDocument/2006/relationships/hyperlink" Id="rId162" Target="https://doi.org/10.1006/tpbi.2000.1486" TargetMode="External" /><Relationship Type="http://schemas.openxmlformats.org/officeDocument/2006/relationships/hyperlink" Id="rId166" Target="https://doi.org/10.1007/978-94-011-2106-4" TargetMode="External" /><Relationship Type="http://schemas.openxmlformats.org/officeDocument/2006/relationships/hyperlink" Id="rId137" Target="https://doi.org/10.1007/978-981-99-0030-5\_6" TargetMode="External" /><Relationship Type="http://schemas.openxmlformats.org/officeDocument/2006/relationships/hyperlink" Id="rId103" Target="https://doi.org/10.1007/BF00379617" TargetMode="External" /><Relationship Type="http://schemas.openxmlformats.org/officeDocument/2006/relationships/hyperlink" Id="rId133" Target="https://doi.org/10.1007/s11104-013-1761-6" TargetMode="External" /><Relationship Type="http://schemas.openxmlformats.org/officeDocument/2006/relationships/hyperlink" Id="rId146" Target="https://doi.org/10.1016/j.ecolmodel.2019.108904" TargetMode="External" /><Relationship Type="http://schemas.openxmlformats.org/officeDocument/2006/relationships/hyperlink" Id="rId99" Target="https://doi.org/10.1016/j.envsoft.2018.02.002" TargetMode="External" /><Relationship Type="http://schemas.openxmlformats.org/officeDocument/2006/relationships/hyperlink" Id="rId135" Target="https://doi.org/10.1016/j.jinsphys.2009.11.006" TargetMode="External" /><Relationship Type="http://schemas.openxmlformats.org/officeDocument/2006/relationships/hyperlink" Id="rId178" Target="https://doi.org/10.1016/j.tplants.2022.02.008" TargetMode="External" /><Relationship Type="http://schemas.openxmlformats.org/officeDocument/2006/relationships/hyperlink" Id="rId190" Target="https://doi.org/10.1038/nature15256" TargetMode="External" /><Relationship Type="http://schemas.openxmlformats.org/officeDocument/2006/relationships/hyperlink" Id="rId168" Target="https://doi.org/10.1038/s41559-016-0062" TargetMode="External" /><Relationship Type="http://schemas.openxmlformats.org/officeDocument/2006/relationships/hyperlink" Id="rId121" Target="https://doi.org/10.1073/pnas.2408583121" TargetMode="External" /><Relationship Type="http://schemas.openxmlformats.org/officeDocument/2006/relationships/hyperlink" Id="rId174" Target="https://doi.org/10.1086/713082" TargetMode="External" /><Relationship Type="http://schemas.openxmlformats.org/officeDocument/2006/relationships/hyperlink" Id="rId153" Target="https://doi.org/10.1093/conphys/coab086" TargetMode="External" /><Relationship Type="http://schemas.openxmlformats.org/officeDocument/2006/relationships/hyperlink" Id="rId211" Target="https://doi.org/10.1093/icb/icab142" TargetMode="External" /><Relationship Type="http://schemas.openxmlformats.org/officeDocument/2006/relationships/hyperlink" Id="rId126" Target="https://doi.org/10.1093/jxb/erae096" TargetMode="External" /><Relationship Type="http://schemas.openxmlformats.org/officeDocument/2006/relationships/hyperlink" Id="rId155" Target="https://doi.org/10.1093/nar/gkp370" TargetMode="External" /><Relationship Type="http://schemas.openxmlformats.org/officeDocument/2006/relationships/hyperlink" Id="rId197" Target="https://doi.org/10.1093/oso/9780198830870.001.0001" TargetMode="External" /><Relationship Type="http://schemas.openxmlformats.org/officeDocument/2006/relationships/hyperlink" Id="rId149" Target="https://doi.org/10.1098/rstb.2010.0034" TargetMode="External" /><Relationship Type="http://schemas.openxmlformats.org/officeDocument/2006/relationships/hyperlink" Id="rId192" Target="https://doi.org/10.1098/rstb.2010.0166" TargetMode="External" /><Relationship Type="http://schemas.openxmlformats.org/officeDocument/2006/relationships/hyperlink" Id="rId184" Target="https://doi.org/10.1098/rstb.2016.0138" TargetMode="External" /><Relationship Type="http://schemas.openxmlformats.org/officeDocument/2006/relationships/hyperlink" Id="rId72" Target="https://doi.org/10.1111/1365-2435.12268" TargetMode="External" /><Relationship Type="http://schemas.openxmlformats.org/officeDocument/2006/relationships/hyperlink" Id="rId131" Target="https://doi.org/10.1111/1365-2435.70038" TargetMode="External" /><Relationship Type="http://schemas.openxmlformats.org/officeDocument/2006/relationships/hyperlink" Id="rId205" Target="https://doi.org/10.1111/1365-2435.70147" TargetMode="External" /><Relationship Type="http://schemas.openxmlformats.org/officeDocument/2006/relationships/hyperlink" Id="rId76" Target="https://doi.org/10.1111/1365-2745.13030" TargetMode="External" /><Relationship Type="http://schemas.openxmlformats.org/officeDocument/2006/relationships/hyperlink" Id="rId82" Target="https://doi.org/10.1111/2041-210x.13093" TargetMode="External" /><Relationship Type="http://schemas.openxmlformats.org/officeDocument/2006/relationships/hyperlink" Id="rId84" Target="https://doi.org/10.1111/2041-210x.13330" TargetMode="External" /><Relationship Type="http://schemas.openxmlformats.org/officeDocument/2006/relationships/hyperlink" Id="rId86" Target="https://doi.org/10.1111/2041-210x.13627" TargetMode="External" /><Relationship Type="http://schemas.openxmlformats.org/officeDocument/2006/relationships/hyperlink" Id="rId69" Target="https://doi.org/10.1111/2041-210x.14373" TargetMode="External" /><Relationship Type="http://schemas.openxmlformats.org/officeDocument/2006/relationships/hyperlink" Id="rId93" Target="https://doi.org/10.1111/2041-210x.14476" TargetMode="External" /><Relationship Type="http://schemas.openxmlformats.org/officeDocument/2006/relationships/hyperlink" Id="rId144" Target="https://doi.org/10.1111/J.1365-2656.2000.00448.X" TargetMode="External" /><Relationship Type="http://schemas.openxmlformats.org/officeDocument/2006/relationships/hyperlink" Id="rId113" Target="https://doi.org/10.1111/conl.12906" TargetMode="External" /><Relationship Type="http://schemas.openxmlformats.org/officeDocument/2006/relationships/hyperlink" Id="rId80" Target="https://doi.org/10.1111/ecog.02360" TargetMode="External" /><Relationship Type="http://schemas.openxmlformats.org/officeDocument/2006/relationships/hyperlink" Id="rId142" Target="https://doi.org/10.1111/ecog.04680" TargetMode="External" /><Relationship Type="http://schemas.openxmlformats.org/officeDocument/2006/relationships/hyperlink" Id="rId78" Target="https://doi.org/10.1111/ele.14011" TargetMode="External" /><Relationship Type="http://schemas.openxmlformats.org/officeDocument/2006/relationships/hyperlink" Id="rId172" Target="https://doi.org/10.1111/ele.14376" TargetMode="External" /><Relationship Type="http://schemas.openxmlformats.org/officeDocument/2006/relationships/hyperlink" Id="rId170" Target="https://doi.org/10.1111/ele.70059" TargetMode="External" /><Relationship Type="http://schemas.openxmlformats.org/officeDocument/2006/relationships/hyperlink" Id="rId207" Target="https://doi.org/10.1111/ele.70192" TargetMode="External" /><Relationship Type="http://schemas.openxmlformats.org/officeDocument/2006/relationships/hyperlink" Id="rId199" Target="https://doi.org/10.1111/evo.12235" TargetMode="External" /><Relationship Type="http://schemas.openxmlformats.org/officeDocument/2006/relationships/hyperlink" Id="rId97" Target="https://doi.org/10.1111/gcb.14037" TargetMode="External" /><Relationship Type="http://schemas.openxmlformats.org/officeDocument/2006/relationships/hyperlink" Id="rId203" Target="https://doi.org/10.1111/gcb.14904" TargetMode="External" /><Relationship Type="http://schemas.openxmlformats.org/officeDocument/2006/relationships/hyperlink" Id="rId160" Target="https://doi.org/10.1111/gcb.15215" TargetMode="External" /><Relationship Type="http://schemas.openxmlformats.org/officeDocument/2006/relationships/hyperlink" Id="rId129" Target="https://doi.org/10.1111/gcb.15976" TargetMode="External" /><Relationship Type="http://schemas.openxmlformats.org/officeDocument/2006/relationships/hyperlink" Id="rId209" Target="https://doi.org/10.1111/gcb.16680" TargetMode="External" /><Relationship Type="http://schemas.openxmlformats.org/officeDocument/2006/relationships/hyperlink" Id="rId74" Target="https://doi.org/10.1111/gcb.70315" TargetMode="External" /><Relationship Type="http://schemas.openxmlformats.org/officeDocument/2006/relationships/hyperlink" Id="rId101" Target="https://doi.org/10.1111/j.1365-2486.2010.02375.x" TargetMode="External" /><Relationship Type="http://schemas.openxmlformats.org/officeDocument/2006/relationships/hyperlink" Id="rId195" Target="https://doi.org/10.1111/j.1558-5646.1979.tb04694.x" TargetMode="External" /><Relationship Type="http://schemas.openxmlformats.org/officeDocument/2006/relationships/hyperlink" Id="rId115" Target="https://doi.org/10.1111/nph.15395" TargetMode="External" /><Relationship Type="http://schemas.openxmlformats.org/officeDocument/2006/relationships/hyperlink" Id="rId158" Target="https://doi.org/10.1111/nph.15668" TargetMode="External" /><Relationship Type="http://schemas.openxmlformats.org/officeDocument/2006/relationships/hyperlink" Id="rId186" Target="https://doi.org/10.1111/oik.08715" TargetMode="External" /><Relationship Type="http://schemas.openxmlformats.org/officeDocument/2006/relationships/hyperlink" Id="rId124" Target="https://doi.org/10.1111/pce.14050" TargetMode="External" /><Relationship Type="http://schemas.openxmlformats.org/officeDocument/2006/relationships/hyperlink" Id="rId201" Target="https://doi.org/10.1126/science.aad8466" TargetMode="External" /><Relationship Type="http://schemas.openxmlformats.org/officeDocument/2006/relationships/hyperlink" Id="rId62" Target="https://doi.org/10.1126/science.aba9287" TargetMode="External" /><Relationship Type="http://schemas.openxmlformats.org/officeDocument/2006/relationships/hyperlink" Id="rId111" Target="https://doi.org/10.1126/science.adq4372" TargetMode="External" /><Relationship Type="http://schemas.openxmlformats.org/officeDocument/2006/relationships/hyperlink" Id="rId59" Target="https://doi.org/10.1126/science.adv5413" TargetMode="External" /><Relationship Type="http://schemas.openxmlformats.org/officeDocument/2006/relationships/hyperlink" Id="rId53" Target="https://doi.org/10.1126/science.adv7597" TargetMode="External" /><Relationship Type="http://schemas.openxmlformats.org/officeDocument/2006/relationships/hyperlink" Id="rId164" Target="https://doi.org/10.1139/f54-039" TargetMode="External" /><Relationship Type="http://schemas.openxmlformats.org/officeDocument/2006/relationships/hyperlink" Id="rId117" Target="https://doi.org/10.1242/jeb.224139" TargetMode="External" /><Relationship Type="http://schemas.openxmlformats.org/officeDocument/2006/relationships/hyperlink" Id="rId151" Target="https://doi.org/10.1371/journal.pcbi.1006100" TargetMode="External" /><Relationship Type="http://schemas.openxmlformats.org/officeDocument/2006/relationships/hyperlink" Id="rId88" Target="https://doi.org/10.1371/journal.pclm.0000139" TargetMode="External" /><Relationship Type="http://schemas.openxmlformats.org/officeDocument/2006/relationships/hyperlink" Id="rId109" Target="https://doi.org/10.1371/journal.pone.0143346" TargetMode="External" /><Relationship Type="http://schemas.openxmlformats.org/officeDocument/2006/relationships/hyperlink" Id="rId176" Target="https://doi.org/10.1890/14-0976.1" TargetMode="External" /><Relationship Type="http://schemas.openxmlformats.org/officeDocument/2006/relationships/hyperlink" Id="rId105" Target="https://doi.org/10.2307/1948545" TargetMode="External" /><Relationship Type="http://schemas.openxmlformats.org/officeDocument/2006/relationships/hyperlink" Id="rId119" Target="https://doi.org/10.3389/fevo.2022.813567" TargetMode="External" /><Relationship Type="http://schemas.openxmlformats.org/officeDocument/2006/relationships/hyperlink" Id="rId182" Target="https://doi.org/10.5194/gmd-9-1937-20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2025-11-01T05:46:07Z</dcterms:created>
  <dcterms:modified xsi:type="dcterms:W3CDTF">2025-11-01T05:46:07Z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