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w:t>
      </w:r>
      <m:oMath>
        <m:r>
          <m:rPr>
            <m:sty m:val="p"/>
          </m:rPr>
          <m:t>†</m:t>
        </m:r>
      </m:oMath>
      <w:r>
        <w:t xml:space="preserve">, Zhong-Hua Chen</w:t>
      </w:r>
      <w:r>
        <w:rPr>
          <w:vertAlign w:val="superscript"/>
        </w:rPr>
        <w:t xml:space="preserve">3</w:t>
      </w:r>
      <w:r>
        <w:t xml:space="preserve"> </w:t>
      </w:r>
      <m:oMath>
        <m:r>
          <m:rPr>
            <m:sty m:val="p"/>
          </m:rPr>
          <m:t>†</m:t>
        </m:r>
      </m:oMath>
      <w:r>
        <w:t xml:space="preserve">, Steven Lade</w:t>
      </w:r>
      <w:r>
        <w:rPr>
          <w:vertAlign w:val="superscript"/>
        </w:rPr>
        <w:t xml:space="preserve">5</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Danielle Way</w:t>
      </w:r>
      <w:r>
        <w:rPr>
          <w:vertAlign w:val="superscript"/>
        </w:rPr>
        <w:t xml:space="preserve">4</w:t>
      </w:r>
      <w:r>
        <w:t xml:space="preserve"> </w:t>
      </w:r>
      <m:oMath>
        <m:r>
          <m:rPr>
            <m:sty m:val="p"/>
          </m:rPr>
          <m:t>†</m:t>
        </m:r>
      </m:oMath>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 &amp; m.kearney@unimelb.edu.au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This includes knowledge of habitat-mediated changes in microclimates, biophysical controls on body temperature, temperature sensitivity of organismal physiology, and how the effects of heatwaves vary depending on thermal history. We show how existing models in disparate fields can be linked to achieve a level of understanding necessary for calculated responses to extreme heat from individuals to socioecological systems, now and into the future.</w:t>
      </w:r>
    </w:p>
    <w:bookmarkEnd w:id="20"/>
    <w:bookmarkStart w:id="21" w:name="X34830df71e149b35ac0b6fcbe8f39884d8c43ee"/>
    <w:p>
      <w:pPr>
        <w:pStyle w:val="Heading1"/>
      </w:pPr>
      <w:r>
        <w:t xml:space="preserve">A need for a mechanistically informed modelling framework for interpreting and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more tangible and will provide powerful new ways of predicting how extreme heat shapes community dynamics. Physiological models can now be seamlessly integrated with biophysical models of heat and mass exchange to characterise temperatures experienced by organisms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‘extreme heat’</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‘extreme’</w:t>
      </w:r>
      <w:r>
        <w:t xml:space="preserve"> </w:t>
      </w:r>
      <w:r>
        <w:t xml:space="preserve">will be relative to the biology of the organism in question.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 in response to extreme heat.</w:t>
      </w:r>
    </w:p>
    <w:bookmarkEnd w:id="21"/>
    <w:bookmarkStart w:id="26" w:name="X2b97b971c201f11017c10c1d6e4dbfd69043166"/>
    <w:p>
      <w:pPr>
        <w:pStyle w:val="Heading1"/>
      </w:pPr>
      <w:r>
        <w:t xml:space="preserve">A systems-modelling approach to modelling biotic impacts of heatwaves</w:t>
      </w:r>
    </w:p>
    <w:p>
      <w:pPr>
        <w:pStyle w:val="FirstParagraph"/>
      </w:pPr>
      <w:hyperlink w:anchor="fig-sys">
        <w:r>
          <w:rPr>
            <w:rStyle w:val="Hyperlink"/>
          </w:rPr>
          <w:t xml:space="preserve">Figure 1</w:t>
        </w:r>
      </w:hyperlink>
      <w:r>
        <w:t xml:space="preserve"> </w:t>
      </w:r>
      <w:r>
        <w:t xml:space="preserve">illustrates how a systems-modelling approach to understanding heatwave impacts can be achieved,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characterise the proximal thermal environments – the</w:t>
      </w:r>
      <w:r>
        <w:t xml:space="preserve"> </w:t>
      </w:r>
      <w:r>
        <w:t xml:space="preserve">‘microclimates’</w:t>
      </w:r>
      <w:r>
        <w:t xml:space="preserve"> </w:t>
      </w:r>
      <w:r>
        <w:t xml:space="preserve">– experienced by individuals of different species under a given atmospheric event, which can vary dramatically both vertically and horizontally at a given time. These microclimates must then be translated into physiological and behavioural responses, including the processes of thermal damage and repair, and how individuals mitigate their exposure to extreme heat through habitat selection and other avoidance strategies. Dynamic energy budgets translate these individual responses into growth and reproduction trajectories across life cycles to drive population and community models of the resulting interactions. In the next sections, we outline new developments in how we model all the components in</w:t>
      </w:r>
      <w:r>
        <w:t xml:space="preserve"> </w:t>
      </w:r>
      <w:hyperlink w:anchor="fig-sys">
        <w:r>
          <w:rPr>
            <w:rStyle w:val="Hyperlink"/>
          </w:rPr>
          <w:t xml:space="preserve">Figure 1</w:t>
        </w:r>
      </w:hyperlink>
      <w:r>
        <w:t xml:space="preserve"> </w:t>
      </w:r>
      <w:r>
        <w:t xml:space="preserve">such that a truly systems-based approach to modelling biotic impacts of heatwaves is now possible.</w:t>
      </w:r>
    </w:p>
    <w:tbl>
      <w:tblPr>
        <w:tblStyle w:val="Table"/>
        <w:tblW w:type="pct" w:w="5000"/>
        <w:tblLayout w:type="fixed"/>
        <w:tblLook w:firstRow="0" w:lastRow="0" w:firstColumn="0" w:lastColumn="0" w:noHBand="0" w:noVBand="0" w:val="0000"/>
      </w:tblPr>
      <w:tblGrid>
        <w:gridCol w:w="7920"/>
      </w:tblGrid>
      <w:tr>
        <w:tc>
          <w:tcPr/>
          <w:bookmarkStart w:id="25" w:name="fig-sys"/>
          <w:p>
            <w:pPr>
              <w:pStyle w:val="Compact"/>
              <w:jc w:val="center"/>
            </w:pPr>
            <w:r>
              <w:drawing>
                <wp:inline>
                  <wp:extent cx="6096000" cy="4876800"/>
                  <wp:effectExtent b="0" l="0" r="0" t="0"/>
                  <wp:docPr descr="" title="" id="23" name="Picture"/>
                  <a:graphic>
                    <a:graphicData uri="http://schemas.openxmlformats.org/drawingml/2006/picture">
                      <pic:pic>
                        <pic:nvPicPr>
                          <pic:cNvPr descr="ms_files/figure-docx/fig-sys-1.png" id="24" name="Picture"/>
                          <pic:cNvPicPr>
                            <a:picLocks noChangeArrowheads="1" noChangeAspect="1"/>
                          </pic:cNvPicPr>
                        </pic:nvPicPr>
                        <pic:blipFill>
                          <a:blip r:embed="rId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proposed modelling integration developed in our Opinion integrates climate/biophysical models to predict temperatures species experience in their respective microhabitats. Temperatures experienced by organisms provide inputs for damage-repair and dynamic energy budget models that integrate temperature exposure with explicit physiological models that simulate development, behaviour,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growth rate/ biomass accumulation, survival and reproduction) from physiological models of individual organisms can then be integrated into population and community ecology models to predict population growth and community interactions for a given system change. We show how environment-mediated feedbacks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p>
          <w:bookmarkEnd w:id="25"/>
        </w:tc>
      </w:tr>
    </w:tbl>
    <w:bookmarkEnd w:id="26"/>
    <w:bookmarkStart w:id="27" w:name="Xbb8a3512749f7fb1c67948ca8a2ad003fcd6253"/>
    <w:p>
      <w:pPr>
        <w:pStyle w:val="Heading1"/>
      </w:pPr>
      <w:r>
        <w:t xml:space="preserve">The current climate of extreme weather modelling</w:t>
      </w:r>
    </w:p>
    <w:p>
      <w:pPr>
        <w:pStyle w:val="FirstParagraph"/>
      </w:pPr>
      <w:r>
        <w:t xml:space="preserve">An understanding of heatwave impacts on biology requires environmental inputs about weather conditions. These data may come from weather stations or models. Weather station observations of air temperature, radiation, wind speed, cloud cover and humidity are readily available as raw timeseries from the stations themselves, and as interpolated products such as WorldClim</w:t>
      </w:r>
      <w:r>
        <w:t xml:space="preserve"> </w:t>
      </w:r>
      <w:r>
        <w:t xml:space="preserve">[24]</w:t>
      </w:r>
      <w:r>
        <w:t xml:space="preserve">.</w:t>
      </w:r>
    </w:p>
    <w:p>
      <w:pPr>
        <w:pStyle w:val="BodyText"/>
      </w:pPr>
      <w:r>
        <w:t xml:space="preserve">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w:t>
      </w:r>
      <w:r>
        <w:rPr>
          <w:b/>
          <w:bCs/>
        </w:rPr>
        <w:t xml:space="preserve">Belinda – add something more here?</w:t>
      </w:r>
      <w:r>
        <w:t xml:space="preserve">). Historical analyses are facilitated by GCMs via</w:t>
      </w:r>
      <w:r>
        <w:t xml:space="preserve"> </w:t>
      </w:r>
      <w:r>
        <w:t xml:space="preserve">‘reanalysis’</w:t>
      </w:r>
      <w:r>
        <w:t xml:space="preserve"> </w:t>
      </w:r>
      <w:r>
        <w:t xml:space="preserve">datasets produced by calibrating GCMs with observations to produce continuous gridded weather data, including</w:t>
      </w:r>
      <w:r>
        <w:t xml:space="preserve"> </w:t>
      </w:r>
      <w:r>
        <w:t xml:space="preserve">‘surface’</w:t>
      </w:r>
      <w:r>
        <w:t xml:space="preserve"> </w:t>
      </w:r>
      <w:r>
        <w:t xml:space="preserve">temperatures, soil temperatures and profiles of temperature, pressure, wind speed and humidity at different levels in the atmosphere</w:t>
      </w:r>
      <w:r>
        <w:t xml:space="preserve"> </w:t>
      </w:r>
      <w:r>
        <w:t xml:space="preserve">[25–29]</w:t>
      </w:r>
      <w:r>
        <w:t xml:space="preserve">. The most state-of-the-art of these are ERA5 and ERA5-Land, hourly products at ~31km and ~9km resolutions, respectively.</w:t>
      </w:r>
    </w:p>
    <w:p>
      <w:pPr>
        <w:pStyle w:val="BodyText"/>
      </w:pPr>
      <w:r>
        <w:t xml:space="preserve">Historically, GCMs were – coded in fast but inflexible languages like Fortran and C. The emergence of the Julia language</w:t>
      </w:r>
      <w:r>
        <w:t xml:space="preserve"> </w:t>
      </w:r>
      <w:r>
        <w:t xml:space="preserve">[30]</w:t>
      </w:r>
      <w:r>
        <w:t xml:space="preserve"> </w:t>
      </w:r>
      <w:r>
        <w:t xml:space="preserve">for scientific computing has created an opportunity to rebuild climate models in a more modular manner, allowing easier interfacing between discipline-specific models and easier integration of the massive emerging power of AI for data assimilation and machine learning</w:t>
      </w:r>
      <w:r>
        <w:t xml:space="preserve"> </w:t>
      </w:r>
      <w:r>
        <w:t xml:space="preserve">[31]</w:t>
      </w:r>
      <w:r>
        <w:t xml:space="preserve">. The translation of GCMs and associated land-surface models into more accessible and modular languages opens up new opportunities for collaboration between biologists and earth scientists to better integrate the processes in the atmosphere and the biosphere to generate better predictions of weather events and their biological impacts.</w:t>
      </w:r>
    </w:p>
    <w:bookmarkEnd w:id="27"/>
    <w:bookmarkStart w:id="29" w:name="X4da05dea4acdb2054c1e59c2f12913febac8a0c"/>
    <w:p>
      <w:pPr>
        <w:pStyle w:val="Heading1"/>
      </w:pPr>
      <w:r>
        <w:t xml:space="preserve">From weather to microclimates: predicting community wide exposure to extreme heat</w:t>
      </w:r>
    </w:p>
    <w:p>
      <w:pPr>
        <w:pStyle w:val="FirstParagraph"/>
      </w:pPr>
      <w:r>
        <w:t xml:space="preserve">Ultimately, we need to know how an extreme weather event is experienced by different species in a community. This can vary widely; when the air temperature at a weather station is 50°C, an organism a metre below the surface may be 25°C cooler, where soil temperatures are tracking the mean monthly air temperature (</w:t>
      </w:r>
      <w:hyperlink w:anchor="fig-sys">
        <w:r>
          <w:rPr>
            <w:rStyle w:val="Hyperlink"/>
          </w:rPr>
          <w:t xml:space="preserve">Figure 1</w:t>
        </w:r>
      </w:hyperlink>
      <w:r>
        <w:t xml:space="preserve">). Exactly how much the soil lags and damps the atmospheric dynamics depends intimately on the soil properties, especially its moisture level. Conditions above ground depend on the nature of the vegetation, especially through shading, changes in wind profiles and evaporative cooling. Vegetation and soil also interact strongly; past soil moisture regimes and heat wave events may have led to leaf loss and hence increased radiation exposure of the soil surface, while stomatal behaviour alters transpiration and hence soil moisture conditions. Thus, there are strong</w:t>
      </w:r>
      <w:r>
        <w:t xml:space="preserve"> </w:t>
      </w:r>
      <w:r>
        <w:t xml:space="preserve">‘memory’</w:t>
      </w:r>
      <w:r>
        <w:t xml:space="preserve"> </w:t>
      </w:r>
      <w:r>
        <w:t xml:space="preserve">effects of past weather conditions that determine how a given heat wave manifests through a habitat, so the same atmospheric heat wave conditions can have different implications for microclimate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pPr>
        <w:pStyle w:val="BodyText"/>
      </w:pPr>
      <w:r>
        <w:t xml:space="preserve">To some extent, the GCMs described in the previous section have these dynamics built into them via modules called</w:t>
      </w:r>
      <w:r>
        <w:t xml:space="preserve"> </w:t>
      </w:r>
      <w:r>
        <w:t xml:space="preserve">‘land-surface models’</w:t>
      </w:r>
      <w:r>
        <w:t xml:space="preserve"> </w:t>
      </w:r>
      <w:r>
        <w:t xml:space="preserve">(LSMs), which aim to capture feedbacks between the land surface and associated vegetation. These LSMs will at minimum represent air, soil and canopy temperatures. LSMs that represent the plant canopy with multiple layers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w:t>
      </w:r>
      <w:r>
        <w:t xml:space="preserve"> </w:t>
      </w:r>
      <w:r>
        <w:t xml:space="preserve">[e.g. 32]</w:t>
      </w:r>
      <w:r>
        <w:t xml:space="preserve">.</w:t>
      </w:r>
    </w:p>
    <w:p>
      <w:pPr>
        <w:pStyle w:val="BodyText"/>
      </w:pPr>
      <w:r>
        <w:t xml:space="preserve">The primary role of LSMs is to better understand the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soil properties (thermal and hydraulic properties)] to predict how radiation, wind speed, air temperature, humidity, soil temperature and soil moisture vary on centimeter scales. The available models vary in the processes they incorporate and the extent that they use physical first principles</w:t>
      </w:r>
      <w:r>
        <w:t xml:space="preserve"> </w:t>
      </w:r>
      <w:r>
        <w:t xml:space="preserve">[33–39]</w:t>
      </w:r>
      <w:r>
        <w:t xml:space="preserve">. Our</w:t>
      </w:r>
      <w:r>
        <w:t xml:space="preserve"> </w:t>
      </w:r>
      <w:hyperlink r:id="rId28">
        <w:r>
          <w:rPr>
            <w:rStyle w:val="Hyperlink"/>
            <w:i/>
            <w:iCs/>
          </w:rPr>
          <w:t xml:space="preserve">Supplementary Online Material</w:t>
        </w:r>
      </w:hyperlink>
      <w:r>
        <w:t xml:space="preserve"> </w:t>
      </w:r>
      <w:r>
        <w:t xml:space="preserve">provides a tutorial on how to use the</w:t>
      </w:r>
      <w:r>
        <w:t xml:space="preserve"> </w:t>
      </w:r>
      <w:r>
        <w:rPr>
          <w:i/>
          <w:iCs/>
        </w:rPr>
        <w:t xml:space="preserve">NicheMapR</w:t>
      </w:r>
      <w:r>
        <w:t xml:space="preserve"> </w:t>
      </w:r>
      <w:r>
        <w:t xml:space="preserve">model</w:t>
      </w:r>
      <w:r>
        <w:t xml:space="preserve"> </w:t>
      </w:r>
      <w:r>
        <w:t xml:space="preserve">[33,35]</w:t>
      </w:r>
      <w:r>
        <w:t xml:space="preserve"> </w:t>
      </w:r>
      <w:r>
        <w:t xml:space="preserve">to predict microclimates from climate data.</w:t>
      </w:r>
    </w:p>
    <w:p>
      <w:pPr>
        <w:pStyle w:val="BodyText"/>
      </w:pPr>
      <w:r>
        <w:t xml:space="preserve">Opportunities lie in more closely coupling the dynamics of the atmosphere and vegetation with microclimate models. In particular, responses of plant water use to heatwaves can amplify or reduce high temperatures via effects on photosynthetic capacity, stomatal decoupling, cuticular conductance, leaf damage and plant mortality. These impacts obviously are important for the plants themselves, but also for thermal regime within the plant canopy. Many LSMs use an LAI climatology, but it is very likely that LAI will change with climate change in the short term (and with vegetation composition in the longer term), with consequences for thermal regime. Thus, forecasting future thermal regimes also involves forecasting future vegetation dynamics, with interesting challenges that include interactions between high</w:t>
      </w:r>
      <w:r>
        <w:t xml:space="preserve"> </w:t>
      </w:r>
      <m:oMath>
        <m:r>
          <m:t>C</m:t>
        </m:r>
        <m:sSub>
          <m:e>
            <m:r>
              <m:t>O</m:t>
            </m:r>
          </m:e>
          <m:sub>
            <m:r>
              <m:t>2</m:t>
            </m:r>
          </m:sub>
        </m:sSub>
      </m:oMath>
      <w:r>
        <w:t xml:space="preserve">, LAI and canopy shading</w:t>
      </w:r>
      <w:r>
        <w:t xml:space="preserve"> </w:t>
      </w:r>
      <w:r>
        <w:t xml:space="preserve">[40]</w:t>
      </w:r>
      <w:r>
        <w:t xml:space="preserve">.</w:t>
      </w:r>
    </w:p>
    <w:bookmarkEnd w:id="29"/>
    <w:bookmarkStart w:id="30" w:name="X5a6e6d313f4187bfc77082e5e5979262b26b081"/>
    <w:p>
      <w:pPr>
        <w:pStyle w:val="Heading1"/>
      </w:pPr>
      <w:r>
        <w:t xml:space="preserve">Translating exposure to organism temperature: biophysics to the rescue!</w:t>
      </w:r>
    </w:p>
    <w:p>
      <w:pPr>
        <w:pStyle w:val="FirstParagraph"/>
      </w:pPr>
      <w:r>
        <w:t xml:space="preserve">Once microclimates are quantified, it is now straight-forward to compute heat-budgets of organisms as a function of their traits using the principles of biophysical ecology and thereby compute their temperature. Biophysical models have a long history</w:t>
      </w:r>
      <w:r>
        <w:t xml:space="preserve"> </w:t>
      </w:r>
      <w:r>
        <w:t xml:space="preserve">[e.g. 41,42]</w:t>
      </w:r>
      <w:r>
        <w:t xml:space="preserve">, but have become more widely applied in the past 20 years, facilitated by developments in environmental datasets, microclimate modelling, and the emergence of high-level programming languages such as R</w:t>
      </w:r>
      <w:r>
        <w:t xml:space="preserve"> </w:t>
      </w:r>
      <w:r>
        <w:t xml:space="preserve">[20]</w:t>
      </w:r>
      <w:r>
        <w:t xml:space="preserve">. Biophysical models of ectothermic animals can account for complex radiation settings and the role of evaporative water loss from the skin, breath and eyes</w:t>
      </w:r>
      <w:r>
        <w:t xml:space="preserve"> </w:t>
      </w:r>
      <w:r>
        <w:t xml:space="preserve">[33,43]</w:t>
      </w:r>
      <w:r>
        <w:t xml:space="preserve">. Equivalent models of leaves incorporate the dynamic role of stomata</w:t>
      </w:r>
      <w:r>
        <w:t xml:space="preserve"> </w:t>
      </w:r>
      <w:r>
        <w:t xml:space="preserve">[19,e.g., 44]</w:t>
      </w:r>
      <w:r>
        <w:t xml:space="preserve">, while models of endotherms can account for the role of insulation and metabolic heat production</w:t>
      </w:r>
      <w:r>
        <w:t xml:space="preserve"> </w:t>
      </w:r>
      <w:r>
        <w:t xml:space="preserve">[45]</w:t>
      </w:r>
      <w:r>
        <w:t xml:space="preserve">. Future development in biophysical modelling of organismal temperature under extreme heat involves understanding the nuances of physiological and behavioural responses. For example, lizards may pant when exposed to high temperatures</w:t>
      </w:r>
      <w:r>
        <w:t xml:space="preserve"> </w:t>
      </w:r>
      <w:r>
        <w:t xml:space="preserve">[46]</w:t>
      </w:r>
      <w:r>
        <w:t xml:space="preserve">, birds may</w:t>
      </w:r>
      <w:r>
        <w:t xml:space="preserve"> </w:t>
      </w:r>
      <w:r>
        <w:t xml:space="preserve">‘wind surf’</w:t>
      </w:r>
      <w:r>
        <w:t xml:space="preserve"> </w:t>
      </w:r>
      <w:r>
        <w:t xml:space="preserve">or seek unusual retreats</w:t>
      </w:r>
      <w:r>
        <w:t xml:space="preserve"> </w:t>
      </w:r>
      <w:r>
        <w:t xml:space="preserve">[47]</w:t>
      </w:r>
      <w:r>
        <w:t xml:space="preserve">, and stomatal behaviour may depart from the typical responses to vapour pressure and light intensity to allow emergency cooling</w:t>
      </w:r>
      <w:r>
        <w:t xml:space="preserve"> </w:t>
      </w:r>
      <w:r>
        <w:t xml:space="preserve">[48]</w:t>
      </w:r>
      <w:r>
        <w:t xml:space="preserve">, though this response may depend on prior soil moisture conditions</w:t>
      </w:r>
      <w:r>
        <w:t xml:space="preserve"> </w:t>
      </w:r>
      <w:r>
        <w:t xml:space="preserve">[49]</w:t>
      </w:r>
      <w:r>
        <w:t xml:space="preserve">.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bookmarkEnd w:id="30"/>
    <w:bookmarkStart w:id="32" w:name="Xd22b977f88f0add426f49399196084251b1e16e"/>
    <w:p>
      <w:pPr>
        <w:pStyle w:val="Heading1"/>
      </w:pPr>
      <w:r>
        <w:t xml:space="preserve">Capturing the balance between physiological damage and repair to predict multi-species thermal sensitivity (Dan,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[21,50]</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w:t>
      </w:r>
      <w:r>
        <w:t xml:space="preserve"> </w:t>
      </w:r>
      <w:r>
        <w:t xml:space="preserve">[e.g. Table 1 in 51]</w:t>
      </w:r>
      <w:r>
        <w:t xml:space="preserve">. Endpoints are predicted by assuming the effect of time at a given temperature decreases survival or fertility exponentially</w:t>
      </w:r>
      <w:r>
        <w:t xml:space="preserve"> </w:t>
      </w:r>
      <w:r>
        <w:t xml:space="preserve">[11,12,21,50]</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 51,52]</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critically important for understanding how heat waves affect organisms because such a mechanism can result in lagged responses to heat stress – a common feature of extreme heat events</w:t>
      </w:r>
      <w:r>
        <w:t xml:space="preserve"> </w:t>
      </w:r>
      <w:r>
        <w:t xml:space="preserve">[53]</w:t>
      </w:r>
      <w:r>
        <w:t xml:space="preserve">. Once a thermal tolerance landscape for a particular endpoint has been quantified, the thermal sensitivity (i.e., the slope</w:t>
      </w:r>
      <w:r>
        <w:t xml:space="preserve"> </w:t>
      </w:r>
      <m:oMath>
        <m:r>
          <m:t>z</m:t>
        </m:r>
      </m:oMath>
      <w:r>
        <w:t xml:space="preserve">, Figure 1) can be used to predict the accumulation of damage during stressful temperatures experienced in nature</w:t>
      </w:r>
      <w:r>
        <w:t xml:space="preserve"> </w:t>
      </w:r>
      <w:r>
        <w:t xml:space="preserve">[11,12,50]</w:t>
      </w:r>
      <w:r>
        <w:t xml:space="preserve">. Several approaches can be used to capture the accumulation of damage</w:t>
      </w:r>
      <w:r>
        <w:t xml:space="preserve"> </w:t>
      </w:r>
      <w:r>
        <w:t xml:space="preserve">[11,12,50]</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31"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31"/>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 While the process of repair can be decoupled from damage and integrated within these models thermal sensitivity already captures aspects of the repair process.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bookmarkEnd w:id="32"/>
    <w:bookmarkStart w:id="33" w:name="X26e2617c7557035eb826bdba0aa1bfc30f8def3"/>
    <w:p>
      <w:pPr>
        <w:pStyle w:val="Heading1"/>
      </w:pPr>
      <w:r>
        <w:t xml:space="preserve">Sensitivity to extreme heat is mediated by environmental feedbacks</w:t>
      </w:r>
    </w:p>
    <w:bookmarkEnd w:id="33"/>
    <w:bookmarkStart w:id="34" w:name="X709d9ec1b3c8fb9d05ea9ded451dca156568e07"/>
    <w:p>
      <w:pPr>
        <w:pStyle w:val="Heading1"/>
      </w:pPr>
      <w:r>
        <w:t xml:space="preserve">Community interactions that can shape thermal sensitivity in plants and animals</w:t>
      </w:r>
    </w:p>
    <w:p>
      <w:pPr>
        <w:pStyle w:val="FirstParagraph"/>
      </w:pPr>
      <w:r>
        <w:t xml:space="preserve">When modelling the heat sensitivity of plants and animals it can be important to consider interactions with microbial communities and how these communities might also change in response to extreme heat. For example, 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[54]</w:t>
      </w:r>
      <w:r>
        <w:t xml:space="preserve">, which is thought to be associated with transcriptional buffering of hosts by the natural microbiome</w:t>
      </w:r>
      <w:r>
        <w:t xml:space="preserve"> </w:t>
      </w:r>
      <w:r>
        <w:t xml:space="preserve">[55]</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[56]</w:t>
      </w:r>
      <w:r>
        <w:t xml:space="preserve">. Moreover, this protective effect can influence the ability of the host to evolve further resistance to the heat shock and harboured more bacteria</w:t>
      </w:r>
      <w:r>
        <w:t xml:space="preserve"> </w:t>
      </w:r>
      <w:r>
        <w:t xml:space="preserve">[57]</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[58]</w:t>
      </w:r>
      <w:r>
        <w:t xml:space="preserve">, On the other hand, many endosymbionts including those providing host benefits appear particularly sensitive to heat</w:t>
      </w:r>
      <w:r>
        <w:t xml:space="preserve"> </w:t>
      </w:r>
      <w:r>
        <w:t xml:space="preserve">[59]</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[60]</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[61]</w:t>
      </w:r>
      <w:r>
        <w:t xml:space="preserve">.</w:t>
      </w:r>
    </w:p>
    <w:p>
      <w:pPr>
        <w:pStyle w:val="BodyText"/>
      </w:pPr>
      <w:r>
        <w:t xml:space="preserve">Interactions between plants and microorganisms, such as plant growth-promoting rhizobacteria (PGPR), arbuscular mycorrhizal fungi (AMF), and bacterial or fungal endophytes have also been shown to impact growth, defense, and heat tolerance in plants</w:t>
      </w:r>
      <w:r>
        <w:t xml:space="preserve"> </w:t>
      </w:r>
      <w:r>
        <w:t xml:space="preserve">[62–64]</w:t>
      </w:r>
      <w:r>
        <w:t xml:space="preserve">. These interactions are usually achieved by stimulating the production of essential phytohormones, secondary metabolites, organic acids, and amino acids that helps the plant to mitigate heat stress</w:t>
      </w:r>
      <w:r>
        <w:t xml:space="preserve"> </w:t>
      </w:r>
      <w:r>
        <w:t xml:space="preserve">[65,66]</w:t>
      </w:r>
      <w:r>
        <w:t xml:space="preserve">. Under the current global climate change scenarios, each degree Celsius increase in global mean temperature is estimated to reduce the global yield of wheat by 6.0% and soybean (Glycine max) by 3.1%</w:t>
      </w:r>
      <w:r>
        <w:t xml:space="preserve"> </w:t>
      </w:r>
      <w:r>
        <w:t xml:space="preserve">[67]</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[68,69]</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[70,71]</w:t>
      </w:r>
      <w:r>
        <w:t xml:space="preserve"> </w:t>
      </w:r>
      <w:r>
        <w:t xml:space="preserve">and microorganism</w:t>
      </w:r>
      <w:r>
        <w:t xml:space="preserve"> </w:t>
      </w:r>
      <w:r>
        <w:t xml:space="preserve">[72]</w:t>
      </w:r>
      <w:r>
        <w:t xml:space="preserve">. However, comprehensive models with high prediction powers for plant microbe interactions are still lacking, which hampers our understanding of the heat tolerance in plants and microorganisms.</w:t>
      </w:r>
    </w:p>
    <w:bookmarkEnd w:id="34"/>
    <w:bookmarkStart w:id="35"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explicit life-cycle models of energy and mass uptake and conversion that predict key life-history transitions, growth, reproduction and survival through time for diverse species</w:t>
      </w:r>
      <w:r>
        <w:t xml:space="preserve"> </w:t>
      </w:r>
      <w:r>
        <w:t xml:space="preserve">[16,73]</w:t>
      </w:r>
      <w:r>
        <w:t xml:space="preserve">. DEB models consider organisms as a thermodynamic system (adhering to energy-mass balance) capturing the exchange of food, water, respiratory gases and metabolic waste from egg to adult</w:t>
      </w:r>
      <w:r>
        <w:t xml:space="preserve"> </w:t>
      </w:r>
      <w:r>
        <w:t xml:space="preserve">[20]</w:t>
      </w:r>
      <w:r>
        <w:t xml:space="preserve">. DEB models can translate short-term (hourly) variation in factors, such as temperature, toxins (e.g., toxicants,</w:t>
      </w:r>
      <w:r>
        <w:t xml:space="preserve"> </w:t>
      </w:r>
      <w:r>
        <w:t xml:space="preserve">[75]</w:t>
      </w:r>
      <w:r>
        <w:t xml:space="preserve">) and resource availability (nutrients)</w:t>
      </w:r>
      <w:r>
        <w:t xml:space="preserve"> </w:t>
      </w:r>
      <w:r>
        <w:t xml:space="preserve">[76,77]</w:t>
      </w:r>
      <w:r>
        <w:t xml:space="preserve"> </w:t>
      </w:r>
      <w:r>
        <w:t xml:space="preserve">into long-term (days, months, years) effects on development, growth, reproduction and survival</w:t>
      </w:r>
      <w:r>
        <w:t xml:space="preserve"> </w:t>
      </w:r>
      <w:r>
        <w:t xml:space="preserve">[17,20]</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[78,79]</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[80]</w:t>
      </w:r>
      <w:r>
        <w:t xml:space="preserve">). In addition, software packages such as</w:t>
      </w:r>
      <w:r>
        <w:t xml:space="preserve"> </w:t>
      </w:r>
      <w:r>
        <w:rPr>
          <w:i/>
          <w:iCs/>
        </w:rPr>
        <w:t xml:space="preserve">NicheMapR</w:t>
      </w:r>
      <w:r>
        <w:t xml:space="preserve"> </w:t>
      </w:r>
      <w:r>
        <w:t xml:space="preserve">[33,81]</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35"/>
    <w:bookmarkStart w:id="36" w:name="Xbdb3df2871e98d114a1e4e74a52caa28253dc0c"/>
    <w:p>
      <w:pPr>
        <w:pStyle w:val="Heading1"/>
      </w:pPr>
      <w:r>
        <w:t xml:space="preserve">Mechanistic approaches that</w:t>
      </w:r>
      <w:r>
        <w:t xml:space="preserve"> </w:t>
      </w:r>
      <w:r>
        <w:t xml:space="preserve">‘speak’</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[82]</w:t>
      </w:r>
      <w:r>
        <w:t xml:space="preserve"> </w:t>
      </w:r>
      <w:r>
        <w:t xml:space="preserve">and Beverton-Holt</w:t>
      </w:r>
      <w:r>
        <w:t xml:space="preserve"> </w:t>
      </w:r>
      <w:r>
        <w:t xml:space="preserve">[83]</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[84]</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[85]</w:t>
      </w:r>
      <w:r>
        <w:t xml:space="preserve">.</w:t>
      </w:r>
    </w:p>
    <w:bookmarkEnd w:id="36"/>
    <w:bookmarkStart w:id="38" w:name="X5f60cb5872271d873b61a7524ce9c4bd1e0d2b7"/>
    <w:p>
      <w:pPr>
        <w:pStyle w:val="Heading1"/>
      </w:pPr>
      <w:r>
        <w:t xml:space="preserve">Integrating eco-evolutionary feedbacks within a systems-modelling framework</w:t>
      </w:r>
    </w:p>
    <w:p>
      <w:pPr>
        <w:pStyle w:val="FirstParagraph"/>
      </w:pPr>
      <w:r>
        <w:t xml:space="preserve">Extreme environments both impact trait development and act as a potent selective force allowing populations to evolve</w:t>
      </w:r>
      <w:r>
        <w:t xml:space="preserve"> </w:t>
      </w:r>
      <w:r>
        <w:t xml:space="preserve">[86–88]</w:t>
      </w:r>
      <w:r>
        <w:t xml:space="preserve">. Phenotypic plasticity and adaptive evolutionary change are two processes that are expected to allow systems to respond and build resilience to extreme heat.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w:t>
      </w:r>
      <w:r>
        <w:t xml:space="preserve"> </w:t>
      </w:r>
      <w:r>
        <w:t xml:space="preserve">[86]</w:t>
      </w:r>
      <w:r>
        <w:t xml:space="preserve">.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w:t>
      </w:r>
      <w:r>
        <w:t xml:space="preserve"> </w:t>
      </w:r>
      <w:r>
        <w:t xml:space="preserve">[87,89–92]</w:t>
      </w:r>
      <w:r>
        <w:t xml:space="preserve">.</w:t>
      </w:r>
    </w:p>
    <w:p>
      <w:pPr>
        <w:pStyle w:val="BodyText"/>
      </w:pPr>
      <w:r>
        <w:t xml:space="preserve">Plasticity and evolution can be incorporated into a systems modelling framework by allowing environments to govern</w:t>
      </w:r>
      <w:r>
        <w:t xml:space="preserve"> </w:t>
      </w:r>
      <w:r>
        <w:t xml:space="preserve">‘trait’</w:t>
      </w:r>
      <w:r>
        <w:t xml:space="preserve"> </w:t>
      </w:r>
      <w:r>
        <w:t xml:space="preserve">development (plasticity) and by incorporating selection and genetic (co)variance estimates for</w:t>
      </w:r>
      <w:r>
        <w:t xml:space="preserve"> </w:t>
      </w:r>
      <w:r>
        <w:t xml:space="preserve">‘traits’</w:t>
      </w:r>
      <w:r>
        <w:t xml:space="preserve"> </w:t>
      </w:r>
      <w:r>
        <w:t xml:space="preserve">within these models (evolution). We speak of</w:t>
      </w:r>
      <w:r>
        <w:t xml:space="preserve"> </w:t>
      </w:r>
      <w:r>
        <w:t xml:space="preserve">‘traits’</w:t>
      </w:r>
      <w:r>
        <w:t xml:space="preserve"> </w:t>
      </w:r>
      <w:r>
        <w:t xml:space="preserve">broadly here because these need not be traits typically thought of by evolutionary ecologists (e.g., body mass, morphology). Rather,</w:t>
      </w:r>
      <w:r>
        <w:t xml:space="preserve"> </w:t>
      </w:r>
      <w:r>
        <w:t xml:space="preserve">‘traits’</w:t>
      </w:r>
      <w:r>
        <w:t xml:space="preserve"> </w:t>
      </w:r>
      <w:r>
        <w:t xml:space="preserve">can also include the parameters within models that allow functional traits to emerge</w:t>
      </w:r>
      <w:r>
        <w:t xml:space="preserve"> </w:t>
      </w:r>
      <w:r>
        <w:t xml:space="preserve">[93]</w:t>
      </w:r>
      <w:r>
        <w:t xml:space="preserve"> </w:t>
      </w:r>
      <w:r>
        <w:t xml:space="preserve">or even function-valued traits</w:t>
      </w:r>
      <w:r>
        <w:t xml:space="preserve"> </w:t>
      </w:r>
      <w:r>
        <w:t xml:space="preserve">[94]</w:t>
      </w:r>
      <w:r>
        <w:t xml:space="preserve">. Plasticity can be captured by mapping trait development to the environment. In contrast, evolutionary change takes place in multivariate trait space where genetic variance and covariance between traits (i.e., constraints) along with varying patterns of selection can be used to predcit trait change across generations. One way to make such predictions is by using the multivariate breeders equation</w:t>
      </w:r>
      <w:r>
        <w:t xml:space="preserve"> </w:t>
      </w:r>
      <w:r>
        <w:t xml:space="preserve">[95]</w:t>
      </w:r>
      <w:r>
        <w:t xml:space="preserve">:</w:t>
      </w:r>
    </w:p>
    <w:p>
      <w:pPr>
        <w:pStyle w:val="BodyText"/>
      </w:pPr>
      <w:bookmarkStart w:id="37"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sepChr m:val=""/>
              <m:endChr m:val=")"/>
              <m:grow/>
            </m:dPr>
            <m:e>
              <m:r>
                <m:t>2</m:t>
              </m:r>
            </m:e>
          </m:d>
        </m:oMath>
      </m:oMathPara>
      <w:bookmarkEnd w:id="37"/>
    </w:p>
    <w:p>
      <w:pPr>
        <w:pStyle w:val="FirstParagraph"/>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[96]</w:t>
      </w:r>
      <w:r>
        <w:t xml:space="preserve">). While the multivariate breeders equation can be useful for predicting short term evolutionary responses (i.e., one or a few generations) it is likely limited in predictive power over longer timespans because of changes in heritability and selection through time</w:t>
      </w:r>
      <w:r>
        <w:t xml:space="preserve"> </w:t>
      </w:r>
      <w:r>
        <w:t xml:space="preserve">[88,96]</w:t>
      </w:r>
      <w:r>
        <w:t xml:space="preserve">.</w:t>
      </w:r>
    </w:p>
    <w:p>
      <w:pPr>
        <w:pStyle w:val="BodyText"/>
      </w:pPr>
      <w:r>
        <w:t xml:space="preserve">Measuring and incorporating both plasticity and evolution into our proposed systems modelling framework is still rare and usually focused on one or a few</w:t>
      </w:r>
      <w:r>
        <w:t xml:space="preserve"> </w:t>
      </w:r>
      <w:r>
        <w:t xml:space="preserve">‘traits’</w:t>
      </w:r>
      <w:r>
        <w:t xml:space="preserve">. Studies that have attempted to measure plasticity and evolutionary potential in traits demonstrate how such processes can shape outcomes in important ways</w:t>
      </w:r>
      <w:r>
        <w:t xml:space="preserve"> </w:t>
      </w:r>
      <w:r>
        <w:t xml:space="preserve">[97–102]</w:t>
      </w:r>
      <w:r>
        <w:t xml:space="preserve">. For example, using isogenic lines of</w:t>
      </w:r>
      <w:r>
        <w:t xml:space="preserve"> </w:t>
      </w:r>
      <w:r>
        <w:rPr>
          <w:i/>
          <w:iCs/>
        </w:rPr>
        <w:t xml:space="preserve">Drosophia melanogaster</w:t>
      </w:r>
      <w:r>
        <w:t xml:space="preserve">,</w:t>
      </w:r>
      <w:r>
        <w:t xml:space="preserve"> </w:t>
      </w:r>
      <w:r>
        <w:t xml:space="preserve">[102]</w:t>
      </w:r>
      <w:r>
        <w:t xml:space="preserve"> </w:t>
      </w:r>
      <w:r>
        <w:t xml:space="preserve">show evidence for genetic variation in both upper thermal limits (</w:t>
      </w:r>
      <m:oMath>
        <m:r>
          <m:t>C</m:t>
        </m:r>
        <m:sSub>
          <m:e>
            <m:r>
              <m:t>T</m:t>
            </m:r>
          </m:e>
          <m:sub>
            <m:r>
              <m:t>m</m:t>
            </m:r>
            <m:r>
              <m:t>a</m:t>
            </m:r>
            <m:r>
              <m:t>x</m:t>
            </m:r>
          </m:sub>
        </m:sSub>
      </m:oMath>
      <w:r>
        <w:t xml:space="preserve">) and thermal sensitivity (i.e,</w:t>
      </w:r>
      <w:r>
        <w:t xml:space="preserve"> </w:t>
      </w:r>
      <m:oMath>
        <m:r>
          <m:t>z</m:t>
        </m:r>
      </m:oMath>
      <w:r>
        <w:t xml:space="preserve">, slope from TDT curves) using a TDT framework. Simulations also show that selection on one parameter will also induce changes in the other. Additionally, thermal sensitivity in</w:t>
      </w:r>
      <w:r>
        <w:t xml:space="preserve"> </w:t>
      </w:r>
      <w:r>
        <w:rPr>
          <w:i/>
          <w:iCs/>
        </w:rPr>
        <w:t xml:space="preserve">Drosophia</w:t>
      </w:r>
      <w:r>
        <w:t xml:space="preserve"> </w:t>
      </w:r>
      <w:r>
        <w:t xml:space="preserve">species is also known to respond plastically to temperature</w:t>
      </w:r>
      <w:r>
        <w:t xml:space="preserve"> </w:t>
      </w:r>
      <w:r>
        <w:t xml:space="preserve">[98]</w:t>
      </w:r>
      <w:r>
        <w:t xml:space="preserve">, and in locusts drought can also affect heat tolerance</w:t>
      </w:r>
      <w:r>
        <w:t xml:space="preserve"> </w:t>
      </w:r>
      <w:r>
        <w:t xml:space="preserve">[97]</w:t>
      </w:r>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1: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[103]</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[104]</w:t>
            </w:r>
            <w:r>
              <w:t xml:space="preserve">. Thermal stressors may even influence producers’ psychological beliefs about their level of control over land management, and perceived resources available for management practices</w:t>
            </w:r>
            <w:r>
              <w:t xml:space="preserve"> </w:t>
            </w:r>
            <w:r>
              <w:t xml:space="preserve">[105]</w:t>
            </w:r>
            <w:r>
              <w:t xml:space="preserve">. Thermal risks to ecosystems may also precipitate declines in individual wellbeing, and these consequences may accrue differently across regions and across peoples</w:t>
            </w:r>
            <w:r>
              <w:t xml:space="preserve"> </w:t>
            </w:r>
            <w:r>
              <w:t xml:space="preserve">[106]</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[107,108]</w:t>
            </w:r>
            <w:r>
              <w:t xml:space="preserve">. On the other hand, adapting thermal risks in upper stream producers may also be influenced by the perception and behaviour of downstream consumers</w:t>
            </w:r>
            <w:r>
              <w:t xml:space="preserve"> </w:t>
            </w:r>
            <w:r>
              <w:t xml:space="preserve">[109]</w:t>
            </w:r>
            <w:r>
              <w:t xml:space="preserve">. The cascading</w:t>
            </w:r>
            <w:r>
              <w:t xml:space="preserve"> </w:t>
            </w:r>
            <w:r>
              <w:t xml:space="preserve">[110]</w:t>
            </w:r>
            <w:r>
              <w:t xml:space="preserve"> </w:t>
            </w:r>
            <w:r>
              <w:t xml:space="preserve">and telecoupled</w:t>
            </w:r>
            <w:r>
              <w:t xml:space="preserve"> </w:t>
            </w:r>
            <w:r>
              <w:t xml:space="preserve">[111]</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[112]</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[113]</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[114]</w:t>
            </w:r>
            <w:r>
              <w:t xml:space="preserve">. Social-ecological models aim to capture the social systems, natural systems and their interactions</w:t>
            </w:r>
            <w:r>
              <w:t xml:space="preserve"> </w:t>
            </w:r>
            <w:r>
              <w:t xml:space="preserve">[115]</w:t>
            </w:r>
            <w:r>
              <w:t xml:space="preserve">. Such models can display non-trivial emergent behaviour resulting from complex interactions within the social-ecological systems. For example, responding to decreased productivity from thermal stress by farming more intensively could lead to a maladaptation or</w:t>
            </w:r>
            <w:r>
              <w:t xml:space="preserve"> </w:t>
            </w:r>
            <w:r>
              <w:t xml:space="preserve">‘lock-in’</w:t>
            </w:r>
            <w:r>
              <w:t xml:space="preserve"> </w:t>
            </w:r>
            <w:r>
              <w:t xml:space="preserve">from which it is difficult to escape</w:t>
            </w:r>
            <w:r>
              <w:t xml:space="preserve"> </w:t>
            </w:r>
            <w:r>
              <w:t xml:space="preserve">[116]</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[117]</w:t>
            </w:r>
            <w:r>
              <w:t xml:space="preserve">. Process-based approaches are critical to understanding how emergent social-ecological phenomena develop</w:t>
            </w:r>
            <w:r>
              <w:t xml:space="preserve"> </w:t>
            </w:r>
            <w:r>
              <w:t xml:space="preserve">[118]</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behavioural theory and empirical data; and interactions between them in the system of interest. Since obtaining all these data can be challenging, social-ecological modelling is often performed in an exploratory mode</w:t>
            </w:r>
            <w:r>
              <w:t xml:space="preserve"> </w:t>
            </w:r>
            <w:r>
              <w:t xml:space="preserve">[119]</w:t>
            </w:r>
            <w:r>
              <w:t xml:space="preserve"> </w:t>
            </w:r>
            <w:r>
              <w:t xml:space="preserve">to anticipate possible future modes of behaviour, such as the direction of change of human behaviour and environmental state or the risk of emergent phenomena such as tipping points, rather than trying to predict specific outcomes.</w:t>
            </w:r>
          </w:p>
        </w:tc>
      </w:tr>
    </w:tbl>
    <w:bookmarkEnd w:id="38"/>
    <w:bookmarkStart w:id="39" w:name="X42ca7aa69937316dee7b1e100d4320aa777518f"/>
    <w:p>
      <w:pPr>
        <w:pStyle w:val="Heading1"/>
      </w:pPr>
      <w:r>
        <w:t xml:space="preserve">‘Hot’</w:t>
      </w:r>
      <w:r>
        <w:t xml:space="preserve"> </w:t>
      </w:r>
      <w:r>
        <w:t xml:space="preserve">solutions for a changing world (Alison, Owen and Belinda, Mike)</w:t>
      </w:r>
    </w:p>
    <w:p>
      <w:pPr>
        <w:pStyle w:val="Compact"/>
        <w:numPr>
          <w:ilvl w:val="0"/>
          <w:numId w:val="1001"/>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1"/>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2"/>
        </w:numPr>
      </w:pPr>
      <w:r>
        <w:t xml:space="preserve">Microbial recruitment (Braj)</w:t>
      </w:r>
    </w:p>
    <w:p>
      <w:pPr>
        <w:pStyle w:val="Compact"/>
        <w:numPr>
          <w:ilvl w:val="1"/>
          <w:numId w:val="1002"/>
        </w:numPr>
      </w:pPr>
      <w:r>
        <w:t xml:space="preserve">Pollinator services (James, Margie)</w:t>
      </w:r>
    </w:p>
    <w:p>
      <w:pPr>
        <w:pStyle w:val="Compact"/>
        <w:numPr>
          <w:ilvl w:val="0"/>
          <w:numId w:val="1001"/>
        </w:numPr>
      </w:pPr>
      <w:r>
        <w:t xml:space="preserve">Cooler landscapes</w:t>
      </w:r>
    </w:p>
    <w:p>
      <w:pPr>
        <w:pStyle w:val="Compact"/>
        <w:numPr>
          <w:ilvl w:val="1"/>
          <w:numId w:val="1003"/>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1"/>
        </w:numPr>
      </w:pPr>
      <w:r>
        <w:t xml:space="preserve">Pest and disease prediction and control. (Ary)</w:t>
      </w:r>
    </w:p>
    <w:p>
      <w:pPr>
        <w:pStyle w:val="Compact"/>
        <w:numPr>
          <w:ilvl w:val="0"/>
          <w:numId w:val="1001"/>
        </w:numPr>
      </w:pPr>
      <w:r>
        <w:t xml:space="preserve">Conservation (Adrienne?)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Outstanding Questions</w:t>
            </w:r>
          </w:p>
        </w:tc>
      </w:tr>
    </w:tbl>
    <w:bookmarkEnd w:id="39"/>
    <w:bookmarkStart w:id="40" w:name="concluding-remarks"/>
    <w:p>
      <w:pPr>
        <w:pStyle w:val="Heading1"/>
      </w:pPr>
      <w:r>
        <w:t xml:space="preserve">Concluding Remarks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28">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(see</w:t>
      </w:r>
      <w:r>
        <w:t xml:space="preserve"> </w:t>
      </w:r>
      <w:r>
        <w:rPr>
          <w:b/>
          <w:bCs/>
        </w:rPr>
        <w:t xml:space="preserve">Outstanding Questions</w:t>
      </w:r>
      <w:r>
        <w:t xml:space="preserve">) in our understanding of the impacts of extreme heat on organisms and communities that need to be addressed. These include:</w:t>
      </w:r>
    </w:p>
    <w:p>
      <w:pPr>
        <w:pStyle w:val="Compact"/>
        <w:numPr>
          <w:ilvl w:val="0"/>
          <w:numId w:val="1004"/>
        </w:numPr>
      </w:pPr>
      <w:r>
        <w:rPr>
          <w:b/>
          <w:bCs/>
        </w:rPr>
        <w:t xml:space="preserve">Data limitations for applying DEB theory</w:t>
      </w:r>
      <w:r>
        <w:t xml:space="preserve">: DEB models require a lot of information on a given species to model life-cycles, and there are challenges in applying stage-structured populations (e.g., metamorphosis). We need to develop solutions to these challenges (Mike).</w:t>
      </w:r>
    </w:p>
    <w:p>
      <w:pPr>
        <w:pStyle w:val="Compact"/>
        <w:numPr>
          <w:ilvl w:val="0"/>
          <w:numId w:val="1004"/>
        </w:numPr>
      </w:pPr>
      <w:r>
        <w:rPr>
          <w:b/>
          <w:b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p>
      <w:pPr>
        <w:pStyle w:val="Compact"/>
        <w:numPr>
          <w:ilvl w:val="0"/>
          <w:numId w:val="1004"/>
        </w:numPr>
      </w:pPr>
      <w:r>
        <w:rPr>
          <w:b/>
          <w:bCs/>
        </w:rPr>
        <w:t xml:space="preserve">Behavioural responses to heat stress</w:t>
      </w:r>
      <w:r>
        <w:t xml:space="preserve">: Greater detail in the ways both plants and animals</w:t>
      </w:r>
      <w:r>
        <w:t xml:space="preserve"> </w:t>
      </w:r>
      <w:r>
        <w:t xml:space="preserve">‘behave’</w:t>
      </w:r>
      <w:r>
        <w:t xml:space="preserve"> </w:t>
      </w:r>
      <w:r>
        <w:t xml:space="preserve">to extreme heat is needed to better understand physiological and behavioural adjustments that might mitigate exposure to heat stress.</w:t>
      </w:r>
      <w:r>
        <w:br/>
      </w:r>
    </w:p>
    <w:p>
      <w:pPr>
        <w:pStyle w:val="Compact"/>
        <w:numPr>
          <w:ilvl w:val="0"/>
          <w:numId w:val="1004"/>
        </w:numPr>
      </w:pPr>
      <w:r>
        <w:rPr>
          <w:b/>
          <w:bCs/>
        </w:rPr>
        <w:t xml:space="preserve">Evolutionary dynamics leading to changes in thermal sensitivity and exposure</w:t>
      </w:r>
      <w:r>
        <w:t xml:space="preserve">: We need to understand how thermal sensitivity and exposure will evolve in response to climate change. This requires knowledge of heritability (not often known) and selection intensity (good idea of what’s driving selection). We could cite</w:t>
      </w:r>
      <w:r>
        <w:t xml:space="preserve"> </w:t>
      </w:r>
      <w:r>
        <w:t xml:space="preserve">[99]</w:t>
      </w:r>
      <w:r>
        <w:t xml:space="preserve"> </w:t>
      </w:r>
      <w:r>
        <w:t xml:space="preserve">(Ary).</w:t>
      </w:r>
    </w:p>
    <w:p>
      <w:pPr>
        <w:pStyle w:val="Compact"/>
        <w:numPr>
          <w:ilvl w:val="0"/>
          <w:numId w:val="1004"/>
        </w:numPr>
      </w:pPr>
      <w:r>
        <w:rPr>
          <w:b/>
          <w:b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p>
      <w:pPr>
        <w:pStyle w:val="Compact"/>
        <w:numPr>
          <w:ilvl w:val="0"/>
          <w:numId w:val="1004"/>
        </w:numPr>
      </w:pPr>
      <w:r>
        <w:rPr>
          <w:b/>
          <w:bCs/>
        </w:rPr>
        <w:t xml:space="preserve">Social-ecological systems</w:t>
      </w:r>
      <w:r>
        <w:t xml:space="preserve">: We need to understand how the impacts of extreme heat on ecosystems can affect the services those ecosystems provide to people and how people may respond to thermal risks to ecosystems. This requires a social-ecological systems perspective that captures the interactions between social and natural systems (Alison, Owen, Belinda, Mike).</w:t>
      </w:r>
    </w:p>
    <w:p>
      <w:pPr>
        <w:pStyle w:val="FirstParagraph"/>
      </w:pPr>
      <w:r>
        <w:t xml:space="preserve">Developing a systems modelling framework will require collaboration between different research fields, including biophysics, physiology, ecology and evolutionary biology as well as socio-ecologists. By working collaboratively and integrativly we can develop a more calculated understanding of the impacts that extreme heat will have on organisms, populations, and communities along with how to mitigate these impacts to preserve diverse systems now and into the future.</w:t>
      </w:r>
    </w:p>
    <w:bookmarkEnd w:id="40"/>
    <w:bookmarkStart w:id="161" w:name="references"/>
    <w:p>
      <w:pPr>
        <w:pStyle w:val="Heading1"/>
      </w:pPr>
      <w:r>
        <w:t xml:space="preserve">References</w:t>
      </w:r>
    </w:p>
    <w:p>
      <w:pPr>
        <w:pStyle w:val="FirstParagraph"/>
      </w:pPr>
    </w:p>
    <w:bookmarkStart w:id="160" w:name="refs"/>
    <w:bookmarkStart w:id="41"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1"/>
    <w:bookmarkStart w:id="42"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2"/>
    <w:bookmarkStart w:id="43"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3"/>
    <w:bookmarkStart w:id="44"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4"/>
    <w:bookmarkStart w:id="45"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5"/>
    <w:bookmarkStart w:id="46"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6"/>
    <w:bookmarkStart w:id="47"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7"/>
    <w:bookmarkStart w:id="48"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48"/>
    <w:bookmarkStart w:id="49"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49"/>
    <w:bookmarkStart w:id="50"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0"/>
    <w:bookmarkStart w:id="51"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1"/>
    <w:bookmarkStart w:id="52"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2"/>
    <w:bookmarkStart w:id="53"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3"/>
    <w:bookmarkStart w:id="54"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4"/>
    <w:bookmarkStart w:id="55"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5"/>
    <w:bookmarkStart w:id="56"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6"/>
    <w:bookmarkStart w:id="57"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7"/>
    <w:bookmarkStart w:id="58"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58"/>
    <w:bookmarkStart w:id="59"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59"/>
    <w:bookmarkStart w:id="60"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0"/>
    <w:bookmarkStart w:id="61"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1"/>
    <w:bookmarkStart w:id="62"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2"/>
    <w:bookmarkStart w:id="63"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3"/>
    <w:bookmarkStart w:id="64" w:name="ref-Fick2017"/>
    <w:p>
      <w:pPr>
        <w:pStyle w:val="Bibliography"/>
      </w:pPr>
      <w:r>
        <w:t xml:space="preserve">24.</w:t>
      </w:r>
      <w:r>
        <w:t xml:space="preserve"> </w:t>
      </w:r>
      <w:r>
        <w:t xml:space="preserve">	</w:t>
      </w:r>
      <w:r>
        <w:t xml:space="preserve">Fick, S.E. and Hijmans, R.J. (2017)</w:t>
      </w:r>
      <w:r>
        <w:t xml:space="preserve"> </w:t>
      </w:r>
      <w:r>
        <w:t xml:space="preserve">WorldClim</w:t>
      </w:r>
      <w:r>
        <w:t xml:space="preserve"> </w:t>
      </w:r>
      <w:r>
        <w:t xml:space="preserve">2: New 1‐km spatial resolution climate surfaces for global land areas:</w:t>
      </w:r>
      <w:r>
        <w:t xml:space="preserve"> </w:t>
      </w:r>
      <w:r>
        <w:t xml:space="preserve">NEW</w:t>
      </w:r>
      <w:r>
        <w:t xml:space="preserve"> </w:t>
      </w:r>
      <w:r>
        <w:t xml:space="preserve">CLIMATE</w:t>
      </w:r>
      <w:r>
        <w:t xml:space="preserve"> </w:t>
      </w:r>
      <w:r>
        <w:t xml:space="preserve">SURFACES</w:t>
      </w:r>
      <w:r>
        <w:t xml:space="preserve"> </w:t>
      </w:r>
      <w:r>
        <w:t xml:space="preserve">FOR</w:t>
      </w:r>
      <w:r>
        <w:t xml:space="preserve"> </w:t>
      </w:r>
      <w:r>
        <w:t xml:space="preserve">GLOBAL</w:t>
      </w:r>
      <w:r>
        <w:t xml:space="preserve"> </w:t>
      </w:r>
      <w:r>
        <w:t xml:space="preserve">LAND</w:t>
      </w:r>
      <w:r>
        <w:t xml:space="preserve"> </w:t>
      </w:r>
      <w:r>
        <w:t xml:space="preserve">AREAS</w:t>
      </w:r>
      <w:r>
        <w:t xml:space="preserve">.</w:t>
      </w:r>
      <w:r>
        <w:t xml:space="preserve"> </w:t>
      </w:r>
      <w:r>
        <w:rPr>
          <w:i/>
          <w:iCs/>
        </w:rPr>
        <w:t xml:space="preserve">Int. J. Climatol.</w:t>
      </w:r>
      <w:r>
        <w:t xml:space="preserve"> </w:t>
      </w:r>
      <w:r>
        <w:t xml:space="preserve">37, 4302–4315</w:t>
      </w:r>
    </w:p>
    <w:bookmarkEnd w:id="64"/>
    <w:bookmarkStart w:id="65" w:name="ref-Kalnay2018"/>
    <w:p>
      <w:pPr>
        <w:pStyle w:val="Bibliography"/>
      </w:pPr>
      <w:r>
        <w:t xml:space="preserve">25.</w:t>
      </w:r>
      <w:r>
        <w:t xml:space="preserve"> </w:t>
      </w:r>
      <w:r>
        <w:t xml:space="preserve">	</w:t>
      </w:r>
      <w:r>
        <w:t xml:space="preserve">Kalnay, E.</w:t>
      </w:r>
      <w:r>
        <w:t xml:space="preserve"> </w:t>
      </w:r>
      <w:r>
        <w:rPr>
          <w:i/>
          <w:iCs/>
        </w:rPr>
        <w:t xml:space="preserve">et al.</w:t>
      </w:r>
      <w:r>
        <w:t xml:space="preserve"> </w:t>
      </w:r>
      <w:r>
        <w:t xml:space="preserve">(2018) The</w:t>
      </w:r>
      <w:r>
        <w:t xml:space="preserve"> </w:t>
      </w:r>
      <w:r>
        <w:t xml:space="preserve">NCEP</w:t>
      </w:r>
      <w:r>
        <w:t xml:space="preserve">/</w:t>
      </w:r>
      <w:r>
        <w:t xml:space="preserve">NCAR</w:t>
      </w:r>
      <w:r>
        <w:t xml:space="preserve"> </w:t>
      </w:r>
      <w:r>
        <w:t xml:space="preserve">40-year reanalysis project. In</w:t>
      </w:r>
      <w:r>
        <w:t xml:space="preserve"> </w:t>
      </w:r>
      <w:r>
        <w:rPr>
          <w:i/>
          <w:iCs/>
        </w:rPr>
        <w:t xml:space="preserve">Renewable energy</w:t>
      </w:r>
      <w:r>
        <w:t xml:space="preserve">, pp. 146–194, Routledge</w:t>
      </w:r>
    </w:p>
    <w:bookmarkEnd w:id="65"/>
    <w:bookmarkStart w:id="66" w:name="ref-Hersbach2020"/>
    <w:p>
      <w:pPr>
        <w:pStyle w:val="Bibliography"/>
      </w:pPr>
      <w:r>
        <w:t xml:space="preserve">26.</w:t>
      </w:r>
      <w:r>
        <w:t xml:space="preserve"> </w:t>
      </w:r>
      <w:r>
        <w:t xml:space="preserve">	</w:t>
      </w:r>
      <w:r>
        <w:t xml:space="preserve">Hersbach, H.</w:t>
      </w:r>
      <w:r>
        <w:t xml:space="preserve"> </w:t>
      </w:r>
      <w:r>
        <w:rPr>
          <w:i/>
          <w:iCs/>
        </w:rPr>
        <w:t xml:space="preserve">et al.</w:t>
      </w:r>
      <w:r>
        <w:t xml:space="preserve"> </w:t>
      </w:r>
      <w:r>
        <w:t xml:space="preserve">(2020) The</w:t>
      </w:r>
      <w:r>
        <w:t xml:space="preserve"> </w:t>
      </w:r>
      <w:r>
        <w:t xml:space="preserve">ERA5</w:t>
      </w:r>
      <w:r>
        <w:t xml:space="preserve"> </w:t>
      </w:r>
      <w:r>
        <w:t xml:space="preserve">global reanalysis.</w:t>
      </w:r>
      <w:r>
        <w:t xml:space="preserve"> </w:t>
      </w:r>
      <w:r>
        <w:rPr>
          <w:i/>
          <w:iCs/>
        </w:rPr>
        <w:t xml:space="preserve">Quart. J. Roy. Meteor. Soc.</w:t>
      </w:r>
      <w:r>
        <w:t xml:space="preserve"> </w:t>
      </w:r>
      <w:r>
        <w:t xml:space="preserve">146, 1999–2049</w:t>
      </w:r>
    </w:p>
    <w:bookmarkEnd w:id="66"/>
    <w:bookmarkStart w:id="67" w:name="ref-Klinges2022"/>
    <w:p>
      <w:pPr>
        <w:pStyle w:val="Bibliography"/>
      </w:pPr>
      <w:r>
        <w:t xml:space="preserve">27.</w:t>
      </w:r>
      <w:r>
        <w:t xml:space="preserve"> </w:t>
      </w:r>
      <w:r>
        <w:t xml:space="preserve">	</w:t>
      </w:r>
      <w:r>
        <w:t xml:space="preserve">Klinges, D.H.</w:t>
      </w:r>
      <w:r>
        <w:t xml:space="preserve"> </w:t>
      </w:r>
      <w:r>
        <w:rPr>
          <w:i/>
          <w:iCs/>
        </w:rPr>
        <w:t xml:space="preserve">et al.</w:t>
      </w:r>
      <w:r>
        <w:t xml:space="preserve"> </w:t>
      </w:r>
      <w:r>
        <w:t xml:space="preserve">(2022)</w:t>
      </w:r>
      <w:r>
        <w:t xml:space="preserve"> </w:t>
      </w:r>
      <w:r>
        <w:t xml:space="preserve">mcera5</w:t>
      </w:r>
      <w:r>
        <w:t xml:space="preserve"> </w:t>
      </w:r>
      <w:r>
        <w:t xml:space="preserve">: Driving microclimate models with</w:t>
      </w:r>
      <w:r>
        <w:t xml:space="preserve"> </w:t>
      </w:r>
      <w:r>
        <w:t xml:space="preserve">ERA5</w:t>
      </w:r>
      <w:r>
        <w:t xml:space="preserve"> </w:t>
      </w:r>
      <w:r>
        <w:t xml:space="preserve">global gridded climate data.</w:t>
      </w:r>
      <w:r>
        <w:t xml:space="preserve"> </w:t>
      </w:r>
      <w:r>
        <w:rPr>
          <w:i/>
          <w:iCs/>
        </w:rPr>
        <w:t xml:space="preserve">Methods Ecol. Evol.</w:t>
      </w:r>
      <w:r>
        <w:t xml:space="preserve"> </w:t>
      </w:r>
      <w:r>
        <w:t xml:space="preserve">13, 1402–1411</w:t>
      </w:r>
    </w:p>
    <w:bookmarkEnd w:id="67"/>
    <w:bookmarkStart w:id="68" w:name="ref-Meyer2023"/>
    <w:p>
      <w:pPr>
        <w:pStyle w:val="Bibliography"/>
      </w:pPr>
      <w:r>
        <w:t xml:space="preserve">28.</w:t>
      </w:r>
      <w:r>
        <w:t xml:space="preserve"> </w:t>
      </w:r>
      <w:r>
        <w:t xml:space="preserve">	</w:t>
      </w:r>
      <w:r>
        <w:t xml:space="preserve">Meyer, A.V.</w:t>
      </w:r>
      <w:r>
        <w:t xml:space="preserve"> </w:t>
      </w:r>
      <w:r>
        <w:rPr>
          <w:i/>
          <w:iCs/>
        </w:rPr>
        <w:t xml:space="preserve">et al.</w:t>
      </w:r>
      <w:r>
        <w:t xml:space="preserve"> </w:t>
      </w:r>
      <w:r>
        <w:t xml:space="preserve">(2023) A guide and tools for selecting and accessing microclimate data for mechanistic niche modeling.</w:t>
      </w:r>
      <w:r>
        <w:t xml:space="preserve"> </w:t>
      </w:r>
      <w:r>
        <w:rPr>
          <w:i/>
          <w:iCs/>
        </w:rPr>
        <w:t xml:space="preserve">Ecosphere</w:t>
      </w:r>
      <w:r>
        <w:t xml:space="preserve"> </w:t>
      </w:r>
      <w:r>
        <w:t xml:space="preserve">14</w:t>
      </w:r>
    </w:p>
    <w:bookmarkEnd w:id="68"/>
    <w:bookmarkStart w:id="69" w:name="ref-Munoz-Sabater2021"/>
    <w:p>
      <w:pPr>
        <w:pStyle w:val="Bibliography"/>
      </w:pPr>
      <w:r>
        <w:t xml:space="preserve">29.</w:t>
      </w:r>
      <w:r>
        <w:t xml:space="preserve"> </w:t>
      </w:r>
      <w:r>
        <w:t xml:space="preserve">	</w:t>
      </w:r>
      <w:r>
        <w:t xml:space="preserve">Muñoz-Sabater, J.</w:t>
      </w:r>
      <w:r>
        <w:t xml:space="preserve"> </w:t>
      </w:r>
      <w:r>
        <w:rPr>
          <w:i/>
          <w:iCs/>
        </w:rPr>
        <w:t xml:space="preserve">et al.</w:t>
      </w:r>
      <w:r>
        <w:t xml:space="preserve"> </w:t>
      </w:r>
      <w:r>
        <w:t xml:space="preserve">(2021)</w:t>
      </w:r>
      <w:r>
        <w:t xml:space="preserve"> </w:t>
      </w:r>
      <w:r>
        <w:t xml:space="preserve">ERA5</w:t>
      </w:r>
      <w:r>
        <w:t xml:space="preserve">-land: A state-of-the-art global reanalysis dataset for land applications.</w:t>
      </w:r>
      <w:r>
        <w:t xml:space="preserve"> </w:t>
      </w:r>
      <w:r>
        <w:rPr>
          <w:i/>
          <w:iCs/>
        </w:rPr>
        <w:t xml:space="preserve">Earth system science data</w:t>
      </w:r>
      <w:r>
        <w:t xml:space="preserve"> </w:t>
      </w:r>
      <w:r>
        <w:t xml:space="preserve">13, 4349–4383</w:t>
      </w:r>
    </w:p>
    <w:bookmarkEnd w:id="69"/>
    <w:bookmarkStart w:id="70" w:name="ref-Bezanson2012"/>
    <w:p>
      <w:pPr>
        <w:pStyle w:val="Bibliography"/>
      </w:pPr>
      <w:r>
        <w:t xml:space="preserve">30.</w:t>
      </w:r>
      <w:r>
        <w:t xml:space="preserve"> </w:t>
      </w:r>
      <w:r>
        <w:t xml:space="preserve">	</w:t>
      </w:r>
      <w:r>
        <w:t xml:space="preserve">Bezanson, J.</w:t>
      </w:r>
      <w:r>
        <w:t xml:space="preserve"> </w:t>
      </w:r>
      <w:r>
        <w:rPr>
          <w:i/>
          <w:iCs/>
        </w:rPr>
        <w:t xml:space="preserve">et al.</w:t>
      </w:r>
      <w:r>
        <w:t xml:space="preserve"> </w:t>
      </w:r>
      <w:r>
        <w:t xml:space="preserve">(2012) Julia: A fast dynamic language for technical computing.</w:t>
      </w:r>
      <w:r>
        <w:t xml:space="preserve"> </w:t>
      </w:r>
      <w:r>
        <w:rPr>
          <w:i/>
          <w:iCs/>
        </w:rPr>
        <w:t xml:space="preserve">arXiv [cs.PL]</w:t>
      </w:r>
    </w:p>
    <w:bookmarkEnd w:id="70"/>
    <w:bookmarkStart w:id="71" w:name="ref-Yatunin2025"/>
    <w:p>
      <w:pPr>
        <w:pStyle w:val="Bibliography"/>
      </w:pPr>
      <w:r>
        <w:t xml:space="preserve">31.</w:t>
      </w:r>
      <w:r>
        <w:t xml:space="preserve"> </w:t>
      </w:r>
      <w:r>
        <w:t xml:space="preserve">	</w:t>
      </w:r>
      <w:r>
        <w:t xml:space="preserve">Yatunin, D.</w:t>
      </w:r>
      <w:r>
        <w:t xml:space="preserve"> </w:t>
      </w:r>
      <w:r>
        <w:rPr>
          <w:i/>
          <w:iCs/>
        </w:rPr>
        <w:t xml:space="preserve">et al.</w:t>
      </w:r>
      <w:r>
        <w:t xml:space="preserve"> </w:t>
      </w:r>
      <w:r>
        <w:t xml:space="preserve">(2025) The climate modeling alliance atmosphere dynamical core: Concepts, numerics, and scaling.</w:t>
      </w:r>
      <w:r>
        <w:t xml:space="preserve"> </w:t>
      </w:r>
      <w:r>
        <w:rPr>
          <w:i/>
          <w:iCs/>
        </w:rPr>
        <w:t xml:space="preserve">Authorea Preprints</w:t>
      </w:r>
    </w:p>
    <w:bookmarkEnd w:id="71"/>
    <w:bookmarkStart w:id="72" w:name="ref-Braziunas2025"/>
    <w:p>
      <w:pPr>
        <w:pStyle w:val="Bibliography"/>
      </w:pPr>
      <w:r>
        <w:t xml:space="preserve">32.</w:t>
      </w:r>
      <w:r>
        <w:t xml:space="preserve"> </w:t>
      </w:r>
      <w:r>
        <w:t xml:space="preserve">	</w:t>
      </w:r>
      <w:r>
        <w:t xml:space="preserve">Braziunas, K.H.</w:t>
      </w:r>
      <w:r>
        <w:t xml:space="preserve"> </w:t>
      </w:r>
      <w:r>
        <w:rPr>
          <w:i/>
          <w:iCs/>
        </w:rPr>
        <w:t xml:space="preserve">et al.</w:t>
      </w:r>
      <w:r>
        <w:t xml:space="preserve"> </w:t>
      </w:r>
      <w:r>
        <w:t xml:space="preserve">(2025) Microclimate temperature effects propagate across scales in forest ecosystems.</w:t>
      </w:r>
      <w:r>
        <w:t xml:space="preserve"> </w:t>
      </w:r>
      <w:r>
        <w:rPr>
          <w:i/>
          <w:iCs/>
        </w:rPr>
        <w:t xml:space="preserve">Landsc. Ecol.</w:t>
      </w:r>
      <w:r>
        <w:t xml:space="preserve"> </w:t>
      </w:r>
      <w:r>
        <w:t xml:space="preserve">40, 37</w:t>
      </w:r>
    </w:p>
    <w:bookmarkEnd w:id="72"/>
    <w:bookmarkStart w:id="73" w:name="ref-Kearney2017"/>
    <w:p>
      <w:pPr>
        <w:pStyle w:val="Bibliography"/>
      </w:pPr>
      <w:r>
        <w:t xml:space="preserve">33.</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73"/>
    <w:bookmarkStart w:id="74" w:name="ref-Maclean2019"/>
    <w:p>
      <w:pPr>
        <w:pStyle w:val="Bibliography"/>
      </w:pPr>
      <w:r>
        <w:t xml:space="preserve">34.</w:t>
      </w:r>
      <w:r>
        <w:t xml:space="preserve"> </w:t>
      </w:r>
      <w:r>
        <w:t xml:space="preserve">	</w:t>
      </w:r>
      <w:r>
        <w:t xml:space="preserve">Maclean, I.M.D.</w:t>
      </w:r>
      <w:r>
        <w:t xml:space="preserve"> </w:t>
      </w:r>
      <w:r>
        <w:rPr>
          <w:i/>
          <w:iCs/>
        </w:rPr>
        <w:t xml:space="preserve">et al.</w:t>
      </w:r>
      <w:r>
        <w:t xml:space="preserve"> </w:t>
      </w:r>
      <w:r>
        <w:t xml:space="preserve">(2019) Microclima: An r package for modelling meso‐ and microclimate.</w:t>
      </w:r>
      <w:r>
        <w:t xml:space="preserve"> </w:t>
      </w:r>
      <w:r>
        <w:rPr>
          <w:i/>
          <w:iCs/>
        </w:rPr>
        <w:t xml:space="preserve">Methods Ecol. Evol.</w:t>
      </w:r>
      <w:r>
        <w:t xml:space="preserve"> </w:t>
      </w:r>
      <w:r>
        <w:t xml:space="preserve">10, 280–290</w:t>
      </w:r>
    </w:p>
    <w:bookmarkEnd w:id="74"/>
    <w:bookmarkStart w:id="75" w:name="ref-Kearney2020"/>
    <w:p>
      <w:pPr>
        <w:pStyle w:val="Bibliography"/>
      </w:pPr>
      <w:r>
        <w:t xml:space="preserve">35.</w:t>
      </w:r>
      <w:r>
        <w:t xml:space="preserve"> </w:t>
      </w:r>
      <w:r>
        <w:t xml:space="preserve">	</w:t>
      </w:r>
      <w:r>
        <w:t xml:space="preserve">Kearney, M.R.</w:t>
      </w:r>
      <w:r>
        <w:t xml:space="preserve"> </w:t>
      </w:r>
      <w:r>
        <w:rPr>
          <w:i/>
          <w:iCs/>
        </w:rPr>
        <w:t xml:space="preserve">et al.</w:t>
      </w:r>
      <w:r>
        <w:t xml:space="preserve"> </w:t>
      </w:r>
      <w:r>
        <w:t xml:space="preserve">(2020) A method for computing hourly, historical, terrain‐corrected microclimate anywhere on earth.</w:t>
      </w:r>
      <w:r>
        <w:t xml:space="preserve"> </w:t>
      </w:r>
      <w:r>
        <w:rPr>
          <w:i/>
          <w:iCs/>
        </w:rPr>
        <w:t xml:space="preserve">Methods Ecol. Evol.</w:t>
      </w:r>
      <w:r>
        <w:t xml:space="preserve"> </w:t>
      </w:r>
      <w:r>
        <w:t xml:space="preserve">11, 38–43</w:t>
      </w:r>
    </w:p>
    <w:bookmarkEnd w:id="75"/>
    <w:bookmarkStart w:id="76" w:name="ref-Maclean2021"/>
    <w:p>
      <w:pPr>
        <w:pStyle w:val="Bibliography"/>
      </w:pPr>
      <w:r>
        <w:t xml:space="preserve">36.</w:t>
      </w:r>
      <w:r>
        <w:t xml:space="preserve"> </w:t>
      </w:r>
      <w:r>
        <w:t xml:space="preserve">	</w:t>
      </w:r>
      <w:r>
        <w:t xml:space="preserve">Maclean, I.M.D.</w:t>
      </w:r>
      <w:r>
        <w:t xml:space="preserve"> </w:t>
      </w:r>
      <w:r>
        <w:rPr>
          <w:i/>
          <w:iCs/>
        </w:rPr>
        <w:t xml:space="preserve">et al.</w:t>
      </w:r>
      <w:r>
        <w:t xml:space="preserve"> </w:t>
      </w:r>
      <w:r>
        <w:t xml:space="preserve">(2021) On the measurement of microclimate.</w:t>
      </w:r>
      <w:r>
        <w:t xml:space="preserve"> </w:t>
      </w:r>
      <w:r>
        <w:rPr>
          <w:i/>
          <w:iCs/>
        </w:rPr>
        <w:t xml:space="preserve">Methods Ecol. Evol.</w:t>
      </w:r>
      <w:r>
        <w:t xml:space="preserve"> </w:t>
      </w:r>
      <w:r>
        <w:t xml:space="preserve">12, 1397–1410</w:t>
      </w:r>
    </w:p>
    <w:bookmarkEnd w:id="76"/>
    <w:bookmarkStart w:id="77" w:name="ref-Buckley2023"/>
    <w:p>
      <w:pPr>
        <w:pStyle w:val="Bibliography"/>
      </w:pPr>
      <w:r>
        <w:t xml:space="preserve">37.</w:t>
      </w:r>
      <w:r>
        <w:t xml:space="preserve"> </w:t>
      </w:r>
      <w:r>
        <w:t xml:space="preserve">	</w:t>
      </w:r>
      <w:r>
        <w:t xml:space="preserve">Buckley, L.B.</w:t>
      </w:r>
      <w:r>
        <w:t xml:space="preserve"> </w:t>
      </w:r>
      <w:r>
        <w:rPr>
          <w:i/>
          <w:iCs/>
        </w:rPr>
        <w:t xml:space="preserve">et al.</w:t>
      </w:r>
      <w:r>
        <w:t xml:space="preserve"> </w:t>
      </w:r>
      <w:r>
        <w:t xml:space="preserve">(2023)</w:t>
      </w:r>
      <w:r>
        <w:t xml:space="preserve"> </w:t>
      </w:r>
      <w:r>
        <w:t xml:space="preserve">TrenchR</w:t>
      </w:r>
      <w:r>
        <w:t xml:space="preserve">: An</w:t>
      </w:r>
      <w:r>
        <w:t xml:space="preserve"> </w:t>
      </w:r>
      <w:r>
        <w:t xml:space="preserve">R</w:t>
      </w:r>
      <w:r>
        <w:t xml:space="preserve"> </w:t>
      </w:r>
      <w:r>
        <w:t xml:space="preserve">package for modular and accessible microclimate and biophysical ecology.</w:t>
      </w:r>
      <w:r>
        <w:t xml:space="preserve"> </w:t>
      </w:r>
      <w:r>
        <w:rPr>
          <w:i/>
          <w:iCs/>
        </w:rPr>
        <w:t xml:space="preserve">PLOS Clim</w:t>
      </w:r>
      <w:r>
        <w:t xml:space="preserve"> </w:t>
      </w:r>
      <w:r>
        <w:t xml:space="preserve">2, e0000139</w:t>
      </w:r>
    </w:p>
    <w:bookmarkEnd w:id="77"/>
    <w:bookmarkStart w:id="78" w:name="ref-De_Frenne2024"/>
    <w:p>
      <w:pPr>
        <w:pStyle w:val="Bibliography"/>
      </w:pPr>
      <w:r>
        <w:t xml:space="preserve">38.</w:t>
      </w:r>
      <w:r>
        <w:t xml:space="preserve"> </w:t>
      </w:r>
      <w:r>
        <w:t xml:space="preserve">	</w:t>
      </w:r>
      <w:r>
        <w:t xml:space="preserve">De Frenne, P.</w:t>
      </w:r>
      <w:r>
        <w:t xml:space="preserve"> </w:t>
      </w:r>
      <w:r>
        <w:rPr>
          <w:i/>
          <w:iCs/>
        </w:rPr>
        <w:t xml:space="preserve">et al.</w:t>
      </w:r>
      <w:r>
        <w:t xml:space="preserve"> </w:t>
      </w:r>
      <w:r>
        <w:t xml:space="preserve">(2024) Ten practical guidelines for microclimate research in terrestrial ecosystems.</w:t>
      </w:r>
      <w:r>
        <w:t xml:space="preserve"> </w:t>
      </w:r>
      <w:r>
        <w:rPr>
          <w:i/>
          <w:iCs/>
        </w:rPr>
        <w:t xml:space="preserve">Methods Ecol. Evol.</w:t>
      </w:r>
    </w:p>
    <w:bookmarkEnd w:id="78"/>
    <w:bookmarkStart w:id="79" w:name="ref-Levy2016"/>
    <w:p>
      <w:pPr>
        <w:pStyle w:val="Bibliography"/>
      </w:pPr>
      <w:r>
        <w:t xml:space="preserve">39.</w:t>
      </w:r>
      <w:r>
        <w:t xml:space="preserve"> </w:t>
      </w:r>
      <w:r>
        <w:t xml:space="preserve">	</w:t>
      </w:r>
      <w:r>
        <w:t xml:space="preserve">Levy, O.</w:t>
      </w:r>
      <w:r>
        <w:t xml:space="preserve"> </w:t>
      </w:r>
      <w:r>
        <w:rPr>
          <w:i/>
          <w:iCs/>
        </w:rPr>
        <w:t xml:space="preserve">et al.</w:t>
      </w:r>
      <w:r>
        <w:t xml:space="preserve"> </w:t>
      </w:r>
      <w:r>
        <w:t xml:space="preserve">(2016) A dynamically downscaled projection of past and future microclimates.</w:t>
      </w:r>
      <w:r>
        <w:t xml:space="preserve"> </w:t>
      </w:r>
      <w:r>
        <w:rPr>
          <w:i/>
          <w:iCs/>
        </w:rPr>
        <w:t xml:space="preserve">Ecology</w:t>
      </w:r>
      <w:r>
        <w:t xml:space="preserve"> </w:t>
      </w:r>
      <w:r>
        <w:t xml:space="preserve">97, 1888–1888</w:t>
      </w:r>
    </w:p>
    <w:bookmarkEnd w:id="79"/>
    <w:bookmarkStart w:id="80" w:name="ref-Manzoni2022"/>
    <w:p>
      <w:pPr>
        <w:pStyle w:val="Bibliography"/>
      </w:pPr>
      <w:r>
        <w:t xml:space="preserve">40.</w:t>
      </w:r>
      <w:r>
        <w:t xml:space="preserve"> </w:t>
      </w:r>
      <w:r>
        <w:t xml:space="preserve">	</w:t>
      </w:r>
      <w:r>
        <w:t xml:space="preserve">Manzoni, S.</w:t>
      </w:r>
      <w:r>
        <w:t xml:space="preserve"> </w:t>
      </w:r>
      <w:r>
        <w:rPr>
          <w:i/>
          <w:iCs/>
        </w:rPr>
        <w:t xml:space="preserve">et al.</w:t>
      </w:r>
      <w:r>
        <w:t xml:space="preserve"> </w:t>
      </w:r>
      <w:r>
        <w:t xml:space="preserve">(2022) Consistent responses of vegetation gas exchange to elevated atmospheric</w:t>
      </w:r>
      <w:r>
        <w:t xml:space="preserve"> </w:t>
      </w:r>
      <w:r>
        <w:t xml:space="preserve">CO</w:t>
      </w:r>
      <w:r>
        <w:t xml:space="preserve"> </w:t>
      </w:r>
      <w:r>
        <w:t xml:space="preserve">2 emerge from heuristic and optimization models.</w:t>
      </w:r>
      <w:r>
        <w:t xml:space="preserve"> </w:t>
      </w:r>
      <w:r>
        <w:rPr>
          <w:i/>
          <w:iCs/>
        </w:rPr>
        <w:t xml:space="preserve">Biogeosciences</w:t>
      </w:r>
      <w:r>
        <w:t xml:space="preserve"> </w:t>
      </w:r>
      <w:r>
        <w:t xml:space="preserve">19, 4387–4414</w:t>
      </w:r>
    </w:p>
    <w:bookmarkEnd w:id="80"/>
    <w:bookmarkStart w:id="81" w:name="ref-Porter1973"/>
    <w:p>
      <w:pPr>
        <w:pStyle w:val="Bibliography"/>
      </w:pPr>
      <w:r>
        <w:t xml:space="preserve">41.</w:t>
      </w:r>
      <w:r>
        <w:t xml:space="preserve"> </w:t>
      </w:r>
      <w:r>
        <w:t xml:space="preserve">	</w:t>
      </w:r>
      <w:r>
        <w:t xml:space="preserve">Porter, W.P.</w:t>
      </w:r>
      <w:r>
        <w:t xml:space="preserve"> </w:t>
      </w:r>
      <w:r>
        <w:rPr>
          <w:i/>
          <w:iCs/>
        </w:rPr>
        <w:t xml:space="preserve">et al.</w:t>
      </w:r>
      <w:r>
        <w:t xml:space="preserve"> </w:t>
      </w:r>
      <w:r>
        <w:t xml:space="preserve">(1973) Behavioral implications of mechanistic ecology : Thermal and behavioral modeling of desert ectotherms and their microenvironment.</w:t>
      </w:r>
      <w:r>
        <w:t xml:space="preserve"> </w:t>
      </w:r>
      <w:r>
        <w:rPr>
          <w:i/>
          <w:iCs/>
        </w:rPr>
        <w:t xml:space="preserve">Oecologia</w:t>
      </w:r>
      <w:r>
        <w:t xml:space="preserve"> </w:t>
      </w:r>
      <w:r>
        <w:t xml:space="preserve">13, 1–54</w:t>
      </w:r>
    </w:p>
    <w:bookmarkEnd w:id="81"/>
    <w:bookmarkStart w:id="82" w:name="ref-Porter1969"/>
    <w:p>
      <w:pPr>
        <w:pStyle w:val="Bibliography"/>
      </w:pPr>
      <w:r>
        <w:t xml:space="preserve">42.</w:t>
      </w:r>
      <w:r>
        <w:t xml:space="preserve"> </w:t>
      </w:r>
      <w:r>
        <w:t xml:space="preserve">	</w:t>
      </w:r>
      <w:r>
        <w:t xml:space="preserve">Porter, W.P. and Gates, D.M. (1969) Thermodynamic equilibria of animals with environment.</w:t>
      </w:r>
      <w:r>
        <w:t xml:space="preserve"> </w:t>
      </w:r>
      <w:r>
        <w:rPr>
          <w:i/>
          <w:iCs/>
        </w:rPr>
        <w:t xml:space="preserve">Ecol. Monogr.</w:t>
      </w:r>
      <w:r>
        <w:t xml:space="preserve"> </w:t>
      </w:r>
      <w:r>
        <w:t xml:space="preserve">39, 227–244</w:t>
      </w:r>
    </w:p>
    <w:bookmarkEnd w:id="82"/>
    <w:bookmarkStart w:id="83" w:name="ref-Riddell2017"/>
    <w:p>
      <w:pPr>
        <w:pStyle w:val="Bibliography"/>
      </w:pPr>
      <w:r>
        <w:t xml:space="preserve">43.</w:t>
      </w:r>
      <w:r>
        <w:t xml:space="preserve"> </w:t>
      </w:r>
      <w:r>
        <w:t xml:space="preserve">	</w:t>
      </w:r>
      <w:r>
        <w:t xml:space="preserve">Riddell, E.A.</w:t>
      </w:r>
      <w:r>
        <w:t xml:space="preserve"> </w:t>
      </w:r>
      <w:r>
        <w:rPr>
          <w:i/>
          <w:iCs/>
        </w:rPr>
        <w:t xml:space="preserve">et al.</w:t>
      </w:r>
      <w:r>
        <w:t xml:space="preserve"> </w:t>
      </w:r>
      <w:r>
        <w:t xml:space="preserve">(2017) Physical calculations of resistance to water loss improve predictions of species range models.</w:t>
      </w:r>
      <w:r>
        <w:t xml:space="preserve"> </w:t>
      </w:r>
      <w:r>
        <w:rPr>
          <w:i/>
          <w:iCs/>
        </w:rPr>
        <w:t xml:space="preserve">Ecol. Monogr.</w:t>
      </w:r>
      <w:r>
        <w:t xml:space="preserve"> </w:t>
      </w:r>
      <w:r>
        <w:t xml:space="preserve">87, 21–33</w:t>
      </w:r>
    </w:p>
    <w:bookmarkEnd w:id="83"/>
    <w:bookmarkStart w:id="84" w:name="ref-Duursma2015"/>
    <w:p>
      <w:pPr>
        <w:pStyle w:val="Bibliography"/>
      </w:pPr>
      <w:r>
        <w:t xml:space="preserve">44.</w:t>
      </w:r>
      <w:r>
        <w:t xml:space="preserve"> </w:t>
      </w:r>
      <w:r>
        <w:t xml:space="preserve">	</w:t>
      </w:r>
      <w:r>
        <w:t xml:space="preserve">Duursma, R.A. (2015) Plantecophys–an</w:t>
      </w:r>
      <w:r>
        <w:t xml:space="preserve"> </w:t>
      </w:r>
      <w:r>
        <w:t xml:space="preserve">R</w:t>
      </w:r>
      <w:r>
        <w:t xml:space="preserve"> </w:t>
      </w:r>
      <w:r>
        <w:t xml:space="preserve">package for analysing and modelling leaf gas exchange data.</w:t>
      </w:r>
      <w:r>
        <w:t xml:space="preserve"> </w:t>
      </w:r>
      <w:r>
        <w:rPr>
          <w:i/>
          <w:iCs/>
        </w:rPr>
        <w:t xml:space="preserve">PLoS One</w:t>
      </w:r>
      <w:r>
        <w:t xml:space="preserve"> </w:t>
      </w:r>
      <w:r>
        <w:t xml:space="preserve">10, e0143346</w:t>
      </w:r>
    </w:p>
    <w:bookmarkEnd w:id="84"/>
    <w:bookmarkStart w:id="85" w:name="ref-Briscoe2022"/>
    <w:p>
      <w:pPr>
        <w:pStyle w:val="Bibliography"/>
      </w:pPr>
      <w:r>
        <w:t xml:space="preserve">45.</w:t>
      </w:r>
      <w:r>
        <w:t xml:space="preserve"> </w:t>
      </w:r>
      <w:r>
        <w:t xml:space="preserve">	</w:t>
      </w:r>
      <w:r>
        <w:t xml:space="preserve">Briscoe, N.J.</w:t>
      </w:r>
      <w:r>
        <w:t xml:space="preserve"> </w:t>
      </w:r>
      <w:r>
        <w:rPr>
          <w:i/>
          <w:iCs/>
        </w:rPr>
        <w:t xml:space="preserve">et al.</w:t>
      </w:r>
      <w:r>
        <w:t xml:space="preserve"> </w:t>
      </w:r>
      <w:r>
        <w:t xml:space="preserve">(2022) Too hot to hunt: Mechanistic predictions of thermal refuge from cat predation risk.</w:t>
      </w:r>
      <w:r>
        <w:t xml:space="preserve"> </w:t>
      </w:r>
      <w:r>
        <w:rPr>
          <w:i/>
          <w:iCs/>
        </w:rPr>
        <w:t xml:space="preserve">Conserv. Lett.</w:t>
      </w:r>
      <w:r>
        <w:t xml:space="preserve"> </w:t>
      </w:r>
      <w:r>
        <w:t xml:space="preserve">15</w:t>
      </w:r>
    </w:p>
    <w:bookmarkEnd w:id="85"/>
    <w:bookmarkStart w:id="86" w:name="ref-Loughran2020"/>
    <w:p>
      <w:pPr>
        <w:pStyle w:val="Bibliography"/>
      </w:pPr>
      <w:r>
        <w:t xml:space="preserve">46.</w:t>
      </w:r>
      <w:r>
        <w:t xml:space="preserve"> </w:t>
      </w:r>
      <w:r>
        <w:t xml:space="preserve">	</w:t>
      </w:r>
      <w:r>
        <w:t xml:space="preserve">Loughran, C.L. and Wolf, B.O. (2020) The functional significance of panting as a mechanism of thermoregulation and its relationship to the critical thermal maxima in lizards.</w:t>
      </w:r>
      <w:r>
        <w:t xml:space="preserve"> </w:t>
      </w:r>
      <w:r>
        <w:rPr>
          <w:i/>
          <w:iCs/>
        </w:rPr>
        <w:t xml:space="preserve">J. Exp. Biol.</w:t>
      </w:r>
      <w:r>
        <w:t xml:space="preserve"> </w:t>
      </w:r>
      <w:r>
        <w:t xml:space="preserve">223, jeb224139</w:t>
      </w:r>
    </w:p>
    <w:bookmarkEnd w:id="86"/>
    <w:bookmarkStart w:id="87" w:name="ref-Sharpe2022"/>
    <w:p>
      <w:pPr>
        <w:pStyle w:val="Bibliography"/>
      </w:pPr>
      <w:r>
        <w:t xml:space="preserve">47.</w:t>
      </w:r>
      <w:r>
        <w:t xml:space="preserve"> </w:t>
      </w:r>
      <w:r>
        <w:t xml:space="preserve">	</w:t>
      </w:r>
      <w:r>
        <w:t xml:space="preserve">Sharpe, L.L.</w:t>
      </w:r>
      <w:r>
        <w:t xml:space="preserve"> </w:t>
      </w:r>
      <w:r>
        <w:rPr>
          <w:i/>
          <w:iCs/>
        </w:rPr>
        <w:t xml:space="preserve">et al.</w:t>
      </w:r>
      <w:r>
        <w:t xml:space="preserve"> </w:t>
      </w:r>
      <w:r>
        <w:t xml:space="preserve">(2022) In the hot seat: Behavioral change and old-growth trees underpin an australian songbird’s response to extreme heat.</w:t>
      </w:r>
      <w:r>
        <w:t xml:space="preserve"> </w:t>
      </w:r>
      <w:r>
        <w:rPr>
          <w:i/>
          <w:iCs/>
        </w:rPr>
        <w:t xml:space="preserve">Front. Ecol. Evol.</w:t>
      </w:r>
      <w:r>
        <w:t xml:space="preserve"> </w:t>
      </w:r>
      <w:r>
        <w:t xml:space="preserve">10</w:t>
      </w:r>
    </w:p>
    <w:bookmarkEnd w:id="87"/>
    <w:bookmarkStart w:id="88" w:name="ref-Drake2018"/>
    <w:p>
      <w:pPr>
        <w:pStyle w:val="Bibliography"/>
      </w:pPr>
      <w:r>
        <w:t xml:space="preserve">48.</w:t>
      </w:r>
      <w:r>
        <w:t xml:space="preserve"> </w:t>
      </w:r>
      <w:r>
        <w:t xml:space="preserve">	</w:t>
      </w:r>
      <w:r>
        <w:t xml:space="preserve">Drake, J.E.</w:t>
      </w:r>
      <w:r>
        <w:t xml:space="preserve"> </w:t>
      </w:r>
      <w:r>
        <w:rPr>
          <w:i/>
          <w:iCs/>
        </w:rPr>
        <w:t xml:space="preserve">et al.</w:t>
      </w:r>
      <w:r>
        <w:t xml:space="preserve"> </w:t>
      </w:r>
      <w:r>
        <w:t xml:space="preserve">(2018) Trees tolerate an extreme heatwave via sustained transpirational cooling and increased leaf thermal tolerance.</w:t>
      </w:r>
      <w:r>
        <w:t xml:space="preserve"> </w:t>
      </w:r>
      <w:r>
        <w:rPr>
          <w:i/>
          <w:iCs/>
        </w:rPr>
        <w:t xml:space="preserve">Glob. Chang. Biol.</w:t>
      </w:r>
      <w:r>
        <w:t xml:space="preserve"> </w:t>
      </w:r>
      <w:r>
        <w:t xml:space="preserve">24, 2390–2402</w:t>
      </w:r>
    </w:p>
    <w:bookmarkEnd w:id="88"/>
    <w:bookmarkStart w:id="89" w:name="ref-Posch2024"/>
    <w:p>
      <w:pPr>
        <w:pStyle w:val="Bibliography"/>
      </w:pPr>
      <w:r>
        <w:t xml:space="preserve">49.</w:t>
      </w:r>
      <w:r>
        <w:t xml:space="preserve"> </w:t>
      </w:r>
      <w:r>
        <w:t xml:space="preserve">	</w:t>
      </w:r>
      <w:r>
        <w:t xml:space="preserve">Posch, B.C.</w:t>
      </w:r>
      <w:r>
        <w:t xml:space="preserve"> </w:t>
      </w:r>
      <w:r>
        <w:rPr>
          <w:i/>
          <w:iCs/>
        </w:rPr>
        <w:t xml:space="preserve">et al.</w:t>
      </w:r>
      <w:r>
        <w:t xml:space="preserve"> </w:t>
      </w:r>
      <w:r>
        <w:t xml:space="preserve">(2024) Intensive leaf cooling promotes tree survival during a record heatwave.</w:t>
      </w:r>
      <w:r>
        <w:t xml:space="preserve"> </w:t>
      </w:r>
      <w:r>
        <w:rPr>
          <w:i/>
          <w:iCs/>
        </w:rPr>
        <w:t xml:space="preserve">Proc. Natl. Acad. Sci. U. S. A.</w:t>
      </w:r>
      <w:r>
        <w:t xml:space="preserve"> </w:t>
      </w:r>
      <w:r>
        <w:t xml:space="preserve">121, e2408583121</w:t>
      </w:r>
    </w:p>
    <w:bookmarkEnd w:id="89"/>
    <w:bookmarkStart w:id="90" w:name="ref-Orsted2022"/>
    <w:p>
      <w:pPr>
        <w:pStyle w:val="Bibliography"/>
      </w:pPr>
      <w:r>
        <w:t xml:space="preserve">50.</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90"/>
    <w:bookmarkStart w:id="91" w:name="ref-Jagadish2021"/>
    <w:p>
      <w:pPr>
        <w:pStyle w:val="Bibliography"/>
      </w:pPr>
      <w:r>
        <w:t xml:space="preserve">51.</w:t>
      </w:r>
      <w:r>
        <w:t xml:space="preserve"> </w:t>
      </w:r>
      <w:r>
        <w:t xml:space="preserve">	</w:t>
      </w:r>
      <w:r>
        <w:t xml:space="preserve">Jagadish, S.V.K.</w:t>
      </w:r>
      <w:r>
        <w:t xml:space="preserve"> </w:t>
      </w:r>
      <w:r>
        <w:rPr>
          <w:i/>
          <w:iCs/>
        </w:rPr>
        <w:t xml:space="preserve">et al.</w:t>
      </w:r>
      <w:r>
        <w:t xml:space="preserve"> </w:t>
      </w:r>
      <w:r>
        <w:t xml:space="preserve">(2021) Plant heat stress: Concepts directing future research.</w:t>
      </w:r>
      <w:r>
        <w:t xml:space="preserve"> </w:t>
      </w:r>
      <w:r>
        <w:rPr>
          <w:i/>
          <w:iCs/>
        </w:rPr>
        <w:t xml:space="preserve">Plant Cell Environ.</w:t>
      </w:r>
      <w:r>
        <w:t xml:space="preserve"> </w:t>
      </w:r>
      <w:r>
        <w:t xml:space="preserve">44, 1992–2005</w:t>
      </w:r>
    </w:p>
    <w:bookmarkEnd w:id="91"/>
    <w:bookmarkStart w:id="92" w:name="ref-Faber2024"/>
    <w:p>
      <w:pPr>
        <w:pStyle w:val="Bibliography"/>
      </w:pPr>
      <w:r>
        <w:t xml:space="preserve">52.</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92"/>
    <w:bookmarkStart w:id="93" w:name="ref-Martinez-De_Leon2024"/>
    <w:p>
      <w:pPr>
        <w:pStyle w:val="Bibliography"/>
      </w:pPr>
      <w:r>
        <w:t xml:space="preserve">53.</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93"/>
    <w:bookmarkStart w:id="94" w:name="ref-Fontaine2022"/>
    <w:p>
      <w:pPr>
        <w:pStyle w:val="Bibliography"/>
      </w:pPr>
      <w:r>
        <w:t xml:space="preserve">54.</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94"/>
    <w:bookmarkStart w:id="95" w:name="ref-Fontaine2023"/>
    <w:p>
      <w:pPr>
        <w:pStyle w:val="Bibliography"/>
      </w:pPr>
      <w:r>
        <w:t xml:space="preserve">55.</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95"/>
    <w:bookmarkStart w:id="96" w:name="ref-Hoang2019"/>
    <w:p>
      <w:pPr>
        <w:pStyle w:val="Bibliography"/>
      </w:pPr>
      <w:r>
        <w:t xml:space="preserve">56.</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96"/>
    <w:bookmarkStart w:id="97" w:name="ref-Gehman2019"/>
    <w:p>
      <w:pPr>
        <w:pStyle w:val="Bibliography"/>
      </w:pPr>
      <w:r>
        <w:t xml:space="preserve">57.</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97"/>
    <w:bookmarkStart w:id="98" w:name="ref-Hoang2021"/>
    <w:p>
      <w:pPr>
        <w:pStyle w:val="Bibliography"/>
      </w:pPr>
      <w:r>
        <w:t xml:space="preserve">58.</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98"/>
    <w:bookmarkStart w:id="99" w:name="ref-Corbin2016"/>
    <w:p>
      <w:pPr>
        <w:pStyle w:val="Bibliography"/>
      </w:pPr>
      <w:r>
        <w:t xml:space="preserve">59.</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99"/>
    <w:bookmarkStart w:id="100" w:name="ref-Zhang2019"/>
    <w:p>
      <w:pPr>
        <w:pStyle w:val="Bibliography"/>
      </w:pPr>
      <w:r>
        <w:t xml:space="preserve">60.</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100"/>
    <w:bookmarkStart w:id="101" w:name="ref-Dunbar2007"/>
    <w:p>
      <w:pPr>
        <w:pStyle w:val="Bibliography"/>
      </w:pPr>
      <w:r>
        <w:t xml:space="preserve">61.</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101"/>
    <w:bookmarkStart w:id="102" w:name="ref-Chouhan2023"/>
    <w:p>
      <w:pPr>
        <w:pStyle w:val="Bibliography"/>
      </w:pPr>
      <w:r>
        <w:t xml:space="preserve">62.</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102"/>
    <w:bookmarkStart w:id="103" w:name="ref-Liu2025"/>
    <w:p>
      <w:pPr>
        <w:pStyle w:val="Bibliography"/>
      </w:pPr>
      <w:r>
        <w:t xml:space="preserve">63.</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103"/>
    <w:bookmarkStart w:id="104" w:name="ref-Marquez2007"/>
    <w:p>
      <w:pPr>
        <w:pStyle w:val="Bibliography"/>
      </w:pPr>
      <w:r>
        <w:t xml:space="preserve">64.</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104"/>
    <w:bookmarkStart w:id="105" w:name="ref-Huang2019"/>
    <w:p>
      <w:pPr>
        <w:pStyle w:val="Bibliography"/>
      </w:pPr>
      <w:r>
        <w:t xml:space="preserve">65.</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105"/>
    <w:bookmarkStart w:id="106" w:name="ref-Dastogeer2022"/>
    <w:p>
      <w:pPr>
        <w:pStyle w:val="Bibliography"/>
      </w:pPr>
      <w:r>
        <w:t xml:space="preserve">66.</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106"/>
    <w:bookmarkStart w:id="107" w:name="ref-Shekhawat2022"/>
    <w:p>
      <w:pPr>
        <w:pStyle w:val="Bibliography"/>
      </w:pPr>
      <w:r>
        <w:t xml:space="preserve">67.</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107"/>
    <w:bookmarkStart w:id="108" w:name="ref-Lobell2012"/>
    <w:p>
      <w:pPr>
        <w:pStyle w:val="Bibliography"/>
      </w:pPr>
      <w:r>
        <w:t xml:space="preserve">68.</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108"/>
    <w:bookmarkStart w:id="109" w:name="ref-Farooq2011"/>
    <w:p>
      <w:pPr>
        <w:pStyle w:val="Bibliography"/>
      </w:pPr>
      <w:r>
        <w:t xml:space="preserve">69.</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109"/>
    <w:bookmarkStart w:id="110" w:name="ref-He2025"/>
    <w:p>
      <w:pPr>
        <w:pStyle w:val="Bibliography"/>
      </w:pPr>
      <w:r>
        <w:t xml:space="preserve">70.</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110"/>
    <w:bookmarkStart w:id="111" w:name="ref-Zhang2021"/>
    <w:p>
      <w:pPr>
        <w:pStyle w:val="Bibliography"/>
      </w:pPr>
      <w:r>
        <w:t xml:space="preserve">71.</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111"/>
    <w:bookmarkStart w:id="112" w:name="ref-Zhang2023a"/>
    <w:p>
      <w:pPr>
        <w:pStyle w:val="Bibliography"/>
      </w:pPr>
      <w:r>
        <w:t xml:space="preserve">72.</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112"/>
    <w:bookmarkStart w:id="113" w:name="ref-Nisbet2000"/>
    <w:p>
      <w:pPr>
        <w:pStyle w:val="Bibliography"/>
      </w:pPr>
      <w:r>
        <w:t xml:space="preserve">73.</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113"/>
    <w:bookmarkStart w:id="114" w:name="ref-Jager2020"/>
    <w:p>
      <w:pPr>
        <w:pStyle w:val="Bibliography"/>
      </w:pPr>
      <w:r>
        <w:t xml:space="preserve">74.</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114"/>
    <w:bookmarkStart w:id="115" w:name="ref-Haberle2025"/>
    <w:p>
      <w:pPr>
        <w:pStyle w:val="Bibliography"/>
      </w:pPr>
      <w:r>
        <w:t xml:space="preserve">75.</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115"/>
    <w:bookmarkStart w:id="116" w:name="ref-Kearney2013"/>
    <w:p>
      <w:pPr>
        <w:pStyle w:val="Bibliography"/>
      </w:pPr>
      <w:r>
        <w:t xml:space="preserve">76.</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116"/>
    <w:bookmarkStart w:id="117" w:name="ref-Kearney2010"/>
    <w:p>
      <w:pPr>
        <w:pStyle w:val="Bibliography"/>
      </w:pPr>
      <w:r>
        <w:t xml:space="preserve">77.</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117"/>
    <w:bookmarkStart w:id="118" w:name="ref-Marques2018"/>
    <w:p>
      <w:pPr>
        <w:pStyle w:val="Bibliography"/>
      </w:pPr>
      <w:r>
        <w:t xml:space="preserve">78.</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118"/>
    <w:bookmarkStart w:id="119" w:name="ref-Kooijman2021"/>
    <w:p>
      <w:pPr>
        <w:pStyle w:val="Bibliography"/>
      </w:pPr>
      <w:r>
        <w:t xml:space="preserve">79.</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119"/>
    <w:bookmarkStart w:id="120" w:name="ref-Bruggeman2009"/>
    <w:p>
      <w:pPr>
        <w:pStyle w:val="Bibliography"/>
      </w:pPr>
      <w:r>
        <w:t xml:space="preserve">80.</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120"/>
    <w:bookmarkStart w:id="121" w:name="ref-Kearney2020a"/>
    <w:p>
      <w:pPr>
        <w:pStyle w:val="Bibliography"/>
      </w:pPr>
      <w:r>
        <w:t xml:space="preserve">81.</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121"/>
    <w:bookmarkStart w:id="122" w:name="ref-Ricker1954a"/>
    <w:p>
      <w:pPr>
        <w:pStyle w:val="Bibliography"/>
      </w:pPr>
      <w:r>
        <w:t xml:space="preserve">82.</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122"/>
    <w:bookmarkStart w:id="123" w:name="ref-Beverton2012"/>
    <w:p>
      <w:pPr>
        <w:pStyle w:val="Bibliography"/>
      </w:pPr>
      <w:r>
        <w:t xml:space="preserve">83.</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123"/>
    <w:bookmarkStart w:id="124" w:name="ref-Bertness1994"/>
    <w:p>
      <w:pPr>
        <w:pStyle w:val="Bibliography"/>
      </w:pPr>
      <w:r>
        <w:t xml:space="preserve">84.</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124"/>
    <w:bookmarkStart w:id="125" w:name="ref-Weiss-Lehman2022"/>
    <w:p>
      <w:pPr>
        <w:pStyle w:val="Bibliography"/>
      </w:pPr>
      <w:r>
        <w:t xml:space="preserve">85.</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125"/>
    <w:bookmarkStart w:id="126" w:name="ref-Chevin2017"/>
    <w:p>
      <w:pPr>
        <w:pStyle w:val="Bibliography"/>
      </w:pPr>
      <w:r>
        <w:t xml:space="preserve">86.</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26"/>
    <w:bookmarkStart w:id="127" w:name="ref-Urban2024"/>
    <w:p>
      <w:pPr>
        <w:pStyle w:val="Bibliography"/>
      </w:pPr>
      <w:r>
        <w:t xml:space="preserve">87.</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27"/>
    <w:bookmarkStart w:id="128" w:name="ref-Hoffmann2011"/>
    <w:p>
      <w:pPr>
        <w:pStyle w:val="Bibliography"/>
      </w:pPr>
      <w:r>
        <w:t xml:space="preserve">88.</w:t>
      </w:r>
      <w:r>
        <w:t xml:space="preserve"> </w:t>
      </w:r>
      <w:r>
        <w:t xml:space="preserve">	</w:t>
      </w:r>
      <w:r>
        <w:t xml:space="preserve">Hoffmann, A.A. and Sgrò, C.M. (2011) Climate change and evolutionary adaptation. 470, 479–485</w:t>
      </w:r>
    </w:p>
    <w:bookmarkEnd w:id="128"/>
    <w:bookmarkStart w:id="129" w:name="ref-Hoffmann2022"/>
    <w:p>
      <w:pPr>
        <w:pStyle w:val="Bibliography"/>
      </w:pPr>
      <w:r>
        <w:t xml:space="preserve">89.</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29"/>
    <w:bookmarkStart w:id="130" w:name="ref-Ghalambor2015"/>
    <w:p>
      <w:pPr>
        <w:pStyle w:val="Bibliography"/>
      </w:pPr>
      <w:r>
        <w:t xml:space="preserve">90.</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30"/>
    <w:bookmarkStart w:id="131" w:name="ref-Oostra2018"/>
    <w:p>
      <w:pPr>
        <w:pStyle w:val="Bibliography"/>
      </w:pPr>
      <w:r>
        <w:t xml:space="preserve">91.</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31"/>
    <w:bookmarkStart w:id="132" w:name="ref-Noble2019"/>
    <w:p>
      <w:pPr>
        <w:pStyle w:val="Bibliography"/>
      </w:pPr>
      <w:r>
        <w:t xml:space="preserve">92.</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32"/>
    <w:bookmarkStart w:id="133" w:name="ref-Sousa2010"/>
    <w:p>
      <w:pPr>
        <w:pStyle w:val="Bibliography"/>
      </w:pPr>
      <w:r>
        <w:t xml:space="preserve">93.</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33"/>
    <w:bookmarkStart w:id="134" w:name="ref-Stinchcombe2012"/>
    <w:p>
      <w:pPr>
        <w:pStyle w:val="Bibliography"/>
      </w:pPr>
      <w:r>
        <w:t xml:space="preserve">94.</w:t>
      </w:r>
      <w:r>
        <w:t xml:space="preserve"> </w:t>
      </w:r>
      <w:r>
        <w:t xml:space="preserve">	</w:t>
      </w:r>
      <w:r>
        <w:t xml:space="preserve">Stinchcombe, J.R.</w:t>
      </w:r>
      <w:r>
        <w:t xml:space="preserve"> </w:t>
      </w:r>
      <w:r>
        <w:rPr>
          <w:i/>
          <w:iCs/>
        </w:rPr>
        <w:t xml:space="preserve">et al.</w:t>
      </w:r>
      <w:r>
        <w:t xml:space="preserve"> </w:t>
      </w:r>
      <w:r>
        <w:t xml:space="preserve">(2012) Genetics and evolution of function-valued traits: Understanding environmentally responsive phenotypes.</w:t>
      </w:r>
      <w:r>
        <w:t xml:space="preserve"> </w:t>
      </w:r>
      <w:r>
        <w:rPr>
          <w:i/>
          <w:iCs/>
        </w:rPr>
        <w:t xml:space="preserve">Trends Ecol. Evol.</w:t>
      </w:r>
      <w:r>
        <w:t xml:space="preserve"> </w:t>
      </w:r>
      <w:r>
        <w:t xml:space="preserve">27, 637–647</w:t>
      </w:r>
    </w:p>
    <w:bookmarkEnd w:id="134"/>
    <w:bookmarkStart w:id="135" w:name="ref-Lande1979"/>
    <w:p>
      <w:pPr>
        <w:pStyle w:val="Bibliography"/>
      </w:pPr>
      <w:r>
        <w:t xml:space="preserve">95.</w:t>
      </w:r>
      <w:r>
        <w:t xml:space="preserve"> </w:t>
      </w:r>
      <w:r>
        <w:t xml:space="preserve">	</w:t>
      </w:r>
      <w:r>
        <w:t xml:space="preserve">Lande, R. (1979) Quantitative genetic analysis of multivariate evolution, applied to brain:body size allometry.</w:t>
      </w:r>
      <w:r>
        <w:t xml:space="preserve"> </w:t>
      </w:r>
      <w:r>
        <w:rPr>
          <w:i/>
          <w:iCs/>
        </w:rPr>
        <w:t xml:space="preserve">Evolution</w:t>
      </w:r>
      <w:r>
        <w:t xml:space="preserve"> </w:t>
      </w:r>
      <w:r>
        <w:t xml:space="preserve">33</w:t>
      </w:r>
    </w:p>
    <w:bookmarkEnd w:id="135"/>
    <w:bookmarkStart w:id="136" w:name="ref-Walsh2018"/>
    <w:p>
      <w:pPr>
        <w:pStyle w:val="Bibliography"/>
      </w:pPr>
      <w:r>
        <w:t xml:space="preserve">96.</w:t>
      </w:r>
      <w:r>
        <w:t xml:space="preserve"> </w:t>
      </w:r>
      <w:r>
        <w:t xml:space="preserve">	</w:t>
      </w:r>
      <w:r>
        <w:t xml:space="preserve">Walsh, B. and Lynch, M. (2018)</w:t>
      </w:r>
      <w:r>
        <w:t xml:space="preserve"> </w:t>
      </w:r>
      <w:r>
        <w:rPr>
          <w:i/>
          <w:iCs/>
        </w:rPr>
        <w:t xml:space="preserve">Evolution and selection of quantitative traits</w:t>
      </w:r>
      <w:r>
        <w:t xml:space="preserve">, Oxford University Press</w:t>
      </w:r>
    </w:p>
    <w:bookmarkEnd w:id="136"/>
    <w:bookmarkStart w:id="137" w:name="ref-Youngblood2025"/>
    <w:p>
      <w:pPr>
        <w:pStyle w:val="Bibliography"/>
      </w:pPr>
      <w:r>
        <w:t xml:space="preserve">97.</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p>
    <w:bookmarkEnd w:id="137"/>
    <w:bookmarkStart w:id="138" w:name="ref-Baeza_Icaza2025"/>
    <w:p>
      <w:pPr>
        <w:pStyle w:val="Bibliography"/>
      </w:pPr>
      <w:r>
        <w:t xml:space="preserve">98.</w:t>
      </w:r>
      <w:r>
        <w:t xml:space="preserve"> </w:t>
      </w:r>
      <w:r>
        <w:t xml:space="preserve">	</w:t>
      </w:r>
      <w:r>
        <w:t xml:space="preserve">Baeza Icaza, A.</w:t>
      </w:r>
      <w:r>
        <w:t xml:space="preserve"> </w:t>
      </w:r>
      <w:r>
        <w:rPr>
          <w:i/>
          <w:iCs/>
        </w:rPr>
        <w:t xml:space="preserve">et al.</w:t>
      </w:r>
      <w:r>
        <w:t xml:space="preserve"> </w:t>
      </w:r>
      <w:r>
        <w:t xml:space="preserve">(2025) Warm acclimation reduces the sensitivity of drosophila species to heat stress at ecologically relevant scales.</w:t>
      </w:r>
      <w:r>
        <w:t xml:space="preserve"> </w:t>
      </w:r>
      <w:r>
        <w:rPr>
          <w:i/>
          <w:iCs/>
        </w:rPr>
        <w:t xml:space="preserve">J. Anim. Ecol.</w:t>
      </w:r>
      <w:r>
        <w:t xml:space="preserve"> </w:t>
      </w:r>
      <w:r>
        <w:t xml:space="preserve">94, 896–907</w:t>
      </w:r>
    </w:p>
    <w:bookmarkEnd w:id="138"/>
    <w:bookmarkStart w:id="139" w:name="ref-Kearney2009a"/>
    <w:p>
      <w:pPr>
        <w:pStyle w:val="Bibliography"/>
      </w:pPr>
      <w:r>
        <w:t xml:space="preserve">99.</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39"/>
    <w:bookmarkStart w:id="140" w:name="ref-Ellner2011"/>
    <w:p>
      <w:pPr>
        <w:pStyle w:val="Bibliography"/>
      </w:pPr>
      <w:r>
        <w:t xml:space="preserve">100.</w:t>
      </w:r>
      <w:r>
        <w:t xml:space="preserve"> </w:t>
      </w:r>
      <w:r>
        <w:t xml:space="preserve">	</w:t>
      </w:r>
      <w:r>
        <w:t xml:space="preserve">Ellner, S.P.</w:t>
      </w:r>
      <w:r>
        <w:t xml:space="preserve"> </w:t>
      </w:r>
      <w:r>
        <w:rPr>
          <w:i/>
          <w:iCs/>
        </w:rPr>
        <w:t xml:space="preserve">et al.</w:t>
      </w:r>
      <w:r>
        <w:t xml:space="preserve"> </w:t>
      </w:r>
      <w:r>
        <w:t xml:space="preserve">(2011) Does rapid evolution matter? Measuring the rate of contemporary evolution and its impacts on ecological dynamics: How much does rapid evolution matter?</w:t>
      </w:r>
      <w:r>
        <w:t xml:space="preserve"> </w:t>
      </w:r>
      <w:r>
        <w:rPr>
          <w:i/>
          <w:iCs/>
        </w:rPr>
        <w:t xml:space="preserve">Ecol. Lett.</w:t>
      </w:r>
      <w:r>
        <w:t xml:space="preserve"> </w:t>
      </w:r>
      <w:r>
        <w:t xml:space="preserve">14, 603–614</w:t>
      </w:r>
    </w:p>
    <w:bookmarkEnd w:id="140"/>
    <w:bookmarkStart w:id="141" w:name="ref-Pottier2022a"/>
    <w:p>
      <w:pPr>
        <w:pStyle w:val="Bibliography"/>
      </w:pPr>
      <w:r>
        <w:t xml:space="preserve">101.</w:t>
      </w:r>
      <w:r>
        <w:t xml:space="preserve"> </w:t>
      </w:r>
      <w:r>
        <w:t xml:space="preserve">	</w:t>
      </w:r>
      <w:r>
        <w:t xml:space="preserve">Pottier, P.</w:t>
      </w:r>
      <w:r>
        <w:t xml:space="preserve"> </w:t>
      </w:r>
      <w:r>
        <w:rPr>
          <w:i/>
          <w:iCs/>
        </w:rPr>
        <w:t xml:space="preserve">et al.</w:t>
      </w:r>
      <w:r>
        <w:t xml:space="preserve"> </w:t>
      </w:r>
      <w:r>
        <w:t xml:space="preserve">(2022) Developmental plasticity in thermal tolerance: Ontogenetic variation, persistence, and future directions.</w:t>
      </w:r>
      <w:r>
        <w:t xml:space="preserve"> </w:t>
      </w:r>
      <w:r>
        <w:rPr>
          <w:i/>
          <w:iCs/>
        </w:rPr>
        <w:t xml:space="preserve">Ecol. Lett.</w:t>
      </w:r>
      <w:r>
        <w:t xml:space="preserve"> </w:t>
      </w:r>
      <w:r>
        <w:t xml:space="preserve">25, 2245–2268</w:t>
      </w:r>
    </w:p>
    <w:bookmarkEnd w:id="141"/>
    <w:bookmarkStart w:id="142" w:name="ref-Leiva2024b"/>
    <w:p>
      <w:pPr>
        <w:pStyle w:val="Bibliography"/>
      </w:pPr>
      <w:r>
        <w:t xml:space="preserve">102.</w:t>
      </w:r>
      <w:r>
        <w:t xml:space="preserve"> </w:t>
      </w:r>
      <w:r>
        <w:t xml:space="preserve">	</w:t>
      </w:r>
      <w:r>
        <w:t xml:space="preserve">Leiva, F.P.</w:t>
      </w:r>
      <w:r>
        <w:t xml:space="preserve"> </w:t>
      </w:r>
      <w:r>
        <w:rPr>
          <w:i/>
          <w:iCs/>
        </w:rPr>
        <w:t xml:space="preserve">et al.</w:t>
      </w:r>
      <w:r>
        <w:t xml:space="preserve"> </w:t>
      </w:r>
      <w:r>
        <w:t xml:space="preserve">(2024) Genetic variation of heat tolerance in a model ectotherm: An approach using thermal death time curves</w:t>
      </w:r>
    </w:p>
    <w:bookmarkEnd w:id="142"/>
    <w:bookmarkStart w:id="143" w:name="ref-Assessment_undated-fv"/>
    <w:p>
      <w:pPr>
        <w:pStyle w:val="Bibliography"/>
      </w:pPr>
      <w:r>
        <w:t xml:space="preserve">103.</w:t>
      </w:r>
      <w:r>
        <w:t xml:space="preserve"> </w:t>
      </w:r>
      <w:r>
        <w:t xml:space="preserve">	</w:t>
      </w:r>
      <w:r>
        <w:t xml:space="preserve">Assessment, M.E. (2005) Opportunities and challenges for business and industryunioviedo.es</w:t>
      </w:r>
    </w:p>
    <w:bookmarkEnd w:id="143"/>
    <w:bookmarkStart w:id="144" w:name="ref-Dandy2019"/>
    <w:p>
      <w:pPr>
        <w:pStyle w:val="Bibliography"/>
      </w:pPr>
      <w:r>
        <w:t xml:space="preserve">104.</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44"/>
    <w:bookmarkStart w:id="145" w:name="ref-Price2014"/>
    <w:p>
      <w:pPr>
        <w:pStyle w:val="Bibliography"/>
      </w:pPr>
      <w:r>
        <w:t xml:space="preserve">105.</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45"/>
    <w:bookmarkStart w:id="146" w:name="ref-Leviston2018"/>
    <w:p>
      <w:pPr>
        <w:pStyle w:val="Bibliography"/>
      </w:pPr>
      <w:r>
        <w:t xml:space="preserve">106.</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46"/>
    <w:bookmarkStart w:id="147" w:name="ref-Bai2016"/>
    <w:p>
      <w:pPr>
        <w:pStyle w:val="Bibliography"/>
      </w:pPr>
      <w:r>
        <w:t xml:space="preserve">107.</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47"/>
    <w:bookmarkStart w:id="148" w:name="ref-Grimm2008"/>
    <w:p>
      <w:pPr>
        <w:pStyle w:val="Bibliography"/>
      </w:pPr>
      <w:r>
        <w:t xml:space="preserve">108.</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48"/>
    <w:bookmarkStart w:id="149" w:name="ref-Hendricks2022"/>
    <w:p>
      <w:pPr>
        <w:pStyle w:val="Bibliography"/>
      </w:pPr>
      <w:r>
        <w:t xml:space="preserve">109.</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49"/>
    <w:bookmarkStart w:id="150" w:name="ref-Sutanto2020"/>
    <w:p>
      <w:pPr>
        <w:pStyle w:val="Bibliography"/>
      </w:pPr>
      <w:r>
        <w:t xml:space="preserve">110.</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50"/>
    <w:bookmarkStart w:id="151" w:name="ref-Liu2007"/>
    <w:p>
      <w:pPr>
        <w:pStyle w:val="Bibliography"/>
      </w:pPr>
      <w:r>
        <w:t xml:space="preserve">111.</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51"/>
    <w:bookmarkStart w:id="152" w:name="ref-Black2011"/>
    <w:p>
      <w:pPr>
        <w:pStyle w:val="Bibliography"/>
      </w:pPr>
      <w:r>
        <w:t xml:space="preserve">112.</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52"/>
    <w:bookmarkStart w:id="153" w:name="ref-Neil_Adger1999"/>
    <w:p>
      <w:pPr>
        <w:pStyle w:val="Bibliography"/>
      </w:pPr>
      <w:r>
        <w:t xml:space="preserve">113.</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53"/>
    <w:bookmarkStart w:id="154" w:name="ref-Folke2016"/>
    <w:p>
      <w:pPr>
        <w:pStyle w:val="Bibliography"/>
      </w:pPr>
      <w:r>
        <w:t xml:space="preserve">114.</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54"/>
    <w:bookmarkStart w:id="155" w:name="ref-Schluter2012"/>
    <w:p>
      <w:pPr>
        <w:pStyle w:val="Bibliography"/>
      </w:pPr>
      <w:r>
        <w:t xml:space="preserve">115.</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55"/>
    <w:bookmarkStart w:id="156" w:name="ref-Wise2014"/>
    <w:p>
      <w:pPr>
        <w:pStyle w:val="Bibliography"/>
      </w:pPr>
      <w:r>
        <w:t xml:space="preserve">116.</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56"/>
    <w:bookmarkStart w:id="157" w:name="ref-Biggs2021"/>
    <w:p>
      <w:pPr>
        <w:pStyle w:val="Bibliography"/>
      </w:pPr>
      <w:r>
        <w:t xml:space="preserve">117.</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57"/>
    <w:bookmarkStart w:id="158" w:name="ref-Brown2021"/>
    <w:p>
      <w:pPr>
        <w:pStyle w:val="Bibliography"/>
      </w:pPr>
      <w:r>
        <w:t xml:space="preserve">118.</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58"/>
    <w:bookmarkStart w:id="159" w:name="ref-Kwakkel2013"/>
    <w:p>
      <w:pPr>
        <w:pStyle w:val="Bibliography"/>
      </w:pPr>
      <w:r>
        <w:t xml:space="preserve">119.</w:t>
      </w:r>
      <w:r>
        <w:t xml:space="preserve"> </w:t>
      </w:r>
      <w:r>
        <w:t xml:space="preserve">	</w:t>
      </w:r>
      <w:r>
        <w:t xml:space="preserve">Kwakkel, J.H. and Pruyt, E. (2013) Exploratory modeling and analysis, an approach for model-based foresight under deep uncertainty.</w:t>
      </w:r>
      <w:r>
        <w:t xml:space="preserve"> </w:t>
      </w:r>
      <w:r>
        <w:rPr>
          <w:i/>
          <w:iCs/>
        </w:rPr>
        <w:t xml:space="preserve">Technol. Forecast. Soc. Change</w:t>
      </w:r>
      <w:r>
        <w:t xml:space="preserve"> </w:t>
      </w:r>
      <w:r>
        <w:t xml:space="preserve">80, 419–431</w:t>
      </w:r>
    </w:p>
    <w:bookmarkEnd w:id="159"/>
    <w:bookmarkEnd w:id="160"/>
    <w:p>
      <w:pPr>
        <w:pStyle w:val="BodyText"/>
      </w:pPr>
    </w:p>
    <w:bookmarkEnd w:id="161"/>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8"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28"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2025-05-15T04:42:51Z</dcterms:created>
  <dcterms:modified xsi:type="dcterms:W3CDTF">2025-05-15T04:42:51Z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