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407E3" w14:textId="77777777" w:rsidR="008F6E95" w:rsidRDefault="00000000">
      <w:pPr>
        <w:pStyle w:val="Title"/>
      </w:pPr>
      <w:r>
        <w:t>A systems-modelling approach to predict biological responses to extreme heat</w:t>
      </w:r>
    </w:p>
    <w:p w14:paraId="466F6B40" w14:textId="77777777" w:rsidR="008F6E95"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1</w:t>
      </w:r>
      <w:r>
        <w:t xml:space="preserve"> </w:t>
      </w:r>
      <m:oMath>
        <m:r>
          <m:rPr>
            <m:sty m:val="p"/>
          </m:rPr>
          <w:rPr>
            <w:rFonts w:ascii="Cambria Math" w:hAnsi="Cambria Math"/>
          </w:rPr>
          <m:t>†</m:t>
        </m:r>
      </m:oMath>
      <w:r>
        <w:t>, Zhong-Hua Chen</w:t>
      </w:r>
      <w:r>
        <w:rPr>
          <w:vertAlign w:val="superscript"/>
        </w:rPr>
        <w:t>3</w:t>
      </w:r>
      <w:r>
        <w:t xml:space="preserve"> </w:t>
      </w:r>
      <m:oMath>
        <m:r>
          <m:rPr>
            <m:sty m:val="p"/>
          </m:rPr>
          <w:rPr>
            <w:rFonts w:ascii="Cambria Math" w:hAnsi="Cambria Math"/>
          </w:rPr>
          <m:t>†</m:t>
        </m:r>
      </m:oMath>
      <w:r>
        <w:t>, Steven Lade</w:t>
      </w:r>
      <w:r>
        <w:rPr>
          <w:vertAlign w:val="superscript"/>
        </w:rPr>
        <w:t>5</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4</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Adrienne Nicotra</w:t>
      </w:r>
      <w:r>
        <w:rPr>
          <w:vertAlign w:val="superscript"/>
        </w:rPr>
        <w:t>1,4</w:t>
      </w:r>
      <w:r>
        <w:t xml:space="preserve"> </w:t>
      </w:r>
      <m:oMath>
        <m:r>
          <m:rPr>
            <m:sty m:val="p"/>
          </m:rPr>
          <w:rPr>
            <w:rFonts w:ascii="Cambria Math" w:hAnsi="Cambria Math"/>
          </w:rPr>
          <m:t>†</m:t>
        </m:r>
      </m:oMath>
      <w:r>
        <w:t>, James Cook</w:t>
      </w:r>
      <w:r>
        <w:rPr>
          <w:vertAlign w:val="superscript"/>
        </w:rPr>
        <w:t>3</w:t>
      </w:r>
      <w:r>
        <w:t>, Brajesh Singh</w:t>
      </w:r>
      <w:r>
        <w:rPr>
          <w:vertAlign w:val="superscript"/>
        </w:rPr>
        <w:t>3</w:t>
      </w:r>
      <w:r>
        <w:t>, Brendan Choat</w:t>
      </w:r>
      <w:r>
        <w:rPr>
          <w:vertAlign w:val="superscript"/>
        </w:rPr>
        <w:t>3</w:t>
      </w:r>
      <w:r>
        <w:t>, Owen Atkin</w:t>
      </w:r>
      <w:r>
        <w:rPr>
          <w:vertAlign w:val="superscript"/>
        </w:rPr>
        <w:t>4</w:t>
      </w:r>
      <w:r>
        <w:t>, Barry Pogson</w:t>
      </w:r>
      <w:r>
        <w:rPr>
          <w:vertAlign w:val="superscript"/>
        </w:rPr>
        <w:t>4</w:t>
      </w:r>
      <w:r>
        <w:t>, Alison Bentley</w:t>
      </w:r>
      <w:r>
        <w:rPr>
          <w:vertAlign w:val="superscript"/>
        </w:rPr>
        <w:t>4</w:t>
      </w:r>
      <w:r>
        <w:t>, Ian Wright</w:t>
      </w:r>
      <w:r>
        <w:rPr>
          <w:vertAlign w:val="superscript"/>
        </w:rPr>
        <w:t>3</w:t>
      </w:r>
      <w:r>
        <w:t>, Micheal R. Kearney</w:t>
      </w:r>
      <w:r>
        <w:rPr>
          <w:vertAlign w:val="superscript"/>
        </w:rPr>
        <w:t>2</w:t>
      </w:r>
      <w:r>
        <w:t xml:space="preserve"> </w:t>
      </w:r>
      <m:oMath>
        <m:r>
          <m:rPr>
            <m:sty m:val="p"/>
          </m:rPr>
          <w:rPr>
            <w:rFonts w:ascii="Cambria Math" w:hAnsi="Cambria Math"/>
          </w:rPr>
          <m:t>‡</m:t>
        </m:r>
      </m:oMath>
    </w:p>
    <w:p w14:paraId="3B7263A5" w14:textId="77777777" w:rsidR="008F6E95" w:rsidRDefault="00000000">
      <w:pPr>
        <w:pStyle w:val="BodyText"/>
      </w:pPr>
      <w:r>
        <w:rPr>
          <w:b/>
          <w:bCs/>
        </w:rPr>
        <w:t>Affiliations</w:t>
      </w:r>
      <w:r>
        <w:t>:</w:t>
      </w:r>
    </w:p>
    <w:p w14:paraId="2E659246" w14:textId="77777777" w:rsidR="008F6E95" w:rsidRDefault="00000000">
      <w:pPr>
        <w:pStyle w:val="BodyText"/>
      </w:pPr>
      <w:r>
        <w:rPr>
          <w:vertAlign w:val="superscript"/>
        </w:rPr>
        <w:t>1</w:t>
      </w:r>
      <w:r>
        <w:t xml:space="preserve"> Division of Ecology and Evolution, Research School of Biology, The Australian National University, Canberra ACT 2602, Australia  </w:t>
      </w:r>
      <w:r>
        <w:br/>
      </w:r>
      <w:r>
        <w:rPr>
          <w:vertAlign w:val="superscript"/>
        </w:rPr>
        <w:t>2</w:t>
      </w:r>
      <w:r>
        <w:t xml:space="preserve"> School of Biosciences, The University of Melbourne, Australia  </w:t>
      </w:r>
      <w:r>
        <w:rPr>
          <w:vertAlign w:val="superscript"/>
        </w:rPr>
        <w:t>3</w:t>
      </w:r>
      <w:r>
        <w:t xml:space="preserve"> Hawksbury Institute for the Environment, Western Sydney University, Australia</w:t>
      </w:r>
      <w:r>
        <w:br/>
      </w:r>
      <w:r>
        <w:rPr>
          <w:vertAlign w:val="superscript"/>
        </w:rPr>
        <w:t>4</w:t>
      </w:r>
      <w:r>
        <w:t xml:space="preserve"> Division of Plant Sciences, Research School of Biology, The Australian National University, Canberra ACT 2602, Australia</w:t>
      </w:r>
      <w:r>
        <w:br/>
      </w:r>
      <w:r>
        <w:rPr>
          <w:vertAlign w:val="superscript"/>
        </w:rPr>
        <w:t>5</w:t>
      </w:r>
      <w:r>
        <w:t xml:space="preserve"> Fenner School of Environment and Society, The Australian National University, Canberra ACT 2602, Australia </w:t>
      </w:r>
    </w:p>
    <w:p w14:paraId="09A95F66" w14:textId="77777777" w:rsidR="008F6E95" w:rsidRDefault="00000000">
      <w:pPr>
        <w:pStyle w:val="BodyText"/>
      </w:pPr>
      <w:r>
        <w:rPr>
          <w:vertAlign w:val="superscript"/>
        </w:rPr>
        <w:t>1</w:t>
      </w:r>
      <w:r>
        <w:t xml:space="preserve"> </w:t>
      </w:r>
      <m:oMath>
        <m:r>
          <m:rPr>
            <m:sty m:val="p"/>
          </m:rPr>
          <w:rPr>
            <w:rFonts w:ascii="Cambria Math" w:hAnsi="Cambria Math"/>
          </w:rPr>
          <m:t>‡</m:t>
        </m:r>
      </m:oMath>
      <w:r>
        <w:t xml:space="preserve"> Correspondance: daniel.noble@anu.edu.au &amp; m.kearney@unimelb.edu.au</w:t>
      </w:r>
      <w:r>
        <w:br/>
      </w:r>
      <m:oMath>
        <m:r>
          <m:rPr>
            <m:sty m:val="p"/>
          </m:rPr>
          <w:rPr>
            <w:rFonts w:ascii="Cambria Math" w:hAnsi="Cambria Math"/>
          </w:rPr>
          <m:t>†</m:t>
        </m:r>
      </m:oMath>
      <w:r>
        <w:t xml:space="preserve"> These authors contributed equally to this work.</w:t>
      </w:r>
    </w:p>
    <w:p w14:paraId="41BD88F9" w14:textId="77777777" w:rsidR="008F6E95" w:rsidRDefault="00000000">
      <w:pPr>
        <w:pStyle w:val="Heading1"/>
      </w:pPr>
      <w:bookmarkStart w:id="0" w:name="abstract-dan"/>
      <w:r>
        <w:t>Abstract (Dan)</w:t>
      </w:r>
    </w:p>
    <w:p w14:paraId="1F3C85C9" w14:textId="77777777" w:rsidR="008F6E95" w:rsidRDefault="00000000">
      <w:pPr>
        <w:pStyle w:val="FirstParagraph"/>
      </w:pPr>
      <w:r>
        <w:t>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p w14:paraId="6FE534E0" w14:textId="77777777" w:rsidR="008F6E95" w:rsidRDefault="00000000">
      <w:pPr>
        <w:pStyle w:val="Heading1"/>
      </w:pPr>
      <w:bookmarkStart w:id="1" w:name="X34830df71e149b35ac0b6fcbe8f39884d8c43ee"/>
      <w:bookmarkEnd w:id="0"/>
      <w:r>
        <w:t>A need for a mechanistically informed modelling framework for interpreting and predicting the effects of extreme heat on community assemblages (Dan)</w:t>
      </w:r>
    </w:p>
    <w:p w14:paraId="472A72CE" w14:textId="77777777" w:rsidR="008F6E95" w:rsidRDefault="00000000">
      <w:pPr>
        <w:pStyle w:val="FirstParagraph"/>
      </w:pPr>
      <w:r>
        <w:t xml:space="preserve">Climate change is leading to warmer and more variable thermal environments globally [1,2]. Greater thermal variability will result in organisms experiencing extreme heat waves that result in thermal stress that impacts organismal growth, survival and reproduction with cascading effects on population dynamics, community composition and ecosystem structure and function [3,4]. Climate variability has already been linked to dramatic declines in plant and animal performance, resulting in reduced pollinator abundance [5] and in crop yields globally [6–8], but the causes underlying such declines, and their ramifications through communities, are not fully understood. The impacts of extreme heat on species and communities are driven by a combination of direct effects of heat stress on organism physiology and fitness [9–12] and indirect effects on interactions (both positive and negative) among species [e.g., 13,14] – including the microbial communities many species rely upon [15]. Understanding the dynamic interplay between direct and indirect interactions, and how these are mediated by environmental factors, has been hampered by the complexity of community </w:t>
      </w:r>
      <w:r>
        <w:lastRenderedPageBreak/>
        <w:t>interactions and the lack of an integrated modelling framework that can translate short-term physiological damage into changes in fitness and population growth across species [15].</w:t>
      </w:r>
    </w:p>
    <w:p w14:paraId="42832539" w14:textId="77777777" w:rsidR="008F6E95" w:rsidRDefault="00000000">
      <w:pPr>
        <w:pStyle w:val="BodyText"/>
      </w:pPr>
      <w:r>
        <w:t>Predicting how extreme heat impacts population dynamics and community interactions requires the coupling of biophysical, physiological, population and community ecology models.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communities [16–20]. Physiological models that incorporate estimates of thermal sensitivity across species can capture the delicate balance between damage and repair in physiological systems [11,12,21] 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 [22,23].</w:t>
      </w:r>
    </w:p>
    <w:p w14:paraId="3C37D41F" w14:textId="77777777" w:rsidR="008F6E95" w:rsidRDefault="00000000">
      <w:pPr>
        <w:pStyle w:val="BodyText"/>
      </w:pPr>
      <w:r>
        <w:t>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 ‘extreme heat’ can take on a different meaning for these diverse organisms. For example, plants and animals have different thermal tolerances or can exploit microthermal environments in different ways to dampen the effects of extreme atmospheric heat events. As such, ‘extreme’ will be relative to the biology of the organism in question. Our framework can capture these complexities and be extended to incorporate other, diverse interactions. We highlight the immense opportunities such an integration may provide through a greater understanding of the ways in which extreme heat stress manifests across species. Such an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p w14:paraId="44D18FFD" w14:textId="77777777" w:rsidR="008F6E95" w:rsidRDefault="00000000">
      <w:pPr>
        <w:pStyle w:val="Heading1"/>
      </w:pPr>
      <w:bookmarkStart w:id="2" w:name="X2b97b971c201f11017c10c1d6e4dbfd69043166"/>
      <w:bookmarkEnd w:id="1"/>
      <w:r>
        <w:t>A systems-modelling approach to modelling biotic impacts of heatwaves</w:t>
      </w:r>
    </w:p>
    <w:p w14:paraId="368DB7E0" w14:textId="77777777" w:rsidR="008F6E95" w:rsidRDefault="00000000">
      <w:pPr>
        <w:pStyle w:val="FirstParagraph"/>
      </w:pPr>
      <w:r>
        <w:t>We propose a systems-modelling approach to model biotic impacts of heatwaves (</w:t>
      </w:r>
      <w:hyperlink w:anchor="fig-sys">
        <w:r>
          <w:rPr>
            <w:rStyle w:val="Hyperlink"/>
          </w:rPr>
          <w:t>Figure 1</w:t>
        </w:r>
      </w:hyperlink>
      <w:r>
        <w:t xml:space="preserve">), scaling from the level of the atmosphere to microclimate, and from individuals to populations and communities. Ultimately, the impacts of extreme heat events on a community are driven by responses of individuals. Therefore, to understand extreme heat impacts on a community of organisms, we must characterize the proximal thermal environments – the ‘microclimates’ –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 In the next sections, we outline new developments that enable us to model all the components in </w:t>
      </w:r>
      <w:hyperlink w:anchor="fig-sys">
        <w:r>
          <w:rPr>
            <w:rStyle w:val="Hyperlink"/>
          </w:rPr>
          <w:t>Figure 1</w:t>
        </w:r>
      </w:hyperlink>
      <w:r>
        <w:t xml:space="preserve"> such that a truly systems-based approach to modelling biotic impacts of heatwaves is now possible.</w:t>
      </w:r>
    </w:p>
    <w:tbl>
      <w:tblPr>
        <w:tblStyle w:val="Table"/>
        <w:tblW w:w="5000" w:type="pct"/>
        <w:tblLayout w:type="fixed"/>
        <w:tblLook w:val="0000" w:firstRow="0" w:lastRow="0" w:firstColumn="0" w:lastColumn="0" w:noHBand="0" w:noVBand="0"/>
      </w:tblPr>
      <w:tblGrid>
        <w:gridCol w:w="10538"/>
      </w:tblGrid>
      <w:tr w:rsidR="008F6E95" w14:paraId="6F708064" w14:textId="77777777">
        <w:tc>
          <w:tcPr>
            <w:tcW w:w="7920" w:type="dxa"/>
          </w:tcPr>
          <w:p w14:paraId="75D3D37B" w14:textId="77777777" w:rsidR="008F6E95" w:rsidRDefault="00000000">
            <w:pPr>
              <w:pStyle w:val="Compact"/>
              <w:jc w:val="center"/>
            </w:pPr>
            <w:bookmarkStart w:id="3" w:name="fig-sys"/>
            <w:r>
              <w:rPr>
                <w:noProof/>
              </w:rPr>
              <w:lastRenderedPageBreak/>
              <w:drawing>
                <wp:inline distT="0" distB="0" distL="0" distR="0" wp14:anchorId="2600F760" wp14:editId="0E1ED9BF">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5A64FDFC" w14:textId="77777777" w:rsidR="008F6E95" w:rsidRDefault="00000000">
            <w:pPr>
              <w:pStyle w:val="ImageCaption"/>
              <w:spacing w:before="200"/>
            </w:pPr>
            <w:r>
              <w:t>Figure 1- The proposed modelling integration developed here integrates (1) climate/biophysical models to predict the temperatures species experience in their respective microhabitats. (2) Temperatures experienced by organisms provide inputs for damage-repair and dynamic energy budget models that integrate temperature exposure with explicit physiological models that simulate development, behavior, survival and reproduction in response to temperature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We discuss how (4) environment-mediated feedbacks influence organism thermal exposure and sensitivity (e.g., water availability, microbiota) which can vary across different life stages and organs. The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w:t>
            </w:r>
          </w:p>
        </w:tc>
        <w:bookmarkEnd w:id="3"/>
      </w:tr>
    </w:tbl>
    <w:p w14:paraId="49FA5FFC" w14:textId="77777777" w:rsidR="008F6E95" w:rsidRDefault="00000000">
      <w:pPr>
        <w:pStyle w:val="Heading1"/>
      </w:pPr>
      <w:bookmarkStart w:id="4" w:name="Xbb8a3512749f7fb1c67948ca8a2ad003fcd6253"/>
      <w:bookmarkEnd w:id="2"/>
      <w:r>
        <w:lastRenderedPageBreak/>
        <w:t>The current climate of extreme weather modelling</w:t>
      </w:r>
    </w:p>
    <w:p w14:paraId="2541105A" w14:textId="77777777" w:rsidR="008F6E95" w:rsidRDefault="00000000">
      <w:pPr>
        <w:pStyle w:val="FirstParagraph"/>
      </w:pPr>
      <w:r>
        <w:t>An understanding of heatwave impacts on biology requires environmental inputs about weather conditions. These data may come from weather stations or models. Weather station observations of air temperature, radiation, wind speed, cloud cover and humidity are readily available as raw timeseries from the stations themselves, and as interpolated products such as WorldClim [24].</w:t>
      </w:r>
    </w:p>
    <w:p w14:paraId="4C1D2350" w14:textId="77777777" w:rsidR="008F6E95" w:rsidRDefault="00000000">
      <w:pPr>
        <w:pStyle w:val="BodyText"/>
      </w:pPr>
      <w:r>
        <w:t>Weather stations can of course only tell us about past heat wave events.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w:t>
      </w:r>
      <w:r>
        <w:rPr>
          <w:b/>
          <w:bCs/>
        </w:rPr>
        <w:t>Belinda – add something more here?</w:t>
      </w:r>
      <w:r>
        <w:t>).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ERA5 and ERA5-Land, hourly products at ~31km and ~9km resolutions, respectively.</w:t>
      </w:r>
    </w:p>
    <w:p w14:paraId="14E08D01" w14:textId="77777777" w:rsidR="008F6E95" w:rsidRDefault="00000000">
      <w:pPr>
        <w:pStyle w:val="BodyText"/>
      </w:pPr>
      <w:r>
        <w: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and easier integration of the massive emerging power of AI for data assimilation and machine learning [31]. The translation of GCMs and associated land-surface models into more accessible and modular languages opens up new opportunities for collaboration between biologists and earth scientists to better integrate the processes in the atmosphere and the biosphere to generate better predictions of weather events and their biological impacts.</w:t>
      </w:r>
    </w:p>
    <w:p w14:paraId="058E2A25" w14:textId="77777777" w:rsidR="008F6E95" w:rsidRDefault="00000000">
      <w:pPr>
        <w:pStyle w:val="Heading1"/>
      </w:pPr>
      <w:bookmarkStart w:id="5" w:name="X4da05dea4acdb2054c1e59c2f12913febac8a0c"/>
      <w:bookmarkEnd w:id="4"/>
      <w:r>
        <w:t>From weather to microclimates: predicting community wide exposure to extreme heat</w:t>
      </w:r>
    </w:p>
    <w:p w14:paraId="39F38B8F" w14:textId="77777777" w:rsidR="008F6E95" w:rsidRDefault="00000000">
      <w:pPr>
        <w:pStyle w:val="FirstParagraph"/>
      </w:pPr>
      <w:r>
        <w:t>Extreme weather events are experienced differently across species in a community. For example, while air temperature may be 50°C, an organism a metre below the soil surface may be 25°C cooler (</w:t>
      </w:r>
      <w:hyperlink w:anchor="fig-sys">
        <w:r>
          <w:rPr>
            <w:rStyle w:val="Hyperlink"/>
          </w:rPr>
          <w:t>Figure 1</w:t>
        </w:r>
      </w:hyperlink>
      <w:r>
        <w:t>).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may have led to leaf loss and hence increased radiation exposure of the soil surface, while stomatal behavior alters transpiration and hence soil moisture conditions. Strong ‘memory’ effects of past weather conditions can determine how a given heat wave manifests through a habitat, so the same atmospheric heat wave conditions can have different implications for microclimatic conditions depending on the recent history of rainfall and temperature. Despite the complexity and non-linearity of these interactions across the soil-plant-atmosphere continuum (SPAC), there is existing capacity, and growing potential, to model them and determine individual-specific exposure to extreme heat.</w:t>
      </w:r>
    </w:p>
    <w:p w14:paraId="4F3DB6AE" w14:textId="77777777" w:rsidR="008F6E95" w:rsidRDefault="00000000">
      <w:pPr>
        <w:pStyle w:val="BodyText"/>
      </w:pPr>
      <w:r>
        <w:t>To some extent, the GCMs described in the previous section have these dynamics built into them via modules called ‘land-surface models’ (LSMs), which aim to capture feedbacks between the land surface and associated vegetation. These LSMs will at minimum represent air, soil and canopy temperatures. LSMs that represent the plant canopy with multiple layers will represent the change in leaf temperature with canopy depth; models may also represent thermal gradients through the soil. Land surface schemes will typically do this using energy balance approaches. In contrast dynamic vegetation models may use simpler empirical regression approaches to estimate soil and understory temperatures [e.g. 32].</w:t>
      </w:r>
    </w:p>
    <w:p w14:paraId="0D9600DD" w14:textId="77777777" w:rsidR="008F6E95" w:rsidRDefault="00000000">
      <w:pPr>
        <w:pStyle w:val="BodyText"/>
      </w:pPr>
      <w:r>
        <w:lastRenderedPageBreak/>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[leaf/plant-area index, leaf area index (LAI) and soil properties (thermal and hydraulic properties)] to predict how radiation, wind speed, air temperature, humidity, soil temperature and soil moisture vary on centimeter scales. The available models vary in the processes they incorporate and the extent that they use physical first principles [33–39]. Our </w:t>
      </w:r>
      <w:hyperlink r:id="rId6">
        <w:r>
          <w:rPr>
            <w:rStyle w:val="Hyperlink"/>
            <w:i/>
            <w:iCs/>
          </w:rPr>
          <w:t>Supplementary Online Material</w:t>
        </w:r>
      </w:hyperlink>
      <w:r>
        <w:t xml:space="preserve"> provides a tutorial on how to use the </w:t>
      </w:r>
      <w:r>
        <w:rPr>
          <w:i/>
          <w:iCs/>
        </w:rPr>
        <w:t>NicheMapR</w:t>
      </w:r>
      <w:r>
        <w:t xml:space="preserve"> model [33,35] to predict microclimates from climate data.</w:t>
      </w:r>
    </w:p>
    <w:p w14:paraId="4EABD4FB" w14:textId="77777777" w:rsidR="008F6E95" w:rsidRDefault="00000000">
      <w:pPr>
        <w:pStyle w:val="BodyText"/>
      </w:pPr>
      <w:r>
        <w:t>The above advanced create opportunities to more closely couple the dynamics of the atmosphere and vegetation with microclimate models. In particular, plant water use dynamics during heatwaves can amplify or reduce high temperatures via effects on photosynthetic capacity, stomatal decoupling, cuticular conductance, leaf damage and plant mortality. These impacts obviously are important for the plants themselves, but also for thermal regimes within the plant canopy. Thus, forecasting future thermal regimes also involves forecasting future vegetation dynamics, with interesting challenges that include interactions between high LAI and canopy shading [40].</w:t>
      </w:r>
    </w:p>
    <w:p w14:paraId="311691F4" w14:textId="77777777" w:rsidR="008F6E95" w:rsidRDefault="00000000">
      <w:pPr>
        <w:pStyle w:val="Heading1"/>
      </w:pPr>
      <w:bookmarkStart w:id="6" w:name="X5a6e6d313f4187bfc77082e5e5979262b26b081"/>
      <w:bookmarkEnd w:id="5"/>
      <w:r>
        <w:t>Translating exposure to organism temperature: biophysics to the rescue!</w:t>
      </w:r>
    </w:p>
    <w:p w14:paraId="49E9FF47" w14:textId="77777777" w:rsidR="008F6E95" w:rsidRDefault="00000000">
      <w:pPr>
        <w:pStyle w:val="FirstParagraph"/>
      </w:pPr>
      <w:r>
        <w:t>Once microclimates are quantified, it is now straight-forward to compute heat-budgets of organisms as a function of their traits using the principles of biophysical ecology. Biophysical models have a long history [e.g. 41,42] but have become more widely applied in ecology in the past 20 years, facilitated by developments in environmental datasets, microclimate modelling, and the emergence of high-level programming languages such as R [20]. Biophysical models of ectothermic animals can account for complex radiative heat transfer and the role of evaporative water loss from the skin, breath and eyes [33,43]. Equivalent models of leaves incorporate the dynamic role of stomata [19,44], while models of endotherms can account for the role of insulation and metabolic heat production [45]. Future development in biophysical modelling of organismal temperature under extreme heat involves understanding the nuances of plastic physiological and behavioral responses. For example, lizards may pant when exposed to high temperatures [46], birds may ‘wind surf’ or seek thermal micro-refugia [47], and stomatal behavior may depart from the typical responses to vapor pressure and light intensity to allow emergency cooling [48], though this response may depend on prior soil moisture conditions [49]. The application of biophysical heat budget models in concert with microclimate models can thus be used to infer differential exposure of members of a community to specific temperatures to predict relative exposure with different degrees of detail, from rank-order stress exposure to hourly trajectories that can be linked to physiological models of damage and repair.</w:t>
      </w:r>
    </w:p>
    <w:p w14:paraId="30F32521" w14:textId="77777777" w:rsidR="008F6E95" w:rsidRDefault="00000000">
      <w:pPr>
        <w:pStyle w:val="Heading1"/>
      </w:pPr>
      <w:bookmarkStart w:id="7" w:name="Xd22b977f88f0add426f49399196084251b1e16e"/>
      <w:bookmarkEnd w:id="6"/>
      <w:r>
        <w:t>Capturing the balance between physiological damage and repair to predict multi-species thermal sensitivity (Dan, Adrienne)</w:t>
      </w:r>
    </w:p>
    <w:p w14:paraId="7AE430C3" w14:textId="77777777" w:rsidR="008F6E95"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[21,50]. Sensitivity to extreme heat can be captured by thermal load sensitivity (TLS) / thermal death time (TDT) models that explicitly account for how heat stress depends on both temperature and the duration of time at a given temperature [21,</w:t>
      </w:r>
      <w:r>
        <w:rPr>
          <w:b/>
          <w:bCs/>
        </w:rPr>
        <w:t>Arnold2025?</w:t>
      </w:r>
      <w:r>
        <w:t xml:space="preserve">]. 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or some measure of fertility, but this need not be the case [</w:t>
      </w:r>
      <w:r>
        <w:rPr>
          <w:b/>
          <w:bCs/>
        </w:rPr>
        <w:t>Arnold2025?</w:t>
      </w:r>
      <w:r>
        <w:t xml:space="preserve">]. Endpoints are predicted by assuming the effect of time at a given temperature decreases survival or fertility exponentially [11,12,21,50]. For example, Ørsted </w:t>
      </w:r>
      <w:r>
        <w:rPr>
          <w:i/>
          <w:iCs/>
        </w:rPr>
        <w:t>et al.</w:t>
      </w:r>
      <w:r>
        <w:t xml:space="preserve"> [12] show that both mortality and fecundity follow a clear exponential relationship </w:t>
      </w:r>
      <w:r>
        <w:lastRenderedPageBreak/>
        <w:t xml:space="preserve">with time, with survival and fecundity being compromised most for long thermal exposures at high temperatures in </w:t>
      </w:r>
      <w:r>
        <w:rPr>
          <w:i/>
          <w:iCs/>
        </w:rPr>
        <w:t>Drosophila suzuki</w:t>
      </w:r>
      <w:r>
        <w:t xml:space="preserve">. Importantly, Ørsted </w:t>
      </w:r>
      <w:r>
        <w:rPr>
          <w:i/>
          <w:iCs/>
        </w:rPr>
        <w:t>et al.</w:t>
      </w:r>
      <w:r>
        <w:t xml:space="preserve"> [12] also show that reproductive sensitivity can be higher than mortality with heat injury accumulating faster to impact productivity earlier than survival. TLS theory has also been shown to apply well to photosynthetic function in plants [51,52] 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14:paraId="1F2F9783" w14:textId="77777777" w:rsidR="008F6E95" w:rsidRDefault="00000000">
      <w:pPr>
        <w:pStyle w:val="BodyText"/>
      </w:pPr>
      <w:r>
        <w:t>The concept of damage/repair is important for understanding how heat waves affect organisms because both processes can result in lagged responses to heat stress – a common feature of extreme heat events [53,</w:t>
      </w:r>
      <w:r>
        <w:rPr>
          <w:b/>
          <w:bCs/>
        </w:rPr>
        <w:t>Arnold2025?</w:t>
      </w:r>
      <w:r>
        <w:t xml:space="preserve">]. Once the thermal sensitivity (i.e., the slope </w:t>
      </w:r>
      <m:oMath>
        <m:r>
          <w:rPr>
            <w:rFonts w:ascii="Cambria Math" w:hAnsi="Cambria Math"/>
          </w:rPr>
          <m:t>z</m:t>
        </m:r>
      </m:oMath>
      <w:r>
        <w:t>, Figure 1) for a particular endpoint has been quantified it can be used to predict the accumulation of damage during stressful temperatures experienced under realistic conditions [11,12,50,</w:t>
      </w:r>
      <w:r>
        <w:rPr>
          <w:b/>
          <w:bCs/>
        </w:rPr>
        <w:t>Arnold2025?</w:t>
      </w:r>
      <w:r>
        <w:t xml:space="preserve">]. Several approaches can be used to capture the accumulation of damage [11,12,50], but a simplistic way can be computed following Ørsted </w:t>
      </w:r>
      <w:r>
        <w:rPr>
          <w:i/>
          <w:iCs/>
        </w:rPr>
        <w:t>et al.</w:t>
      </w:r>
      <w:r>
        <w:t xml:space="preserve"> [12]:</w:t>
      </w:r>
    </w:p>
    <w:p w14:paraId="7FD43B00" w14:textId="77777777" w:rsidR="008F6E95" w:rsidRDefault="00000000">
      <w:pPr>
        <w:pStyle w:val="BodyText"/>
      </w:pPr>
      <w:bookmarkStart w:id="8"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8"/>
    </w:p>
    <w:p w14:paraId="0BE87AF8" w14:textId="77777777" w:rsidR="008F6E95" w:rsidRDefault="00000000">
      <w:pPr>
        <w:pStyle w:val="FirstParagraph"/>
      </w:pPr>
      <w:hyperlink w:anchor="eq-hi">
        <w:r>
          <w:rPr>
            <w:rStyle w:val="Hyperlink"/>
          </w:rPr>
          <w:t>Equation 1</w:t>
        </w:r>
      </w:hyperlink>
      <w:r>
        <w:t xml:space="preserve"> summarizes heat injures (HI) sustained across time, </w:t>
      </w:r>
      <m:oMath>
        <m:r>
          <w:rPr>
            <w:rFonts w:ascii="Cambria Math" w:hAnsi="Cambria Math"/>
          </w:rPr>
          <m:t>t</m:t>
        </m:r>
      </m:oMath>
      <w:r>
        <w:t xml:space="preserve">, during heat stress events (i.e., when body temperatures are greater than the critical temperatures, </w:t>
      </w:r>
      <m:oMath>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oMath>
      <w:r>
        <w:t xml:space="preserve">) using information about the maximum temperature, </w:t>
      </w:r>
      <m:oMath>
        <m:r>
          <w:rPr>
            <w:rFonts w:ascii="Cambria Math" w:hAnsi="Cambria Math"/>
          </w:rPr>
          <m:t>T</m:t>
        </m:r>
      </m:oMath>
      <w:r>
        <w:t xml:space="preserve">, experienced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and the thermal sensitivity (i.e., </w:t>
      </w:r>
      <m:oMath>
        <m:r>
          <w:rPr>
            <w:rFonts w:ascii="Cambria Math" w:hAnsi="Cambria Math"/>
          </w:rPr>
          <m:t>z</m:t>
        </m:r>
      </m:oMath>
      <w:r>
        <w:t xml:space="preserve"> and </w:t>
      </w:r>
      <m:oMath>
        <m:r>
          <w:rPr>
            <w:rFonts w:ascii="Cambria Math" w:hAnsi="Cambria Math"/>
          </w:rPr>
          <m:t>α</m:t>
        </m:r>
      </m:oMath>
      <w:r>
        <w:t>). Once an organism accumulates damage to reach a given threshold the endpoint has been reached. [</w:t>
      </w:r>
      <w:r>
        <w:rPr>
          <w:b/>
          <w:bCs/>
        </w:rPr>
        <w:t>Arnold2025?</w:t>
      </w:r>
      <w:r>
        <w:t>] provide a framework for integrating damage and repair processes into these models more explicitly. Modelling the intricate balance between damage and repair for a suite of different species can help identify susceptible species, life stages and tissues that are most at risk from extreme heat events, which allows for more accurate predictions of the varying sensitivity of species across a community.</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8F6E95" w14:paraId="4EF91915" w14:textId="77777777">
        <w:trPr>
          <w:cantSplit/>
        </w:trPr>
        <w:tc>
          <w:tcPr>
            <w:tcW w:w="0" w:type="auto"/>
            <w:tcMar>
              <w:left w:w="144" w:type="dxa"/>
            </w:tcMar>
          </w:tcPr>
          <w:p w14:paraId="70C23B41" w14:textId="77777777" w:rsidR="008F6E95" w:rsidRDefault="00000000">
            <w:pPr>
              <w:pStyle w:val="BodyText"/>
              <w:spacing w:before="16" w:after="64"/>
            </w:pPr>
            <w:r>
              <w:rPr>
                <w:b/>
                <w:bCs/>
              </w:rPr>
              <w:t>Box 1: Sensitivity to extreme heat is mediated by environmental feedbacks</w:t>
            </w:r>
          </w:p>
          <w:p w14:paraId="66683189" w14:textId="77777777" w:rsidR="008F6E95" w:rsidRDefault="00000000">
            <w:pPr>
              <w:pStyle w:val="BodyText"/>
              <w:spacing w:before="16"/>
            </w:pPr>
            <w:r>
              <w:t>Natural and anthropogenic environments shape thermal sensitivity and should be considered in any systems modelling approach. For example, drought, often associated with periods of extreme heat, can reduce thermal tolerance in plants by reducing influencing their ability to cool through transpiration leading to leaf damage []. Extended periods of water stress (e.g., several days or more) have also been shown to increase thermal sensitivity in insects, reducing the time they could deal with extreme heat [54].</w:t>
            </w:r>
          </w:p>
          <w:p w14:paraId="46413773" w14:textId="77777777" w:rsidR="008F6E95" w:rsidRDefault="00000000">
            <w:pPr>
              <w:pStyle w:val="BodyText"/>
              <w:spacing w:after="16"/>
            </w:pPr>
            <w:r>
              <w:t xml:space="preserve">Heat tolerance of animals and plants can also both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[55–57]. These interactions are usually achieved by stimulating the production of essential phytohormones, secondary metabolites, organic acids, and amino acids that helps the plant to mitigate heat stress [58,59]. For example, </w:t>
            </w:r>
            <w:r>
              <w:rPr>
                <w:i/>
                <w:iCs/>
              </w:rPr>
              <w:t>Bacillus subtilis</w:t>
            </w:r>
            <w:r>
              <w:t xml:space="preserve"> residing in the gut of the nematode </w:t>
            </w:r>
            <w:r>
              <w:rPr>
                <w:i/>
                <w:iCs/>
              </w:rPr>
              <w:t>Caenorhabditis elegans</w:t>
            </w:r>
            <w:r>
              <w:t xml:space="preserve"> provides protection against heat shock as reflected by effects on fecundity [60]. Moreover, this protective effect can influence the ability of the host to evolve further resistance to the heat shock and harboured more bacteria [61].</w:t>
            </w:r>
          </w:p>
        </w:tc>
      </w:tr>
    </w:tbl>
    <w:p w14:paraId="45442075" w14:textId="77777777" w:rsidR="008F6E95" w:rsidRDefault="00000000">
      <w:pPr>
        <w:pStyle w:val="Heading1"/>
      </w:pPr>
      <w:bookmarkStart w:id="9" w:name="Xf7a8b061298c769a249e4cfc121bdb94e09ce12"/>
      <w:bookmarkEnd w:id="7"/>
      <w:r>
        <w:lastRenderedPageBreak/>
        <w:t>Dynamic Energy Budget (DEB) models that capture the effects of extreme heat across life (Mike and Dan)</w:t>
      </w:r>
    </w:p>
    <w:p w14:paraId="619DFC92" w14:textId="77777777" w:rsidR="008F6E95" w:rsidRDefault="00000000">
      <w:pPr>
        <w:pStyle w:val="FirstParagraph"/>
      </w:pPr>
      <w:r>
        <w:t xml:space="preserve">Dynamic Energy Budget (DEB) models are physiologically explicit life-cycle models of energy and mass uptake and conversion that predict key life-history transitions, growth, reproduction and survival through time [16,62]. DEB models consider organisms as a thermodynamic system (adhering to energy-mass balance) capturing the exchange of food, water, respiratory gases and metabolic waste throughout the life cycle [20]. DEB models can translate short-term (hourly) variation in factors, such as temperature, toxins (e.g., toxicants, [64]) and resource availability (nutrients) [65,66] into long-term (days, months, years) effects on development, growth, reproduction and survival [17,20], though they have been applied to plants much less than for animal and microbial systems[67]. DEB theory, when combined with biophysical models more generally, allows the full water budget to be computed to account for heat stress impacts of a hydric nature, and computes obligate heat production of metabolism to feed back to the calculation of body temperature [20]. Perhaps most importantly, DEB theory calculates the life cycle trajectory of an organism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5000 species already [68,69] and approaches for using DEB theory to model plant growth and performance are being developed [67]. New analytical approaches using phylogenetic imputation methods allow for models to be developed independently for all species even when data are lacking. These methods show promise in predicting DEB parameters for over 1.3 million species [see, 70]. In addition, software packages such as </w:t>
      </w:r>
      <w:r>
        <w:rPr>
          <w:i/>
          <w:iCs/>
        </w:rPr>
        <w:t>NicheMapR</w:t>
      </w:r>
      <w:r>
        <w:t xml:space="preserve"> [33,71] allow for simulations of life-cycles using parameters for diverse species. From these models key outputs on organisms such as body mass and size, reproductive success and events, along with survival can be used to parameterize vital rates needed for population and community models.</w:t>
      </w:r>
    </w:p>
    <w:p w14:paraId="04EF659A" w14:textId="77777777" w:rsidR="008F6E95" w:rsidRDefault="00000000">
      <w:pPr>
        <w:pStyle w:val="Heading1"/>
      </w:pPr>
      <w:bookmarkStart w:id="10" w:name="Xbdb3df2871e98d114a1e4e74a52caa28253dc0c"/>
      <w:bookmarkEnd w:id="9"/>
      <w:r>
        <w:t>Mechanistic approaches that ‘speak’ to population and community ecology under extreme heat (Margie)</w:t>
      </w:r>
    </w:p>
    <w:p w14:paraId="6F198262" w14:textId="77777777" w:rsidR="008F6E95" w:rsidRDefault="00000000">
      <w:pPr>
        <w:pStyle w:val="FirstParagraph"/>
      </w:pPr>
      <w:r>
        <w:t>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 [72] and Beverton-Holt [73] 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 [74]. In thinking about thermal extremes, it is likely that species experience a switch from amenable to harsh conditions, making it likely that interaction outcomes may flip signs [22].</w:t>
      </w:r>
    </w:p>
    <w:p w14:paraId="40ABE7B5" w14:textId="77777777" w:rsidR="008F6E95" w:rsidRDefault="00000000">
      <w:pPr>
        <w:pStyle w:val="BodyText"/>
      </w:pPr>
      <w:r>
        <w:t>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14:paraId="1DE4D935" w14:textId="77777777" w:rsidR="008F6E95" w:rsidRDefault="00000000">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w:t>
      </w:r>
      <w:r>
        <w:lastRenderedPageBreak/>
        <w:t xml:space="preserve">variation into these models are emerging [22,23].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 [23] 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 </w:t>
      </w:r>
      <w:r>
        <w:rPr>
          <w:i/>
          <w:iCs/>
        </w:rPr>
        <w:t>et al.</w:t>
      </w:r>
      <w:r>
        <w:t xml:space="preserve"> [22]’s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 [22]. The limitation of these methods is that they are data hungry, but even this can be handled by emerging approaches for reducing model complexity without losing model power [75].</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8F6E95" w14:paraId="099400EF" w14:textId="77777777">
        <w:trPr>
          <w:cantSplit/>
        </w:trPr>
        <w:tc>
          <w:tcPr>
            <w:tcW w:w="0" w:type="auto"/>
            <w:tcMar>
              <w:left w:w="144" w:type="dxa"/>
            </w:tcMar>
          </w:tcPr>
          <w:p w14:paraId="6F6D808C" w14:textId="77777777" w:rsidR="008F6E95" w:rsidRDefault="00000000">
            <w:pPr>
              <w:pStyle w:val="BodyText"/>
              <w:spacing w:before="16" w:after="64"/>
            </w:pPr>
            <w:r>
              <w:rPr>
                <w:b/>
                <w:bCs/>
              </w:rPr>
              <w:lastRenderedPageBreak/>
              <w:t>Box 2: Integrating eco-evolutionary feedbacks within a systems-modelling framework</w:t>
            </w:r>
          </w:p>
          <w:p w14:paraId="56E960D6" w14:textId="77777777" w:rsidR="008F6E95" w:rsidRDefault="00000000">
            <w:pPr>
              <w:pStyle w:val="BodyText"/>
              <w:spacing w:before="16"/>
            </w:pPr>
            <w:r>
              <w:t>Extreme environments both impact trait development and act as a potent selective force triggering evolutionary change in populations [76–78]. Evolutionary responses will depend on the amount of phenotypic and genetic variation exposed to natural selection and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[76]. In addition, phenotypic plasticity can result in both maladaptive and adaptive outcomes by either shielding selection on genetic variation or by facilitating persistence and selection making the relative role of plasticity and adaptive evolution to building population resilience complex [77,79–82].</w:t>
            </w:r>
          </w:p>
          <w:p w14:paraId="5234D3D3" w14:textId="77777777" w:rsidR="008F6E95" w:rsidRDefault="00000000">
            <w:pPr>
              <w:pStyle w:val="BodyText"/>
            </w:pPr>
            <w:r>
              <w: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morphology). Rather, ‘traits’ can also include the parameters within models (e.g., DEB parameters) that allow functional traits to emerge [83]. Plasticity can be captured by mapping trait development to the environment. In contrast, evolutionary change takes place in multivariate trait space where genetic variance and covariance between traits (i.e., constraints) along with varying patterns of selection can be used to predcit trait change across generations. One way to make such predictions is by using the multivariate breeders equation [84]:</w:t>
            </w:r>
          </w:p>
          <w:p w14:paraId="4FAF1693" w14:textId="77777777" w:rsidR="008F6E95" w:rsidRDefault="00000000">
            <w:pPr>
              <w:pStyle w:val="BodyText"/>
            </w:pPr>
            <w:bookmarkStart w:id="11"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0B01E5D7" w14:textId="77777777" w:rsidR="008F6E95" w:rsidRDefault="00000000">
            <w:pPr>
              <w:pStyle w:val="FirstParagraph"/>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[85]). While the multivariate breeders equation can be useful for predicting short term evolutionary responses (i.e., one or a few generations) it is likely limited in predictive power over longer timespans because of changes in heritability and selection through time [78,85].</w:t>
            </w:r>
          </w:p>
          <w:p w14:paraId="62DB13D0" w14:textId="77777777" w:rsidR="008F6E95" w:rsidRDefault="00000000">
            <w:pPr>
              <w:pStyle w:val="BodyText"/>
              <w:spacing w:after="16"/>
            </w:pPr>
            <w:r>
              <w: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[54,86–90]. For example, using isogenic lines of </w:t>
            </w:r>
            <w:r>
              <w:rPr>
                <w:i/>
                <w:iCs/>
              </w:rPr>
              <w:t>Drosophia melanogaster</w:t>
            </w:r>
            <w:r>
              <w:t>, [90] show evidence for genetic variation in both upper thermal limits (</w:t>
            </w:r>
            <m:oMath>
              <m:r>
                <w:rPr>
                  <w:rFonts w:ascii="Cambria Math" w:hAnsi="Cambria Math"/>
                </w:rPr>
                <m:t>C</m:t>
              </m:r>
              <m:sSub>
                <m:sSubPr>
                  <m:ctrlPr>
                    <w:rPr>
                      <w:rFonts w:ascii="Cambria Math" w:hAnsi="Cambria Math"/>
                    </w:rPr>
                  </m:ctrlPr>
                </m:sSubPr>
                <m:e>
                  <m:r>
                    <w:rPr>
                      <w:rFonts w:ascii="Cambria Math" w:hAnsi="Cambria Math"/>
                    </w:rPr>
                    <m:t>T</m:t>
                  </m:r>
                </m:e>
                <m:sub>
                  <m:r>
                    <w:rPr>
                      <w:rFonts w:ascii="Cambria Math" w:hAnsi="Cambria Math"/>
                    </w:rPr>
                    <m:t>max</m:t>
                  </m:r>
                </m:sub>
              </m:sSub>
            </m:oMath>
            <w:r>
              <w:t xml:space="preserve">) and thermal sensitivity (i.e, </w:t>
            </w:r>
            <m:oMath>
              <m:r>
                <w:rPr>
                  <w:rFonts w:ascii="Cambria Math" w:hAnsi="Cambria Math"/>
                </w:rPr>
                <m:t>z</m:t>
              </m:r>
            </m:oMath>
            <w:r>
              <w:t xml:space="preserve">, slope from TDT curves) using a TDT framework. Simulations also show that selection on one parameter will also induce changes in the other. Additionally, thermal sensitivity in </w:t>
            </w:r>
            <w:r>
              <w:rPr>
                <w:i/>
                <w:iCs/>
              </w:rPr>
              <w:t>Drosophia</w:t>
            </w:r>
            <w:r>
              <w:t xml:space="preserve"> species is also known to respond plastically to temperature [86]. In the alpine plant </w:t>
            </w:r>
            <w:r>
              <w:rPr>
                <w:i/>
                <w:iCs/>
              </w:rPr>
              <w:t>Wahlenbergia ceracea</w:t>
            </w:r>
            <w:r>
              <w:t xml:space="preserve"> despite ample plasticity in response to warming there is little genetic variation in plasticity, thus adaptive evolution of plasticity in response to extreme heat is unlikely [91]. Indeed, few studies have attempted to quantify genetic variation in plasticity in response to warming, never mind extreme heat events, and among those that have there is little evidence that such plasticity is adaptive [91,92]. One challenge in assessing the adaptive evolution of plasticity is that trait values themselves are also under selection in the different environments that elicit the plasticity; thus selection on plasticity reflects both selection on trait means in a given environment and selection on the full range of phenotypes across environments [84,91].</w:t>
            </w:r>
          </w:p>
        </w:tc>
      </w:tr>
    </w:tbl>
    <w:p w14:paraId="0DF499A8" w14:textId="77777777" w:rsidR="008F6E95"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8F6E95" w14:paraId="7FC64DCE" w14:textId="77777777">
        <w:trPr>
          <w:cantSplit/>
        </w:trPr>
        <w:tc>
          <w:tcPr>
            <w:tcW w:w="0" w:type="auto"/>
            <w:tcMar>
              <w:left w:w="144" w:type="dxa"/>
            </w:tcMar>
          </w:tcPr>
          <w:p w14:paraId="7BB78AC9" w14:textId="77777777" w:rsidR="008F6E95" w:rsidRDefault="00000000">
            <w:pPr>
              <w:pStyle w:val="BodyText"/>
              <w:spacing w:before="16" w:after="64"/>
            </w:pPr>
            <w:r>
              <w:rPr>
                <w:b/>
                <w:bCs/>
              </w:rPr>
              <w:lastRenderedPageBreak/>
              <w:t>Box 3: Interacting species interacting with people: social-ecological systems</w:t>
            </w:r>
          </w:p>
          <w:p w14:paraId="4B54292B" w14:textId="77777777" w:rsidR="008F6E95" w:rsidRDefault="00000000">
            <w:pPr>
              <w:pStyle w:val="BodyText"/>
              <w:spacing w:before="16"/>
            </w:pPr>
            <w:r>
              <w:t>Thermal stress to ecosystems may threaten the services those ecosystems provide to people [93].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14:paraId="76BC42E4" w14:textId="77777777" w:rsidR="008F6E95" w:rsidRDefault="00000000">
            <w:pPr>
              <w:pStyle w:val="BodyText"/>
            </w:pPr>
            <w:r>
              <w:t>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 [94]. Thermal stressors may even influence producers’ psychological beliefs about their level of control over land management, and perceived resources available for management practices [95]. Thermal risks to ecosystems may also precipitate declines in individual wellbeing, and these consequences may accrue differently across regions and across peoples [96], and compound or accelerate the prior responses. Many of these impacts and responses, however, are poorly understood.</w:t>
            </w:r>
          </w:p>
          <w:p w14:paraId="2F5F10BA" w14:textId="77777777" w:rsidR="008F6E95" w:rsidRDefault="00000000">
            <w:pPr>
              <w:pStyle w:val="BodyText"/>
            </w:pPr>
            <w:r>
              <w:t>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 [97,98]. On the other hand, adapting thermal risks in upper stream producers may also be influenced by the perception and behavior of downstream consumers [99]. The cascading [100] and telecoupled [101] 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 [102].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 [103], which could in turn affect the management of the original ecosystems.</w:t>
            </w:r>
          </w:p>
          <w:p w14:paraId="6D11789F" w14:textId="77777777" w:rsidR="008F6E95" w:rsidRDefault="00000000">
            <w:pPr>
              <w:pStyle w:val="BodyText"/>
            </w:pPr>
            <w:r>
              <w:t>Understand these relationships between people and nature requires adopting a social-ecological systems perspective, where people and nature are interdependent and intertwined [104]. Social-ecological models aim to capture the social systems, natural systems and their interactions [105]. Such models can display non-trivial emergent behavior resulting from complex interactions within the social-ecological systems. For example, responding to decreased productivity from thermal stress by farming more intensively could lead to a maladaptation or ‘lock-in’ from which it is difficult to escape [106].</w:t>
            </w:r>
          </w:p>
          <w:p w14:paraId="524D6FC9" w14:textId="77777777" w:rsidR="008F6E95" w:rsidRDefault="00000000">
            <w:pPr>
              <w:pStyle w:val="BodyText"/>
              <w:spacing w:after="16"/>
            </w:pPr>
            <w:r>
              <w:t>Social-ecological models are conventionally built using process-based modelling frameworks such as agent-based models, dynamical systems models or state-and-transition models [107]. Process-based approaches are critical to understanding how emergent social-ecological phenomena develop [108], such as tipping points, traps or other dynamics. Constructing process-based dynamical models requires knowledge and data about: the biophysical processes, which could be provided by the models from the previous sections; social processes, which could be developed from a combination of behavioral theory and empirical data; and interactions between them in the system of interest. Since obtaining all these data can be challenging, social-ecological modelling is often performed in an exploratory mode [109] to anticipate possible future modes of behavior, such as the direction of change of human behavior and environmental state or the risk of emergent phenomena such as tipping points, rather than trying to predict specific outcomes.</w:t>
            </w:r>
          </w:p>
        </w:tc>
      </w:tr>
    </w:tbl>
    <w:p w14:paraId="75A3C53A" w14:textId="77777777" w:rsidR="008F6E95" w:rsidRDefault="00000000">
      <w:pPr>
        <w:pStyle w:val="Heading1"/>
      </w:pPr>
      <w:bookmarkStart w:id="12" w:name="X42ca7aa69937316dee7b1e100d4320aa777518f"/>
      <w:bookmarkEnd w:id="10"/>
      <w:r>
        <w:lastRenderedPageBreak/>
        <w:t>‘Hot’ solutions for a changing world (Alison, Owen and Belinda, Mike)</w:t>
      </w:r>
    </w:p>
    <w:p w14:paraId="26D249C4" w14:textId="77777777" w:rsidR="008F6E95" w:rsidRDefault="00000000">
      <w:pPr>
        <w:pStyle w:val="FirstParagraph"/>
      </w:pPr>
      <w:r>
        <w:t>Extreme heat will have dramatic and widespread effects on the socioecological systems that humans rely upon (</w:t>
      </w:r>
      <w:r>
        <w:rPr>
          <w:b/>
          <w:bCs/>
        </w:rPr>
        <w:t>Box 3</w:t>
      </w:r>
      <w:r>
        <w:t xml:space="preserve">). For example, under current global climate change scenarios, each degree Celsius increase in global mean temperature is estimated to reduce the global yield of wheat by 6.0% and soybean by 3.1% [110] exacerbating food shortages globally. A systems modelling approach can provide us with quantitative tools to make informed predictions, plan interventions and evaluate various scenarios for mitigating the impacts of extreme heat. For example, microclimate and biophysical models, in combination with watering interventions, can allow us to make informed predictions about how to mitigate heat stress to crops (See Case Study 4 in the </w:t>
      </w:r>
      <w:hyperlink r:id="rId7">
        <w:r>
          <w:rPr>
            <w:rStyle w:val="Hyperlink"/>
            <w:i/>
            <w:iCs/>
          </w:rPr>
          <w:t>Supplementary Online Material</w:t>
        </w:r>
      </w:hyperlink>
      <w:r>
        <w:t>). Identifying and/or modifying the thermal suitability of landscapes to benefit plants and animals under extreme heat shows immense promise [20]. Additionally, as our understanding of the mechanisms associated with heat tolerance improve, genetic tools, environmental manipulations and artifical breeding can be used to enhance thermal tolerance creating more resilience to extreme heat events [e.g., 57]. Integrating these solutions into a systems modelling framework will then allow for a calculated understanding of the viability of such approaches in real world situations.</w:t>
      </w:r>
    </w:p>
    <w:p w14:paraId="4A52D25A" w14:textId="77777777" w:rsidR="00DC470F" w:rsidRPr="00DC470F" w:rsidRDefault="00DC470F" w:rsidP="00DC470F">
      <w:pPr>
        <w:pStyle w:val="BodyText"/>
      </w:pPr>
    </w:p>
    <w:tbl>
      <w:tblPr>
        <w:tblStyle w:val="Table"/>
        <w:tblW w:w="5000" w:type="pct"/>
        <w:tblLayout w:type="fixed"/>
        <w:tblLook w:val="0000" w:firstRow="0" w:lastRow="0" w:firstColumn="0" w:lastColumn="0" w:noHBand="0" w:noVBand="0"/>
      </w:tblPr>
      <w:tblGrid>
        <w:gridCol w:w="10538"/>
      </w:tblGrid>
      <w:tr w:rsidR="008F6E95" w14:paraId="7BD6F522" w14:textId="77777777">
        <w:tc>
          <w:tcPr>
            <w:tcW w:w="7920" w:type="dxa"/>
          </w:tcPr>
          <w:p w14:paraId="6C64BC3E" w14:textId="3181E4B2" w:rsidR="008F6E95" w:rsidRDefault="00DC470F">
            <w:pPr>
              <w:pStyle w:val="Compact"/>
              <w:jc w:val="center"/>
            </w:pPr>
            <w:bookmarkStart w:id="13" w:name="fig-2"/>
            <w:r>
              <w:rPr>
                <w:noProof/>
              </w:rPr>
              <w:drawing>
                <wp:inline distT="0" distB="0" distL="0" distR="0" wp14:anchorId="5F2F4586" wp14:editId="4439CC9C">
                  <wp:extent cx="6554470" cy="2884170"/>
                  <wp:effectExtent l="0" t="0" r="0" b="0"/>
                  <wp:docPr id="1252003967" name="Picture 1" descr="A diagram of a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03967" name="Picture 1" descr="A diagram of a plan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6F9680C5" w14:textId="77777777" w:rsidR="008F6E95" w:rsidRDefault="00000000">
            <w:pPr>
              <w:pStyle w:val="ImageCaption"/>
              <w:spacing w:before="200"/>
            </w:pPr>
            <w:r>
              <w:t xml:space="preserve">Figure 2- How a systems modelling approach to extreme heat can be used to inform solutions. A hypothetical example of an insect-plant interaction. (A) To counteract an extreme heat wave event different watering scenerios to cool plants of agricultural importance during heat stress could be applied. Of critical importance is understanding how much water to apply to a system to keep plants cool while minimising: 1) water use, given that heat waves are often associated with extreme drought conditions and 2) pest outbreaks, given watering may create more ideal conditions for pest insects. (B) We can obtain actual or future climate data from weather stations or climate models for rainfall and create alternative scenerios where rainfall layers are manipulated by modifying the watering regimes during a heatwave event. We could add 2, 5, 10, or 20 mm of water and compare this to our original rainfall. (C) Adding water during an extreme heat event should result in cooling effects and using micriclimate and biophysical models we can quantify how much cooling would occur by calculating leaf temperature across all scenerios. We can see that adding 5 mm of water can result in a 3.83 Celcius decrease in leave temperature. Adding more water does not resulting in significant gains in cooling.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w:t>
            </w:r>
            <w:r>
              <w:lastRenderedPageBreak/>
              <w:t xml:space="preserve">(struture) and (reproduction) during adult stages. These models also include survival estimates through time (senesence) using hazards functions allowing us to estimate an intrinsic growth rate paremeter (i.e.,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under the different scenerios. (E) Using our estimate of intrinsic growth rate we can then estimate the population growth rate of grasshoppers using a simple Ricker’s population growth model applied to the different scenerios. We can see that, assuming we would add 5 mm each season during heatwave events, populations would be supressed over time whereas adding 2mm results in population growth, which would lead to outbreaks. Here, the optimal solution is 5mm of water added to both 1) cool plants to protect them during a heat wave and 2) supress pest outbreaks.</w:t>
            </w:r>
          </w:p>
        </w:tc>
        <w:bookmarkEnd w:id="13"/>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8F6E95" w14:paraId="1F85E6F1" w14:textId="77777777">
        <w:trPr>
          <w:cantSplit/>
        </w:trPr>
        <w:tc>
          <w:tcPr>
            <w:tcW w:w="0" w:type="auto"/>
            <w:tcMar>
              <w:left w:w="144" w:type="dxa"/>
            </w:tcMar>
          </w:tcPr>
          <w:p w14:paraId="00870507" w14:textId="77777777" w:rsidR="008F6E95" w:rsidRDefault="00000000">
            <w:pPr>
              <w:pStyle w:val="BodyText"/>
              <w:spacing w:before="16" w:after="64"/>
            </w:pPr>
            <w:r>
              <w:rPr>
                <w:b/>
                <w:bCs/>
              </w:rPr>
              <w:lastRenderedPageBreak/>
              <w:t>Outstanding Questions</w:t>
            </w:r>
          </w:p>
          <w:p w14:paraId="56D891C4" w14:textId="77777777" w:rsidR="008F6E95" w:rsidRDefault="00000000">
            <w:pPr>
              <w:pStyle w:val="Compact"/>
              <w:numPr>
                <w:ilvl w:val="0"/>
                <w:numId w:val="86"/>
              </w:numPr>
            </w:pPr>
            <w:r>
              <w:t>How effective are models using parameters of closely related species at predicting the impacts of extreme heat on species and communities lacking data?</w:t>
            </w:r>
          </w:p>
          <w:p w14:paraId="4D5CFD32" w14:textId="77777777" w:rsidR="008F6E95" w:rsidRDefault="00000000">
            <w:pPr>
              <w:pStyle w:val="Compact"/>
              <w:numPr>
                <w:ilvl w:val="0"/>
                <w:numId w:val="86"/>
              </w:numPr>
            </w:pPr>
            <w:r>
              <w:t>How can we capture longer-term evolutionary responses to extreme heat in a systems modelling framework?</w:t>
            </w:r>
          </w:p>
          <w:p w14:paraId="036A492D" w14:textId="77777777" w:rsidR="008F6E95" w:rsidRDefault="00000000">
            <w:pPr>
              <w:pStyle w:val="Compact"/>
              <w:numPr>
                <w:ilvl w:val="0"/>
                <w:numId w:val="86"/>
              </w:numPr>
            </w:pPr>
            <w:r>
              <w:t>For modular plant species, can we build and couple dynamic energy budget models to predict how extreme heat will impact tissue and life cycle dynamics?</w:t>
            </w:r>
          </w:p>
        </w:tc>
      </w:tr>
    </w:tbl>
    <w:p w14:paraId="6EF969BD" w14:textId="77777777" w:rsidR="008F6E95" w:rsidRDefault="00000000">
      <w:pPr>
        <w:pStyle w:val="Heading1"/>
      </w:pPr>
      <w:bookmarkStart w:id="14" w:name="concluding-remarks"/>
      <w:bookmarkEnd w:id="12"/>
      <w:r>
        <w:t>Concluding Remarks</w:t>
      </w:r>
    </w:p>
    <w:p w14:paraId="715A6EB8" w14:textId="77777777" w:rsidR="008F6E95" w:rsidRDefault="00000000">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such a systems modelling framework can be approached (see </w:t>
      </w:r>
      <w:hyperlink r:id="rId9">
        <w:r>
          <w:rPr>
            <w:rStyle w:val="Hyperlink"/>
            <w:i/>
            <w:iCs/>
          </w:rPr>
          <w:t>Supplementary Online Material</w:t>
        </w:r>
      </w:hyperlink>
      <w:r>
        <w:t xml:space="preserve">). While our case studies are necessarily hypothetical in nature they move us one step closer to implementing these models in real-world systems. However, there are still many challenges and gaps (see </w:t>
      </w:r>
      <w:r>
        <w:rPr>
          <w:b/>
          <w:bCs/>
        </w:rPr>
        <w:t>Outstanding Questions</w:t>
      </w:r>
      <w:r>
        <w:t>). Developing a systems modelling framework will require collaboration between different research fields, including biophysics, physiology, ecology and evolutionary biology as well as socio-ecologists. By working collaboratively and integrativly we can develop a more calculated understanding of the impacts that extreme heat will have on organisms, populations, and communities along with how to mitigate these impacts to preserve diverse systems now and into the future.</w:t>
      </w:r>
    </w:p>
    <w:p w14:paraId="35567AD0" w14:textId="77777777" w:rsidR="008F6E95" w:rsidRDefault="00000000">
      <w:pPr>
        <w:pStyle w:val="Heading1"/>
      </w:pPr>
      <w:bookmarkStart w:id="15" w:name="references"/>
      <w:bookmarkEnd w:id="14"/>
      <w:r>
        <w:t>References</w:t>
      </w:r>
    </w:p>
    <w:p w14:paraId="51B23BAD" w14:textId="77777777" w:rsidR="008F6E95" w:rsidRDefault="008F6E95">
      <w:pPr>
        <w:pStyle w:val="FirstParagraph"/>
      </w:pPr>
    </w:p>
    <w:p w14:paraId="3DA84BF1" w14:textId="77777777" w:rsidR="008F6E95" w:rsidRDefault="00000000">
      <w:pPr>
        <w:pStyle w:val="Bibliography"/>
      </w:pPr>
      <w:bookmarkStart w:id="16" w:name="ref-Barriopedro2023"/>
      <w:bookmarkStart w:id="17"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7C762C32" w14:textId="77777777" w:rsidR="008F6E95" w:rsidRDefault="00000000">
      <w:pPr>
        <w:pStyle w:val="Bibliography"/>
      </w:pPr>
      <w:bookmarkStart w:id="18" w:name="ref-Aglas-Leitner2024"/>
      <w:bookmarkEnd w:id="16"/>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5C8A7D96" w14:textId="77777777" w:rsidR="008F6E95" w:rsidRDefault="00000000">
      <w:pPr>
        <w:pStyle w:val="Bibliography"/>
      </w:pPr>
      <w:bookmarkStart w:id="19" w:name="ref-Reichstein2007"/>
      <w:bookmarkEnd w:id="18"/>
      <w:r>
        <w:t xml:space="preserve">3. </w:t>
      </w:r>
      <w:r>
        <w:tab/>
        <w:t xml:space="preserve">Reichstein, M. </w:t>
      </w:r>
      <w:r>
        <w:rPr>
          <w:i/>
          <w:iCs/>
        </w:rPr>
        <w:t>et al.</w:t>
      </w:r>
      <w:r>
        <w:t xml:space="preserve"> (2007) Reduction of ecosystem productivity and respiration during the european summer 2003 climate anomaly: A joint flux tower, remote sensing and modelling analysis. </w:t>
      </w:r>
      <w:r>
        <w:rPr>
          <w:i/>
          <w:iCs/>
        </w:rPr>
        <w:t>Global Change Biology</w:t>
      </w:r>
      <w:r>
        <w:t xml:space="preserve"> 13, 634–651</w:t>
      </w:r>
    </w:p>
    <w:p w14:paraId="4800D442" w14:textId="77777777" w:rsidR="008F6E95" w:rsidRDefault="00000000">
      <w:pPr>
        <w:pStyle w:val="Bibliography"/>
      </w:pPr>
      <w:bookmarkStart w:id="20" w:name="ref-Margalef-Marrase2020"/>
      <w:bookmarkEnd w:id="19"/>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62DBCFFA" w14:textId="77777777" w:rsidR="008F6E95" w:rsidRDefault="00000000">
      <w:pPr>
        <w:pStyle w:val="Bibliography"/>
      </w:pPr>
      <w:bookmarkStart w:id="21" w:name="ref-Kazenel2024"/>
      <w:bookmarkEnd w:id="20"/>
      <w:r>
        <w:lastRenderedPageBreak/>
        <w:t xml:space="preserve">5. </w:t>
      </w:r>
      <w:r>
        <w:tab/>
        <w:t xml:space="preserve">Kazenel, M.R. </w:t>
      </w:r>
      <w:r>
        <w:rPr>
          <w:i/>
          <w:iCs/>
        </w:rPr>
        <w:t>et al.</w:t>
      </w:r>
      <w:r>
        <w:t xml:space="preserve"> (2024) Heat and desiccation tolerances predict bee abundance under climate change. </w:t>
      </w:r>
      <w:r>
        <w:rPr>
          <w:i/>
          <w:iCs/>
        </w:rPr>
        <w:t>Nature</w:t>
      </w:r>
    </w:p>
    <w:p w14:paraId="25C68828" w14:textId="77777777" w:rsidR="008F6E95" w:rsidRDefault="00000000">
      <w:pPr>
        <w:pStyle w:val="Bibliography"/>
      </w:pPr>
      <w:bookmarkStart w:id="22" w:name="ref-Zhao2017"/>
      <w:bookmarkEnd w:id="21"/>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4C62344E" w14:textId="77777777" w:rsidR="008F6E95" w:rsidRDefault="00000000">
      <w:pPr>
        <w:pStyle w:val="Bibliography"/>
      </w:pPr>
      <w:bookmarkStart w:id="23" w:name="ref-Tito2018"/>
      <w:bookmarkEnd w:id="22"/>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6E7D8301" w14:textId="77777777" w:rsidR="008F6E95" w:rsidRDefault="00000000">
      <w:pPr>
        <w:pStyle w:val="Bibliography"/>
      </w:pPr>
      <w:bookmarkStart w:id="24" w:name="ref-Bastos2014"/>
      <w:bookmarkEnd w:id="23"/>
      <w:r>
        <w:t xml:space="preserve">8. </w:t>
      </w:r>
      <w:r>
        <w:tab/>
        <w:t xml:space="preserve">Bastos, A. </w:t>
      </w:r>
      <w:r>
        <w:rPr>
          <w:i/>
          <w:iCs/>
        </w:rPr>
        <w:t>et al.</w:t>
      </w:r>
      <w:r>
        <w:t xml:space="preserve"> (2014) Analysing the spatio-temporal impacts of the 2003 and 2010 extreme heatwaves on plant productivity in europe. </w:t>
      </w:r>
      <w:r>
        <w:rPr>
          <w:i/>
          <w:iCs/>
        </w:rPr>
        <w:t>Biogeosciences</w:t>
      </w:r>
      <w:r>
        <w:t xml:space="preserve"> 11, 3421–3435</w:t>
      </w:r>
    </w:p>
    <w:p w14:paraId="6017A211" w14:textId="77777777" w:rsidR="008F6E95" w:rsidRDefault="00000000">
      <w:pPr>
        <w:pStyle w:val="Bibliography"/>
      </w:pPr>
      <w:bookmarkStart w:id="25" w:name="ref-Hesketh2023"/>
      <w:bookmarkEnd w:id="24"/>
      <w:r>
        <w:t xml:space="preserve">9. </w:t>
      </w:r>
      <w:r>
        <w:tab/>
        <w:t xml:space="preserve">Hesketh, A.V. and Harley, C.D.G. (2023) Extreme heatwave drives topography-dependent patterns of mortality in a bed-forming intertidal barnacle, with implications for associated community structure. </w:t>
      </w:r>
      <w:r>
        <w:rPr>
          <w:i/>
          <w:iCs/>
        </w:rPr>
        <w:t>Global Change Biology</w:t>
      </w:r>
      <w:r>
        <w:t xml:space="preserve"> 29, 165–178</w:t>
      </w:r>
    </w:p>
    <w:p w14:paraId="05B144D0" w14:textId="77777777" w:rsidR="008F6E95" w:rsidRDefault="00000000">
      <w:pPr>
        <w:pStyle w:val="Bibliography"/>
      </w:pPr>
      <w:bookmarkStart w:id="26" w:name="ref-Martinez2023"/>
      <w:bookmarkEnd w:id="25"/>
      <w:r>
        <w:t xml:space="preserve">10. </w:t>
      </w:r>
      <w:r>
        <w:tab/>
        <w:t xml:space="preserve">Martinez, L.D. </w:t>
      </w:r>
      <w:r>
        <w:rPr>
          <w:i/>
          <w:iCs/>
        </w:rPr>
        <w:t>et al.</w:t>
      </w:r>
      <w:r>
        <w:t xml:space="preserve"> (2023) Effect of simulated heat waves on the behaviour of two mirid predators. </w:t>
      </w:r>
      <w:r>
        <w:rPr>
          <w:i/>
          <w:iCs/>
        </w:rPr>
        <w:t>J. Appl. Entomol.</w:t>
      </w:r>
    </w:p>
    <w:p w14:paraId="7CA9A2D8" w14:textId="77777777" w:rsidR="008F6E95" w:rsidRDefault="00000000">
      <w:pPr>
        <w:pStyle w:val="Bibliography"/>
      </w:pPr>
      <w:bookmarkStart w:id="27" w:name="ref-Rezende2020"/>
      <w:bookmarkEnd w:id="26"/>
      <w:r>
        <w:t xml:space="preserve">11.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12D93D05" w14:textId="77777777" w:rsidR="008F6E95" w:rsidRDefault="00000000">
      <w:pPr>
        <w:pStyle w:val="Bibliography"/>
      </w:pPr>
      <w:bookmarkStart w:id="28" w:name="ref-Orsted2024"/>
      <w:bookmarkEnd w:id="27"/>
      <w:r>
        <w:t xml:space="preserve">12.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3306A8BB" w14:textId="77777777" w:rsidR="008F6E95" w:rsidRDefault="00000000">
      <w:pPr>
        <w:pStyle w:val="Bibliography"/>
      </w:pPr>
      <w:bookmarkStart w:id="29" w:name="ref-Lopez-Goldar2024"/>
      <w:bookmarkEnd w:id="28"/>
      <w:r>
        <w:t xml:space="preserve">13.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183E574" w14:textId="77777777" w:rsidR="008F6E95" w:rsidRDefault="00000000">
      <w:pPr>
        <w:pStyle w:val="Bibliography"/>
      </w:pPr>
      <w:bookmarkStart w:id="30" w:name="ref-Huynh2024"/>
      <w:bookmarkEnd w:id="29"/>
      <w:r>
        <w:t xml:space="preserve">14. </w:t>
      </w:r>
      <w:r>
        <w:tab/>
        <w:t xml:space="preserve">Huỳnh, T.-H. </w:t>
      </w:r>
      <w:r>
        <w:rPr>
          <w:i/>
          <w:iCs/>
        </w:rPr>
        <w:t>et al.</w:t>
      </w:r>
      <w:r>
        <w:t xml:space="preserve"> (2024) Heatwave-induced functional shifts in zooplankton communities result in weaker top-down control on phytoplankton. </w:t>
      </w:r>
      <w:r>
        <w:rPr>
          <w:i/>
          <w:iCs/>
        </w:rPr>
        <w:t>Ecol. Evol.</w:t>
      </w:r>
      <w:r>
        <w:t xml:space="preserve"> 14, e70096</w:t>
      </w:r>
    </w:p>
    <w:p w14:paraId="5C064C9C" w14:textId="77777777" w:rsidR="008F6E95" w:rsidRDefault="00000000">
      <w:pPr>
        <w:pStyle w:val="Bibliography"/>
      </w:pPr>
      <w:bookmarkStart w:id="31" w:name="ref-Trivedi2022"/>
      <w:bookmarkEnd w:id="30"/>
      <w:r>
        <w:t xml:space="preserve">15.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78B5E2B9" w14:textId="77777777" w:rsidR="008F6E95" w:rsidRDefault="00000000">
      <w:pPr>
        <w:pStyle w:val="Bibliography"/>
      </w:pPr>
      <w:bookmarkStart w:id="32" w:name="ref-Kooijman2010"/>
      <w:bookmarkEnd w:id="31"/>
      <w:r>
        <w:t xml:space="preserve">16. </w:t>
      </w:r>
      <w:r>
        <w:tab/>
        <w:t xml:space="preserve">Kooijman, S.A.L.M. (2010) </w:t>
      </w:r>
      <w:r>
        <w:rPr>
          <w:i/>
          <w:iCs/>
        </w:rPr>
        <w:t>Dynamic energy budget theory for metabolic organisation</w:t>
      </w:r>
      <w:r>
        <w:t>, Cambridge university press</w:t>
      </w:r>
    </w:p>
    <w:p w14:paraId="74C7BC2E" w14:textId="77777777" w:rsidR="008F6E95" w:rsidRDefault="00000000">
      <w:pPr>
        <w:pStyle w:val="Bibliography"/>
      </w:pPr>
      <w:bookmarkStart w:id="33" w:name="ref-Kearney2009b"/>
      <w:bookmarkEnd w:id="32"/>
      <w:r>
        <w:t xml:space="preserve">17. </w:t>
      </w:r>
      <w:r>
        <w:tab/>
        <w:t xml:space="preserve">Kearney, M. and Porter, W. (2009) Mechanistic niche modelling: Combining physiological and spatial data to predict species’ ranges. </w:t>
      </w:r>
      <w:r>
        <w:rPr>
          <w:i/>
          <w:iCs/>
        </w:rPr>
        <w:t>Ecol. Lett.</w:t>
      </w:r>
      <w:r>
        <w:t xml:space="preserve"> 12, 334–350</w:t>
      </w:r>
    </w:p>
    <w:p w14:paraId="2D8B1CFC" w14:textId="77777777" w:rsidR="008F6E95" w:rsidRDefault="00000000">
      <w:pPr>
        <w:pStyle w:val="Bibliography"/>
      </w:pPr>
      <w:bookmarkStart w:id="34" w:name="ref-Jusup2024"/>
      <w:bookmarkEnd w:id="33"/>
      <w:r>
        <w:t xml:space="preserve">18. </w:t>
      </w:r>
      <w:r>
        <w:tab/>
        <w:t xml:space="preserve">Jusup, M. and Kearney, M.R. (2024) The untapped power of a general theory of organismal metabolism. </w:t>
      </w:r>
      <w:r>
        <w:rPr>
          <w:i/>
          <w:iCs/>
        </w:rPr>
        <w:t>arXiv preprint arXiv:2408. 13998</w:t>
      </w:r>
    </w:p>
    <w:p w14:paraId="4CE3B528" w14:textId="77777777" w:rsidR="008F6E95" w:rsidRDefault="00000000">
      <w:pPr>
        <w:pStyle w:val="Bibliography"/>
      </w:pPr>
      <w:bookmarkStart w:id="35" w:name="ref-Kearney2024"/>
      <w:bookmarkEnd w:id="34"/>
      <w:r>
        <w:t xml:space="preserve">19.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56A98F8E" w14:textId="77777777" w:rsidR="008F6E95" w:rsidRDefault="00000000">
      <w:pPr>
        <w:pStyle w:val="Bibliography"/>
      </w:pPr>
      <w:bookmarkStart w:id="36" w:name="ref-Briscoe2023"/>
      <w:bookmarkEnd w:id="35"/>
      <w:r>
        <w:t xml:space="preserve">20.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1F51420" w14:textId="77777777" w:rsidR="008F6E95" w:rsidRDefault="00000000">
      <w:pPr>
        <w:pStyle w:val="Bibliography"/>
      </w:pPr>
      <w:bookmarkStart w:id="37" w:name="ref-Rezende2014"/>
      <w:bookmarkEnd w:id="36"/>
      <w:r>
        <w:t xml:space="preserve">21. </w:t>
      </w:r>
      <w:r>
        <w:tab/>
        <w:t xml:space="preserve">Rezende, E.L. </w:t>
      </w:r>
      <w:r>
        <w:rPr>
          <w:i/>
          <w:iCs/>
        </w:rPr>
        <w:t>et al.</w:t>
      </w:r>
      <w:r>
        <w:t xml:space="preserve"> (2014) Tolerance landscapes in thermal ecology. </w:t>
      </w:r>
      <w:r>
        <w:rPr>
          <w:i/>
          <w:iCs/>
        </w:rPr>
        <w:t>Funct. Ecol.</w:t>
      </w:r>
      <w:r>
        <w:t xml:space="preserve"> 28, 799–809</w:t>
      </w:r>
    </w:p>
    <w:p w14:paraId="7211EBC9" w14:textId="77777777" w:rsidR="008F6E95" w:rsidRDefault="00000000">
      <w:pPr>
        <w:pStyle w:val="Bibliography"/>
      </w:pPr>
      <w:bookmarkStart w:id="38" w:name="ref-Bimler2018"/>
      <w:bookmarkEnd w:id="37"/>
      <w:r>
        <w:t xml:space="preserve">22.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348F67E5" w14:textId="77777777" w:rsidR="008F6E95" w:rsidRDefault="00000000">
      <w:pPr>
        <w:pStyle w:val="Bibliography"/>
      </w:pPr>
      <w:bookmarkStart w:id="39" w:name="ref-Bowler2022"/>
      <w:bookmarkEnd w:id="38"/>
      <w:r>
        <w:t xml:space="preserve">23.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7C9188FD" w14:textId="77777777" w:rsidR="008F6E95" w:rsidRDefault="00000000">
      <w:pPr>
        <w:pStyle w:val="Bibliography"/>
      </w:pPr>
      <w:bookmarkStart w:id="40" w:name="ref-Fick2017"/>
      <w:bookmarkEnd w:id="39"/>
      <w:r>
        <w:lastRenderedPageBreak/>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6415914" w14:textId="77777777" w:rsidR="008F6E95" w:rsidRDefault="00000000">
      <w:pPr>
        <w:pStyle w:val="Bibliography"/>
      </w:pPr>
      <w:bookmarkStart w:id="41" w:name="ref-Kalnay2018"/>
      <w:bookmarkEnd w:id="40"/>
      <w:r>
        <w:t xml:space="preserve">25. </w:t>
      </w:r>
      <w:r>
        <w:tab/>
        <w:t xml:space="preserve">Kalnay, E. </w:t>
      </w:r>
      <w:r>
        <w:rPr>
          <w:i/>
          <w:iCs/>
        </w:rPr>
        <w:t>et al.</w:t>
      </w:r>
      <w:r>
        <w:t xml:space="preserve"> (2018) The NCEP/NCAR 40-year reanalysis project. In </w:t>
      </w:r>
      <w:r>
        <w:rPr>
          <w:i/>
          <w:iCs/>
        </w:rPr>
        <w:t>Renewable energy</w:t>
      </w:r>
      <w:r>
        <w:t>, pp. 146–194, Routledge</w:t>
      </w:r>
    </w:p>
    <w:p w14:paraId="4403482E" w14:textId="77777777" w:rsidR="008F6E95" w:rsidRDefault="00000000">
      <w:pPr>
        <w:pStyle w:val="Bibliography"/>
      </w:pPr>
      <w:bookmarkStart w:id="42" w:name="ref-Hersbach2020"/>
      <w:bookmarkEnd w:id="41"/>
      <w:r>
        <w:t xml:space="preserve">26. </w:t>
      </w:r>
      <w:r>
        <w:tab/>
        <w:t xml:space="preserve">Hersbach, H. </w:t>
      </w:r>
      <w:r>
        <w:rPr>
          <w:i/>
          <w:iCs/>
        </w:rPr>
        <w:t>et al.</w:t>
      </w:r>
      <w:r>
        <w:t xml:space="preserve"> (2020) The ERA5 global reanalysis. </w:t>
      </w:r>
      <w:r>
        <w:rPr>
          <w:i/>
          <w:iCs/>
        </w:rPr>
        <w:t>Quart. J. Roy. Meteor. Soc.</w:t>
      </w:r>
      <w:r>
        <w:t xml:space="preserve"> 146, 1999–2049</w:t>
      </w:r>
    </w:p>
    <w:p w14:paraId="4CF4E68D" w14:textId="77777777" w:rsidR="008F6E95" w:rsidRDefault="00000000">
      <w:pPr>
        <w:pStyle w:val="Bibliography"/>
      </w:pPr>
      <w:bookmarkStart w:id="43" w:name="ref-Klinges2022"/>
      <w:bookmarkEnd w:id="42"/>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6A3D80E4" w14:textId="77777777" w:rsidR="008F6E95" w:rsidRDefault="00000000">
      <w:pPr>
        <w:pStyle w:val="Bibliography"/>
      </w:pPr>
      <w:bookmarkStart w:id="44" w:name="ref-Meyer2023"/>
      <w:bookmarkEnd w:id="43"/>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5486AA94" w14:textId="77777777" w:rsidR="008F6E95" w:rsidRDefault="00000000">
      <w:pPr>
        <w:pStyle w:val="Bibliography"/>
      </w:pPr>
      <w:bookmarkStart w:id="45" w:name="ref-Munoz-Sabater2021"/>
      <w:bookmarkEnd w:id="44"/>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4D4AE45B" w14:textId="77777777" w:rsidR="008F6E95" w:rsidRDefault="00000000">
      <w:pPr>
        <w:pStyle w:val="Bibliography"/>
      </w:pPr>
      <w:bookmarkStart w:id="46" w:name="ref-Bezanson2012"/>
      <w:bookmarkEnd w:id="45"/>
      <w:r>
        <w:t xml:space="preserve">30. </w:t>
      </w:r>
      <w:r>
        <w:tab/>
        <w:t xml:space="preserve">Bezanson, J. </w:t>
      </w:r>
      <w:r>
        <w:rPr>
          <w:i/>
          <w:iCs/>
        </w:rPr>
        <w:t>et al.</w:t>
      </w:r>
      <w:r>
        <w:t xml:space="preserve"> (2012) Julia: A fast dynamic language for technical computing. </w:t>
      </w:r>
      <w:r>
        <w:rPr>
          <w:i/>
          <w:iCs/>
        </w:rPr>
        <w:t>arXiv [cs.PL]</w:t>
      </w:r>
    </w:p>
    <w:p w14:paraId="4D2742D0" w14:textId="77777777" w:rsidR="008F6E95" w:rsidRDefault="00000000">
      <w:pPr>
        <w:pStyle w:val="Bibliography"/>
      </w:pPr>
      <w:bookmarkStart w:id="47" w:name="ref-Yatunin2025"/>
      <w:bookmarkEnd w:id="46"/>
      <w:r>
        <w:t xml:space="preserve">31. </w:t>
      </w:r>
      <w:r>
        <w:tab/>
        <w:t xml:space="preserve">Yatunin, D. </w:t>
      </w:r>
      <w:r>
        <w:rPr>
          <w:i/>
          <w:iCs/>
        </w:rPr>
        <w:t>et al.</w:t>
      </w:r>
      <w:r>
        <w:t xml:space="preserve"> (2025) The climate modeling alliance atmosphere dynamical core: Concepts, numerics, and scaling. </w:t>
      </w:r>
      <w:r>
        <w:rPr>
          <w:i/>
          <w:iCs/>
        </w:rPr>
        <w:t>Authorea Preprints</w:t>
      </w:r>
    </w:p>
    <w:p w14:paraId="763AF189" w14:textId="77777777" w:rsidR="008F6E95" w:rsidRDefault="00000000">
      <w:pPr>
        <w:pStyle w:val="Bibliography"/>
      </w:pPr>
      <w:bookmarkStart w:id="48" w:name="ref-Braziunas2025"/>
      <w:bookmarkEnd w:id="47"/>
      <w:r>
        <w:t xml:space="preserve">32. </w:t>
      </w:r>
      <w:r>
        <w:tab/>
        <w:t xml:space="preserve">Braziunas, K.H. </w:t>
      </w:r>
      <w:r>
        <w:rPr>
          <w:i/>
          <w:iCs/>
        </w:rPr>
        <w:t>et al.</w:t>
      </w:r>
      <w:r>
        <w:t xml:space="preserve"> (2025) Microclimate temperature effects propagate across scales in forest ecosystems. </w:t>
      </w:r>
      <w:r>
        <w:rPr>
          <w:i/>
          <w:iCs/>
        </w:rPr>
        <w:t>Landsc. Ecol.</w:t>
      </w:r>
      <w:r>
        <w:t xml:space="preserve"> 40, 37</w:t>
      </w:r>
    </w:p>
    <w:p w14:paraId="4E511C04" w14:textId="77777777" w:rsidR="008F6E95" w:rsidRDefault="00000000">
      <w:pPr>
        <w:pStyle w:val="Bibliography"/>
      </w:pPr>
      <w:bookmarkStart w:id="49" w:name="ref-Kearney2017"/>
      <w:bookmarkEnd w:id="48"/>
      <w:r>
        <w:t xml:space="preserve">33. </w:t>
      </w:r>
      <w:r>
        <w:tab/>
        <w:t xml:space="preserve">Kearney, M.R. and Porter, W.P. (2017) NicheMapR – an R package for biophysical modelling: The microclimate model. </w:t>
      </w:r>
      <w:r>
        <w:rPr>
          <w:i/>
          <w:iCs/>
        </w:rPr>
        <w:t>Ecography (Cop.)</w:t>
      </w:r>
      <w:r>
        <w:t xml:space="preserve"> 40, 664–674</w:t>
      </w:r>
    </w:p>
    <w:p w14:paraId="18AC9A0D" w14:textId="77777777" w:rsidR="008F6E95" w:rsidRDefault="00000000">
      <w:pPr>
        <w:pStyle w:val="Bibliography"/>
      </w:pPr>
      <w:bookmarkStart w:id="50" w:name="ref-Maclean2019"/>
      <w:bookmarkEnd w:id="49"/>
      <w:r>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09E9AF9" w14:textId="77777777" w:rsidR="008F6E95" w:rsidRDefault="00000000">
      <w:pPr>
        <w:pStyle w:val="Bibliography"/>
      </w:pPr>
      <w:bookmarkStart w:id="51" w:name="ref-Kearney2020"/>
      <w:bookmarkEnd w:id="50"/>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FAC096A" w14:textId="77777777" w:rsidR="008F6E95" w:rsidRDefault="00000000">
      <w:pPr>
        <w:pStyle w:val="Bibliography"/>
      </w:pPr>
      <w:bookmarkStart w:id="52" w:name="ref-Maclean2021"/>
      <w:bookmarkEnd w:id="51"/>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15F201E0" w14:textId="77777777" w:rsidR="008F6E95" w:rsidRDefault="00000000">
      <w:pPr>
        <w:pStyle w:val="Bibliography"/>
      </w:pPr>
      <w:bookmarkStart w:id="53" w:name="ref-Buckley2023"/>
      <w:bookmarkEnd w:id="52"/>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003EA41A" w14:textId="77777777" w:rsidR="008F6E95" w:rsidRDefault="00000000">
      <w:pPr>
        <w:pStyle w:val="Bibliography"/>
      </w:pPr>
      <w:bookmarkStart w:id="54" w:name="ref-De_Frenne2024"/>
      <w:bookmarkEnd w:id="53"/>
      <w:r>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7E2A35FC" w14:textId="77777777" w:rsidR="008F6E95" w:rsidRDefault="00000000">
      <w:pPr>
        <w:pStyle w:val="Bibliography"/>
      </w:pPr>
      <w:bookmarkStart w:id="55" w:name="ref-Levy2016"/>
      <w:bookmarkEnd w:id="54"/>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3465FBC3" w14:textId="77777777" w:rsidR="008F6E95" w:rsidRDefault="00000000">
      <w:pPr>
        <w:pStyle w:val="Bibliography"/>
      </w:pPr>
      <w:bookmarkStart w:id="56" w:name="ref-Manzoni2022"/>
      <w:bookmarkEnd w:id="55"/>
      <w:r>
        <w:t xml:space="preserve">40. </w:t>
      </w:r>
      <w:r>
        <w:tab/>
        <w:t xml:space="preserve">Manzoni, S. </w:t>
      </w:r>
      <w:r>
        <w:rPr>
          <w:i/>
          <w:iCs/>
        </w:rPr>
        <w:t>et al.</w:t>
      </w:r>
      <w:r>
        <w:t xml:space="preserve"> (2022) Consistent responses of vegetation gas exchange to elevated atmospheric CO 2 emerge from heuristic and optimization models. </w:t>
      </w:r>
      <w:r>
        <w:rPr>
          <w:i/>
          <w:iCs/>
        </w:rPr>
        <w:t>Biogeosciences</w:t>
      </w:r>
      <w:r>
        <w:t xml:space="preserve"> 19, 4387–4414</w:t>
      </w:r>
    </w:p>
    <w:p w14:paraId="47782941" w14:textId="77777777" w:rsidR="008F6E95" w:rsidRDefault="00000000">
      <w:pPr>
        <w:pStyle w:val="Bibliography"/>
      </w:pPr>
      <w:bookmarkStart w:id="57" w:name="ref-Porter1973"/>
      <w:bookmarkEnd w:id="56"/>
      <w:r>
        <w:t xml:space="preserve">41.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67D36C0A" w14:textId="77777777" w:rsidR="008F6E95" w:rsidRDefault="00000000">
      <w:pPr>
        <w:pStyle w:val="Bibliography"/>
      </w:pPr>
      <w:bookmarkStart w:id="58" w:name="ref-Porter1969"/>
      <w:bookmarkEnd w:id="57"/>
      <w:r>
        <w:t xml:space="preserve">42. </w:t>
      </w:r>
      <w:r>
        <w:tab/>
        <w:t xml:space="preserve">Porter, W.P. and Gates, D.M. (1969) Thermodynamic equilibria of animals with environment. </w:t>
      </w:r>
      <w:r>
        <w:rPr>
          <w:i/>
          <w:iCs/>
        </w:rPr>
        <w:t>Ecol. Monogr.</w:t>
      </w:r>
      <w:r>
        <w:t xml:space="preserve"> 39, 227–244</w:t>
      </w:r>
    </w:p>
    <w:p w14:paraId="34E4BC23" w14:textId="77777777" w:rsidR="008F6E95" w:rsidRDefault="00000000">
      <w:pPr>
        <w:pStyle w:val="Bibliography"/>
      </w:pPr>
      <w:bookmarkStart w:id="59" w:name="ref-Riddell2017"/>
      <w:bookmarkEnd w:id="58"/>
      <w:r>
        <w:lastRenderedPageBreak/>
        <w:t xml:space="preserve">43.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461251E6" w14:textId="77777777" w:rsidR="008F6E95" w:rsidRDefault="00000000">
      <w:pPr>
        <w:pStyle w:val="Bibliography"/>
      </w:pPr>
      <w:bookmarkStart w:id="60" w:name="ref-Duursma2015"/>
      <w:bookmarkEnd w:id="59"/>
      <w:r>
        <w:t xml:space="preserve">44. </w:t>
      </w:r>
      <w:r>
        <w:tab/>
        <w:t xml:space="preserve">Duursma, R.A. (2015) Plantecophys–an R package for analysing and modelling leaf gas exchange data. </w:t>
      </w:r>
      <w:r>
        <w:rPr>
          <w:i/>
          <w:iCs/>
        </w:rPr>
        <w:t>PLoS One</w:t>
      </w:r>
      <w:r>
        <w:t xml:space="preserve"> 10, e0143346</w:t>
      </w:r>
    </w:p>
    <w:p w14:paraId="47DCAD76" w14:textId="77777777" w:rsidR="008F6E95" w:rsidRDefault="00000000">
      <w:pPr>
        <w:pStyle w:val="Bibliography"/>
      </w:pPr>
      <w:bookmarkStart w:id="61" w:name="ref-Briscoe2022"/>
      <w:bookmarkEnd w:id="60"/>
      <w:r>
        <w:t xml:space="preserve">45.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77F75796" w14:textId="77777777" w:rsidR="008F6E95" w:rsidRDefault="00000000">
      <w:pPr>
        <w:pStyle w:val="Bibliography"/>
      </w:pPr>
      <w:bookmarkStart w:id="62" w:name="ref-Loughran2020"/>
      <w:bookmarkEnd w:id="61"/>
      <w:r>
        <w:t xml:space="preserve">46.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6E81FE2" w14:textId="77777777" w:rsidR="008F6E95" w:rsidRDefault="00000000">
      <w:pPr>
        <w:pStyle w:val="Bibliography"/>
      </w:pPr>
      <w:bookmarkStart w:id="63" w:name="ref-Sharpe2022"/>
      <w:bookmarkEnd w:id="62"/>
      <w:r>
        <w:t xml:space="preserve">47.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721C0DD2" w14:textId="77777777" w:rsidR="008F6E95" w:rsidRDefault="00000000">
      <w:pPr>
        <w:pStyle w:val="Bibliography"/>
      </w:pPr>
      <w:bookmarkStart w:id="64" w:name="ref-Drake2018"/>
      <w:bookmarkEnd w:id="63"/>
      <w:r>
        <w:t xml:space="preserve">48.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394B20A2" w14:textId="77777777" w:rsidR="008F6E95" w:rsidRDefault="00000000">
      <w:pPr>
        <w:pStyle w:val="Bibliography"/>
      </w:pPr>
      <w:bookmarkStart w:id="65" w:name="ref-Posch2024"/>
      <w:bookmarkEnd w:id="64"/>
      <w:r>
        <w:t xml:space="preserve">49.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122FBD8C" w14:textId="77777777" w:rsidR="008F6E95" w:rsidRDefault="00000000">
      <w:pPr>
        <w:pStyle w:val="Bibliography"/>
      </w:pPr>
      <w:bookmarkStart w:id="66" w:name="ref-Orsted2022"/>
      <w:bookmarkEnd w:id="65"/>
      <w:r>
        <w:t xml:space="preserve">50.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4C875D67" w14:textId="77777777" w:rsidR="008F6E95" w:rsidRDefault="00000000">
      <w:pPr>
        <w:pStyle w:val="Bibliography"/>
      </w:pPr>
      <w:bookmarkStart w:id="67" w:name="ref-Jagadish2021"/>
      <w:bookmarkEnd w:id="66"/>
      <w:r>
        <w:t xml:space="preserve">51. </w:t>
      </w:r>
      <w:r>
        <w:tab/>
        <w:t xml:space="preserve">Jagadish, S.V.K. </w:t>
      </w:r>
      <w:r>
        <w:rPr>
          <w:i/>
          <w:iCs/>
        </w:rPr>
        <w:t>et al.</w:t>
      </w:r>
      <w:r>
        <w:t xml:space="preserve"> (2021) Plant heat stress: Concepts directing future research. </w:t>
      </w:r>
      <w:r>
        <w:rPr>
          <w:i/>
          <w:iCs/>
        </w:rPr>
        <w:t>Plant Cell Environ.</w:t>
      </w:r>
      <w:r>
        <w:t xml:space="preserve"> 44, 1992–2005</w:t>
      </w:r>
    </w:p>
    <w:p w14:paraId="00172571" w14:textId="77777777" w:rsidR="008F6E95" w:rsidRDefault="00000000">
      <w:pPr>
        <w:pStyle w:val="Bibliography"/>
      </w:pPr>
      <w:bookmarkStart w:id="68" w:name="ref-Faber2024"/>
      <w:bookmarkEnd w:id="67"/>
      <w:r>
        <w:t xml:space="preserve">52.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13041E8B" w14:textId="77777777" w:rsidR="008F6E95" w:rsidRDefault="00000000">
      <w:pPr>
        <w:pStyle w:val="Bibliography"/>
      </w:pPr>
      <w:bookmarkStart w:id="69" w:name="ref-Martinez-De_Leon2024"/>
      <w:bookmarkEnd w:id="68"/>
      <w:r>
        <w:t xml:space="preserve">53. </w:t>
      </w:r>
      <w:r>
        <w:tab/>
        <w:t xml:space="preserve">Martínez-De León, G. and Thakur, M.P. (2024) Ecological debts induced by heat extremes. </w:t>
      </w:r>
      <w:r>
        <w:rPr>
          <w:i/>
          <w:iCs/>
        </w:rPr>
        <w:t>Trends Ecol. Evol.</w:t>
      </w:r>
    </w:p>
    <w:p w14:paraId="201480B5" w14:textId="77777777" w:rsidR="008F6E95" w:rsidRDefault="00000000">
      <w:pPr>
        <w:pStyle w:val="Bibliography"/>
      </w:pPr>
      <w:bookmarkStart w:id="70" w:name="ref-Youngblood2025"/>
      <w:bookmarkEnd w:id="69"/>
      <w:r>
        <w:t xml:space="preserve">54. </w:t>
      </w:r>
      <w:r>
        <w:tab/>
        <w:t xml:space="preserve">Youngblood, J.P. </w:t>
      </w:r>
      <w:r>
        <w:rPr>
          <w:i/>
          <w:iCs/>
        </w:rPr>
        <w:t>et al.</w:t>
      </w:r>
      <w:r>
        <w:t xml:space="preserve"> (2025) Dehydration worsens heat tolerance of locusts and amplifies predicted impacts of climate change. </w:t>
      </w:r>
      <w:r>
        <w:rPr>
          <w:i/>
          <w:iCs/>
        </w:rPr>
        <w:t>Funct. Ecol.</w:t>
      </w:r>
    </w:p>
    <w:p w14:paraId="4D9A6874" w14:textId="77777777" w:rsidR="008F6E95" w:rsidRDefault="00000000">
      <w:pPr>
        <w:pStyle w:val="Bibliography"/>
      </w:pPr>
      <w:bookmarkStart w:id="71" w:name="ref-Chouhan2023"/>
      <w:bookmarkEnd w:id="70"/>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37A6037E" w14:textId="77777777" w:rsidR="008F6E95" w:rsidRDefault="00000000">
      <w:pPr>
        <w:pStyle w:val="Bibliography"/>
      </w:pPr>
      <w:bookmarkStart w:id="72" w:name="ref-Liu2025"/>
      <w:bookmarkEnd w:id="71"/>
      <w:r>
        <w:t xml:space="preserve">56. </w:t>
      </w:r>
      <w:r>
        <w:tab/>
        <w:t xml:space="preserve">Liu, Y. </w:t>
      </w:r>
      <w:r>
        <w:rPr>
          <w:i/>
          <w:iCs/>
        </w:rPr>
        <w:t>et al.</w:t>
      </w:r>
      <w:r>
        <w:t xml:space="preserve"> (2025) Beneficial microorganisms: Regulating growth and defense for plant welfare. </w:t>
      </w:r>
      <w:r>
        <w:rPr>
          <w:i/>
          <w:iCs/>
        </w:rPr>
        <w:t>Plant Biotechnol. J.</w:t>
      </w:r>
      <w:r>
        <w:t xml:space="preserve"> 23, 986–998</w:t>
      </w:r>
    </w:p>
    <w:p w14:paraId="76E0D6BB" w14:textId="77777777" w:rsidR="008F6E95" w:rsidRDefault="00000000">
      <w:pPr>
        <w:pStyle w:val="Bibliography"/>
      </w:pPr>
      <w:bookmarkStart w:id="73" w:name="ref-Marquez2007"/>
      <w:bookmarkEnd w:id="72"/>
      <w:r>
        <w:t xml:space="preserve">57.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2A9ABB99" w14:textId="77777777" w:rsidR="008F6E95" w:rsidRDefault="00000000">
      <w:pPr>
        <w:pStyle w:val="Bibliography"/>
      </w:pPr>
      <w:bookmarkStart w:id="74" w:name="ref-Huang2019"/>
      <w:bookmarkEnd w:id="73"/>
      <w:r>
        <w:t xml:space="preserve">58. </w:t>
      </w:r>
      <w:r>
        <w:tab/>
        <w:t xml:space="preserve">Huang, A.C. </w:t>
      </w:r>
      <w:r>
        <w:rPr>
          <w:i/>
          <w:iCs/>
        </w:rPr>
        <w:t>et al.</w:t>
      </w:r>
      <w:r>
        <w:t xml:space="preserve"> (2019) A specialized metabolic network selectively modulates arabidopsis root microbiota. </w:t>
      </w:r>
      <w:r>
        <w:rPr>
          <w:i/>
          <w:iCs/>
        </w:rPr>
        <w:t>Science</w:t>
      </w:r>
      <w:r>
        <w:t xml:space="preserve"> 364, eaau6389</w:t>
      </w:r>
    </w:p>
    <w:p w14:paraId="0D1B9335" w14:textId="77777777" w:rsidR="008F6E95" w:rsidRDefault="00000000">
      <w:pPr>
        <w:pStyle w:val="Bibliography"/>
      </w:pPr>
      <w:bookmarkStart w:id="75" w:name="ref-Dastogeer2022"/>
      <w:bookmarkEnd w:id="74"/>
      <w:r>
        <w:t xml:space="preserve">59.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5EB1BB0" w14:textId="77777777" w:rsidR="008F6E95" w:rsidRDefault="00000000">
      <w:pPr>
        <w:pStyle w:val="Bibliography"/>
      </w:pPr>
      <w:bookmarkStart w:id="76" w:name="ref-Hoang2019"/>
      <w:bookmarkEnd w:id="75"/>
      <w:r>
        <w:t xml:space="preserve">60.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7921B0F" w14:textId="77777777" w:rsidR="008F6E95" w:rsidRDefault="00000000">
      <w:pPr>
        <w:pStyle w:val="Bibliography"/>
      </w:pPr>
      <w:bookmarkStart w:id="77" w:name="ref-Gehman2019"/>
      <w:bookmarkEnd w:id="76"/>
      <w:r>
        <w:t xml:space="preserve">61. </w:t>
      </w:r>
      <w:r>
        <w:tab/>
        <w:t xml:space="preserve">Gehman, A.-L.M. and Harley, C.D.G. (2019) Symbiotic endolithic microbes alter host morphology and reduce host vulnerability to high environmental temperatures. </w:t>
      </w:r>
      <w:r>
        <w:rPr>
          <w:i/>
          <w:iCs/>
        </w:rPr>
        <w:t>Ecosphere</w:t>
      </w:r>
      <w:r>
        <w:t xml:space="preserve"> 10, e02683</w:t>
      </w:r>
    </w:p>
    <w:p w14:paraId="1B24EC7D" w14:textId="77777777" w:rsidR="008F6E95" w:rsidRDefault="00000000">
      <w:pPr>
        <w:pStyle w:val="Bibliography"/>
      </w:pPr>
      <w:bookmarkStart w:id="78" w:name="ref-Nisbet2000"/>
      <w:bookmarkEnd w:id="77"/>
      <w:r>
        <w:lastRenderedPageBreak/>
        <w:t xml:space="preserve">62.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291294F" w14:textId="77777777" w:rsidR="008F6E95" w:rsidRDefault="00000000">
      <w:pPr>
        <w:pStyle w:val="Bibliography"/>
      </w:pPr>
      <w:bookmarkStart w:id="79" w:name="ref-Jager2020"/>
      <w:bookmarkEnd w:id="78"/>
      <w:r>
        <w:t xml:space="preserve">63. </w:t>
      </w:r>
      <w:r>
        <w:tab/>
        <w:t xml:space="preserve">Jager, T. (2020) Revisiting simplified DEBtox models for analysing ecotoxicity data. </w:t>
      </w:r>
      <w:r>
        <w:rPr>
          <w:i/>
          <w:iCs/>
        </w:rPr>
        <w:t>Ecol. Modell.</w:t>
      </w:r>
      <w:r>
        <w:t xml:space="preserve"> 416, 108904</w:t>
      </w:r>
    </w:p>
    <w:p w14:paraId="45EABADA" w14:textId="77777777" w:rsidR="008F6E95" w:rsidRDefault="00000000">
      <w:pPr>
        <w:pStyle w:val="Bibliography"/>
      </w:pPr>
      <w:bookmarkStart w:id="80" w:name="ref-Haberle2025"/>
      <w:bookmarkEnd w:id="79"/>
      <w:r>
        <w:t xml:space="preserve">64. </w:t>
      </w:r>
      <w:r>
        <w:tab/>
        <w:t xml:space="preserve">Haberle, I. </w:t>
      </w:r>
      <w:r>
        <w:rPr>
          <w:i/>
          <w:iCs/>
        </w:rPr>
        <w:t>et al.</w:t>
      </w:r>
      <w:r>
        <w:t xml:space="preserve"> (2025) Comparing freshwater mussel responses to stress using life-history and dynamic energy budget theory. </w:t>
      </w:r>
      <w:r>
        <w:rPr>
          <w:i/>
          <w:iCs/>
        </w:rPr>
        <w:t>Sci. Total Environ.</w:t>
      </w:r>
      <w:r>
        <w:t xml:space="preserve"> 958, 177664</w:t>
      </w:r>
    </w:p>
    <w:p w14:paraId="590F2079" w14:textId="77777777" w:rsidR="008F6E95" w:rsidRDefault="00000000">
      <w:pPr>
        <w:pStyle w:val="Bibliography"/>
      </w:pPr>
      <w:bookmarkStart w:id="81" w:name="ref-Kearney2013"/>
      <w:bookmarkEnd w:id="80"/>
      <w:r>
        <w:t xml:space="preserve">65.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345DB5A6" w14:textId="77777777" w:rsidR="008F6E95" w:rsidRDefault="00000000">
      <w:pPr>
        <w:pStyle w:val="Bibliography"/>
      </w:pPr>
      <w:bookmarkStart w:id="82" w:name="ref-Kearney2010"/>
      <w:bookmarkEnd w:id="81"/>
      <w:r>
        <w:t xml:space="preserve">66.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0A0E662B" w14:textId="77777777" w:rsidR="008F6E95" w:rsidRDefault="00000000">
      <w:pPr>
        <w:pStyle w:val="Bibliography"/>
      </w:pPr>
      <w:bookmarkStart w:id="83" w:name="ref-Russo2022"/>
      <w:bookmarkEnd w:id="82"/>
      <w:r>
        <w:t xml:space="preserve">67. </w:t>
      </w:r>
      <w:r>
        <w:tab/>
        <w:t xml:space="preserve">Russo, S.E. </w:t>
      </w:r>
      <w:r>
        <w:rPr>
          <w:i/>
          <w:iCs/>
        </w:rPr>
        <w:t>et al.</w:t>
      </w:r>
      <w:r>
        <w:t xml:space="preserve"> (2022) Dynamic energy budget models: Fertile ground for understanding resource allocation in plants in a changing world. </w:t>
      </w:r>
      <w:r>
        <w:rPr>
          <w:i/>
          <w:iCs/>
        </w:rPr>
        <w:t>Conserv. Physiol.</w:t>
      </w:r>
      <w:r>
        <w:t xml:space="preserve"> 10, coac061</w:t>
      </w:r>
    </w:p>
    <w:p w14:paraId="65723053" w14:textId="77777777" w:rsidR="008F6E95" w:rsidRDefault="00000000">
      <w:pPr>
        <w:pStyle w:val="Bibliography"/>
      </w:pPr>
      <w:bookmarkStart w:id="84" w:name="ref-Marques2018"/>
      <w:bookmarkEnd w:id="83"/>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68B4BC89" w14:textId="77777777" w:rsidR="008F6E95" w:rsidRDefault="00000000">
      <w:pPr>
        <w:pStyle w:val="Bibliography"/>
      </w:pPr>
      <w:bookmarkStart w:id="85" w:name="ref-Kooijman2021"/>
      <w:bookmarkEnd w:id="84"/>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78B1D28C" w14:textId="77777777" w:rsidR="008F6E95" w:rsidRDefault="00000000">
      <w:pPr>
        <w:pStyle w:val="Bibliography"/>
      </w:pPr>
      <w:bookmarkStart w:id="86" w:name="ref-Bruggeman2009"/>
      <w:bookmarkEnd w:id="85"/>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58E72B96" w14:textId="77777777" w:rsidR="008F6E95" w:rsidRDefault="00000000">
      <w:pPr>
        <w:pStyle w:val="Bibliography"/>
      </w:pPr>
      <w:bookmarkStart w:id="87" w:name="ref-Kearney2020a"/>
      <w:bookmarkEnd w:id="86"/>
      <w:r>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377FF488" w14:textId="77777777" w:rsidR="008F6E95" w:rsidRDefault="00000000">
      <w:pPr>
        <w:pStyle w:val="Bibliography"/>
      </w:pPr>
      <w:bookmarkStart w:id="88" w:name="ref-Ricker1954a"/>
      <w:bookmarkEnd w:id="87"/>
      <w:r>
        <w:t xml:space="preserve">72. </w:t>
      </w:r>
      <w:r>
        <w:tab/>
        <w:t xml:space="preserve">Ricker, W.E. (1954) Stock and recruitment. </w:t>
      </w:r>
      <w:r>
        <w:rPr>
          <w:i/>
          <w:iCs/>
        </w:rPr>
        <w:t>J. Fish. Res. Board Can.</w:t>
      </w:r>
      <w:r>
        <w:t xml:space="preserve"> 11, 559–623</w:t>
      </w:r>
    </w:p>
    <w:p w14:paraId="42D4D37B" w14:textId="77777777" w:rsidR="008F6E95" w:rsidRDefault="00000000">
      <w:pPr>
        <w:pStyle w:val="Bibliography"/>
      </w:pPr>
      <w:bookmarkStart w:id="89" w:name="ref-Beverton2012"/>
      <w:bookmarkEnd w:id="88"/>
      <w:r>
        <w:t xml:space="preserve">73. </w:t>
      </w:r>
      <w:r>
        <w:tab/>
        <w:t xml:space="preserve">Beverton, R.J.H. and Holt, S. (2012) </w:t>
      </w:r>
      <w:r>
        <w:rPr>
          <w:i/>
          <w:iCs/>
        </w:rPr>
        <w:t>On the dynamics of exploited fish populations</w:t>
      </w:r>
      <w:r>
        <w:t>, Springer</w:t>
      </w:r>
    </w:p>
    <w:p w14:paraId="79C1F9DC" w14:textId="77777777" w:rsidR="008F6E95" w:rsidRDefault="00000000">
      <w:pPr>
        <w:pStyle w:val="Bibliography"/>
      </w:pPr>
      <w:bookmarkStart w:id="90" w:name="ref-Bertness1994"/>
      <w:bookmarkEnd w:id="89"/>
      <w:r>
        <w:t xml:space="preserve">74. </w:t>
      </w:r>
      <w:r>
        <w:tab/>
        <w:t xml:space="preserve">Bertness, M. and Callaway, R. (1994) Positive interactions in communities. </w:t>
      </w:r>
      <w:r>
        <w:rPr>
          <w:i/>
          <w:iCs/>
        </w:rPr>
        <w:t>Trends Ecol. Evol.</w:t>
      </w:r>
      <w:r>
        <w:t xml:space="preserve"> 9, 191–193</w:t>
      </w:r>
    </w:p>
    <w:p w14:paraId="219B6782" w14:textId="77777777" w:rsidR="008F6E95" w:rsidRDefault="00000000">
      <w:pPr>
        <w:pStyle w:val="Bibliography"/>
      </w:pPr>
      <w:bookmarkStart w:id="91" w:name="ref-Weiss-Lehman2022"/>
      <w:bookmarkEnd w:id="90"/>
      <w:r>
        <w:t xml:space="preserve">75. </w:t>
      </w:r>
      <w:r>
        <w:tab/>
        <w:t xml:space="preserve">Weiss-Lehman, C.P. </w:t>
      </w:r>
      <w:r>
        <w:rPr>
          <w:i/>
          <w:iCs/>
        </w:rPr>
        <w:t>et al.</w:t>
      </w:r>
      <w:r>
        <w:t xml:space="preserve"> (2022) Disentangling key species interactions in diverse and heterogeneous communities: A bayesian sparse modelling approach. </w:t>
      </w:r>
      <w:r>
        <w:rPr>
          <w:i/>
          <w:iCs/>
        </w:rPr>
        <w:t>Ecol. Lett.</w:t>
      </w:r>
      <w:r>
        <w:t xml:space="preserve"> 25, 1263–1276</w:t>
      </w:r>
    </w:p>
    <w:p w14:paraId="61DE9FFF" w14:textId="77777777" w:rsidR="008F6E95" w:rsidRDefault="00000000">
      <w:pPr>
        <w:pStyle w:val="Bibliography"/>
      </w:pPr>
      <w:bookmarkStart w:id="92" w:name="ref-Chevin2017"/>
      <w:bookmarkEnd w:id="91"/>
      <w:r>
        <w:t xml:space="preserve">76. </w:t>
      </w:r>
      <w:r>
        <w:tab/>
        <w:t xml:space="preserve">Chevin, L.-M. and Hoffmann, A.A. (2017) Evolution of phenotypic plasticity in extreme environments. </w:t>
      </w:r>
      <w:r>
        <w:rPr>
          <w:i/>
          <w:iCs/>
        </w:rPr>
        <w:t>Philos. Trans. R. Soc. Lond. B Biol. Sci.</w:t>
      </w:r>
      <w:r>
        <w:t xml:space="preserve"> 372</w:t>
      </w:r>
    </w:p>
    <w:p w14:paraId="34ACD533" w14:textId="77777777" w:rsidR="008F6E95" w:rsidRDefault="00000000">
      <w:pPr>
        <w:pStyle w:val="Bibliography"/>
      </w:pPr>
      <w:bookmarkStart w:id="93" w:name="ref-Urban2024"/>
      <w:bookmarkEnd w:id="92"/>
      <w:r>
        <w:t xml:space="preserve">77.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657BDE04" w14:textId="77777777" w:rsidR="008F6E95" w:rsidRDefault="00000000">
      <w:pPr>
        <w:pStyle w:val="Bibliography"/>
      </w:pPr>
      <w:bookmarkStart w:id="94" w:name="ref-Hoffmann2011"/>
      <w:bookmarkEnd w:id="93"/>
      <w:r>
        <w:t xml:space="preserve">78. </w:t>
      </w:r>
      <w:r>
        <w:tab/>
        <w:t>Hoffmann, A.A. and Sgrò, C.M. (2011) Climate change and evolutionary adaptation. 470, 479–485</w:t>
      </w:r>
    </w:p>
    <w:p w14:paraId="5C012D26" w14:textId="77777777" w:rsidR="008F6E95" w:rsidRDefault="00000000">
      <w:pPr>
        <w:pStyle w:val="Bibliography"/>
      </w:pPr>
      <w:bookmarkStart w:id="95" w:name="ref-Hoffmann2022"/>
      <w:bookmarkEnd w:id="94"/>
      <w:r>
        <w:t xml:space="preserve">79. </w:t>
      </w:r>
      <w:r>
        <w:tab/>
        <w:t xml:space="preserve">Hoffmann, A.A. and Bridle, J. (2022) The dangers of irreversibility in an age of increased uncertainty: Revisiting plasticity in invertebrates. </w:t>
      </w:r>
      <w:r>
        <w:rPr>
          <w:i/>
          <w:iCs/>
        </w:rPr>
        <w:t>Oikos</w:t>
      </w:r>
      <w:r>
        <w:t xml:space="preserve"> 2022</w:t>
      </w:r>
    </w:p>
    <w:p w14:paraId="342DE1A6" w14:textId="77777777" w:rsidR="008F6E95" w:rsidRDefault="00000000">
      <w:pPr>
        <w:pStyle w:val="Bibliography"/>
      </w:pPr>
      <w:bookmarkStart w:id="96" w:name="ref-Ghalambor2015"/>
      <w:bookmarkEnd w:id="95"/>
      <w:r>
        <w:t xml:space="preserve">80.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5F3664C9" w14:textId="77777777" w:rsidR="008F6E95" w:rsidRDefault="00000000">
      <w:pPr>
        <w:pStyle w:val="Bibliography"/>
      </w:pPr>
      <w:bookmarkStart w:id="97" w:name="ref-Oostra2018"/>
      <w:bookmarkEnd w:id="96"/>
      <w:r>
        <w:t xml:space="preserve">81.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4C557CC" w14:textId="77777777" w:rsidR="008F6E95" w:rsidRDefault="00000000">
      <w:pPr>
        <w:pStyle w:val="Bibliography"/>
      </w:pPr>
      <w:bookmarkStart w:id="98" w:name="ref-Noble2019"/>
      <w:bookmarkEnd w:id="97"/>
      <w:r>
        <w:lastRenderedPageBreak/>
        <w:t xml:space="preserve">82.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61C612B6" w14:textId="77777777" w:rsidR="008F6E95" w:rsidRDefault="00000000">
      <w:pPr>
        <w:pStyle w:val="Bibliography"/>
      </w:pPr>
      <w:bookmarkStart w:id="99" w:name="ref-Sousa2010"/>
      <w:bookmarkEnd w:id="98"/>
      <w:r>
        <w:t xml:space="preserve">83.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06C8B5A6" w14:textId="77777777" w:rsidR="008F6E95" w:rsidRDefault="00000000">
      <w:pPr>
        <w:pStyle w:val="Bibliography"/>
      </w:pPr>
      <w:bookmarkStart w:id="100" w:name="ref-Lande1979"/>
      <w:bookmarkEnd w:id="99"/>
      <w:r>
        <w:t xml:space="preserve">84. </w:t>
      </w:r>
      <w:r>
        <w:tab/>
        <w:t xml:space="preserve">Lande, R. (1979) Quantitative genetic analysis of multivariate evolution, applied to brain:body size allometry. </w:t>
      </w:r>
      <w:r>
        <w:rPr>
          <w:i/>
          <w:iCs/>
        </w:rPr>
        <w:t>Evolution</w:t>
      </w:r>
      <w:r>
        <w:t xml:space="preserve"> 33</w:t>
      </w:r>
    </w:p>
    <w:p w14:paraId="5CED5980" w14:textId="77777777" w:rsidR="008F6E95" w:rsidRDefault="00000000">
      <w:pPr>
        <w:pStyle w:val="Bibliography"/>
      </w:pPr>
      <w:bookmarkStart w:id="101" w:name="ref-Walsh2018"/>
      <w:bookmarkEnd w:id="100"/>
      <w:r>
        <w:t xml:space="preserve">85. </w:t>
      </w:r>
      <w:r>
        <w:tab/>
        <w:t xml:space="preserve">Walsh, B. and Lynch, M. (2018) </w:t>
      </w:r>
      <w:r>
        <w:rPr>
          <w:i/>
          <w:iCs/>
        </w:rPr>
        <w:t>Evolution and selection of quantitative traits</w:t>
      </w:r>
      <w:r>
        <w:t>, Oxford University Press</w:t>
      </w:r>
    </w:p>
    <w:p w14:paraId="188F662F" w14:textId="77777777" w:rsidR="008F6E95" w:rsidRDefault="00000000">
      <w:pPr>
        <w:pStyle w:val="Bibliography"/>
      </w:pPr>
      <w:bookmarkStart w:id="102" w:name="ref-Baeza_Icaza2025"/>
      <w:bookmarkEnd w:id="101"/>
      <w:r>
        <w:t xml:space="preserve">86.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04FD504" w14:textId="77777777" w:rsidR="008F6E95" w:rsidRDefault="00000000">
      <w:pPr>
        <w:pStyle w:val="Bibliography"/>
      </w:pPr>
      <w:bookmarkStart w:id="103" w:name="ref-Kearney2009a"/>
      <w:bookmarkEnd w:id="102"/>
      <w:r>
        <w:t xml:space="preserve">87.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21ABE048" w14:textId="77777777" w:rsidR="008F6E95" w:rsidRDefault="00000000">
      <w:pPr>
        <w:pStyle w:val="Bibliography"/>
      </w:pPr>
      <w:bookmarkStart w:id="104" w:name="ref-Ellner2011"/>
      <w:bookmarkEnd w:id="103"/>
      <w:r>
        <w:t xml:space="preserve">88.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9C7FE39" w14:textId="77777777" w:rsidR="008F6E95" w:rsidRDefault="00000000">
      <w:pPr>
        <w:pStyle w:val="Bibliography"/>
      </w:pPr>
      <w:bookmarkStart w:id="105" w:name="ref-Pottier2022a"/>
      <w:bookmarkEnd w:id="104"/>
      <w:r>
        <w:t xml:space="preserve">89.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870C944" w14:textId="77777777" w:rsidR="008F6E95" w:rsidRDefault="00000000">
      <w:pPr>
        <w:pStyle w:val="Bibliography"/>
      </w:pPr>
      <w:bookmarkStart w:id="106" w:name="ref-Leiva2024b"/>
      <w:bookmarkEnd w:id="105"/>
      <w:r>
        <w:t xml:space="preserve">90. </w:t>
      </w:r>
      <w:r>
        <w:tab/>
        <w:t xml:space="preserve">Leiva, F.P. </w:t>
      </w:r>
      <w:r>
        <w:rPr>
          <w:i/>
          <w:iCs/>
        </w:rPr>
        <w:t>et al.</w:t>
      </w:r>
      <w:r>
        <w:t xml:space="preserve"> (2024) Genetic variation of heat tolerance in a model ectotherm: An approach using thermal death time curves</w:t>
      </w:r>
    </w:p>
    <w:p w14:paraId="49E61982" w14:textId="77777777" w:rsidR="008F6E95" w:rsidRDefault="00000000">
      <w:pPr>
        <w:pStyle w:val="Bibliography"/>
      </w:pPr>
      <w:bookmarkStart w:id="107" w:name="ref-Arnold2019a"/>
      <w:bookmarkEnd w:id="106"/>
      <w:r>
        <w:t xml:space="preserve">91.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1B6D67F8" w14:textId="77777777" w:rsidR="008F6E95" w:rsidRDefault="00000000">
      <w:pPr>
        <w:pStyle w:val="Bibliography"/>
      </w:pPr>
      <w:bookmarkStart w:id="108" w:name="ref-Arnold2024"/>
      <w:bookmarkEnd w:id="107"/>
      <w:r>
        <w:t xml:space="preserve">92.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4F3A6378" w14:textId="77777777" w:rsidR="008F6E95" w:rsidRDefault="00000000">
      <w:pPr>
        <w:pStyle w:val="Bibliography"/>
      </w:pPr>
      <w:bookmarkStart w:id="109" w:name="ref-Assessment_undated-fv"/>
      <w:bookmarkEnd w:id="108"/>
      <w:r>
        <w:t xml:space="preserve">93. </w:t>
      </w:r>
      <w:r>
        <w:tab/>
        <w:t>Assessment, M.E. (2005) Opportunities and challenges for business and industryunioviedo.es</w:t>
      </w:r>
    </w:p>
    <w:p w14:paraId="0E06CC49" w14:textId="77777777" w:rsidR="008F6E95" w:rsidRDefault="00000000">
      <w:pPr>
        <w:pStyle w:val="Bibliography"/>
      </w:pPr>
      <w:bookmarkStart w:id="110" w:name="ref-Dandy2019"/>
      <w:bookmarkEnd w:id="109"/>
      <w:r>
        <w:t xml:space="preserve">94.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35D7D041" w14:textId="77777777" w:rsidR="008F6E95" w:rsidRDefault="00000000">
      <w:pPr>
        <w:pStyle w:val="Bibliography"/>
      </w:pPr>
      <w:bookmarkStart w:id="111" w:name="ref-Price2014"/>
      <w:bookmarkEnd w:id="110"/>
      <w:r>
        <w:t xml:space="preserve">95. </w:t>
      </w:r>
      <w:r>
        <w:tab/>
        <w:t xml:space="preserve">Price, J.C. and Leviston, Z. (2014) Predicting pro-environmental agricultural practices: The social, psychological and contextual influences on land management. </w:t>
      </w:r>
      <w:r>
        <w:rPr>
          <w:i/>
          <w:iCs/>
        </w:rPr>
        <w:t>J. Rural Stud.</w:t>
      </w:r>
      <w:r>
        <w:t xml:space="preserve"> 34, 65–78</w:t>
      </w:r>
    </w:p>
    <w:p w14:paraId="335D2F3F" w14:textId="77777777" w:rsidR="008F6E95" w:rsidRDefault="00000000">
      <w:pPr>
        <w:pStyle w:val="Bibliography"/>
      </w:pPr>
      <w:bookmarkStart w:id="112" w:name="ref-Leviston2018"/>
      <w:bookmarkEnd w:id="111"/>
      <w:r>
        <w:t xml:space="preserve">96.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18EA515E" w14:textId="77777777" w:rsidR="008F6E95" w:rsidRDefault="00000000">
      <w:pPr>
        <w:pStyle w:val="Bibliography"/>
      </w:pPr>
      <w:bookmarkStart w:id="113" w:name="ref-Bai2016"/>
      <w:bookmarkEnd w:id="112"/>
      <w:r>
        <w:t xml:space="preserve">97.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70402F94" w14:textId="77777777" w:rsidR="008F6E95" w:rsidRDefault="00000000">
      <w:pPr>
        <w:pStyle w:val="Bibliography"/>
      </w:pPr>
      <w:bookmarkStart w:id="114" w:name="ref-Grimm2008"/>
      <w:bookmarkEnd w:id="113"/>
      <w:r>
        <w:t xml:space="preserve">98. </w:t>
      </w:r>
      <w:r>
        <w:tab/>
        <w:t xml:space="preserve">Grimm, N.B. </w:t>
      </w:r>
      <w:r>
        <w:rPr>
          <w:i/>
          <w:iCs/>
        </w:rPr>
        <w:t>et al.</w:t>
      </w:r>
      <w:r>
        <w:t xml:space="preserve"> (2008) Global change and the ecology of cities. </w:t>
      </w:r>
      <w:r>
        <w:rPr>
          <w:i/>
          <w:iCs/>
        </w:rPr>
        <w:t>Science</w:t>
      </w:r>
      <w:r>
        <w:t xml:space="preserve"> 319, 756–760</w:t>
      </w:r>
    </w:p>
    <w:p w14:paraId="696E35F4" w14:textId="77777777" w:rsidR="008F6E95" w:rsidRDefault="00000000">
      <w:pPr>
        <w:pStyle w:val="Bibliography"/>
      </w:pPr>
      <w:bookmarkStart w:id="115" w:name="ref-Hendricks2022"/>
      <w:bookmarkEnd w:id="114"/>
      <w:r>
        <w:t xml:space="preserve">99. </w:t>
      </w:r>
      <w:r>
        <w:tab/>
        <w:t xml:space="preserve">Hendricks, J. </w:t>
      </w:r>
      <w:r>
        <w:rPr>
          <w:i/>
          <w:iCs/>
        </w:rPr>
        <w:t>et al.</w:t>
      </w:r>
      <w:r>
        <w:t xml:space="preserve"> (2022) Public perceptions of potential adaptations for mitigating heat stress on australian dairy farms. </w:t>
      </w:r>
      <w:r>
        <w:rPr>
          <w:i/>
          <w:iCs/>
        </w:rPr>
        <w:t>J. Dairy Sci.</w:t>
      </w:r>
      <w:r>
        <w:t xml:space="preserve"> 105, 5893–5908</w:t>
      </w:r>
    </w:p>
    <w:p w14:paraId="4418AEC7" w14:textId="77777777" w:rsidR="008F6E95" w:rsidRDefault="00000000">
      <w:pPr>
        <w:pStyle w:val="Bibliography"/>
      </w:pPr>
      <w:bookmarkStart w:id="116" w:name="ref-Sutanto2020"/>
      <w:bookmarkEnd w:id="115"/>
      <w:r>
        <w:t xml:space="preserve">100. </w:t>
      </w:r>
      <w:r>
        <w:tab/>
        <w:t xml:space="preserve">Sutanto, S.J. </w:t>
      </w:r>
      <w:r>
        <w:rPr>
          <w:i/>
          <w:iCs/>
        </w:rPr>
        <w:t>et al.</w:t>
      </w:r>
      <w:r>
        <w:t xml:space="preserve"> (2020) Heatwaves, droughts, and fires: Exploring compound and cascading dry hazards at the pan-european scale. </w:t>
      </w:r>
      <w:r>
        <w:rPr>
          <w:i/>
          <w:iCs/>
        </w:rPr>
        <w:t>Environ. Int.</w:t>
      </w:r>
      <w:r>
        <w:t xml:space="preserve"> 134, 105276</w:t>
      </w:r>
    </w:p>
    <w:p w14:paraId="01F5D9AB" w14:textId="77777777" w:rsidR="008F6E95" w:rsidRDefault="00000000">
      <w:pPr>
        <w:pStyle w:val="Bibliography"/>
      </w:pPr>
      <w:bookmarkStart w:id="117" w:name="ref-Liu2007"/>
      <w:bookmarkEnd w:id="116"/>
      <w:r>
        <w:lastRenderedPageBreak/>
        <w:t xml:space="preserve">101. </w:t>
      </w:r>
      <w:r>
        <w:tab/>
        <w:t xml:space="preserve">Liu, J. </w:t>
      </w:r>
      <w:r>
        <w:rPr>
          <w:i/>
          <w:iCs/>
        </w:rPr>
        <w:t>et al.</w:t>
      </w:r>
      <w:r>
        <w:t xml:space="preserve"> (2007) Coupled human and natural systems. </w:t>
      </w:r>
      <w:r>
        <w:rPr>
          <w:i/>
          <w:iCs/>
        </w:rPr>
        <w:t>Ambio</w:t>
      </w:r>
      <w:r>
        <w:t xml:space="preserve"> 36, 639–649</w:t>
      </w:r>
    </w:p>
    <w:p w14:paraId="4FAC32A3" w14:textId="77777777" w:rsidR="008F6E95" w:rsidRDefault="00000000">
      <w:pPr>
        <w:pStyle w:val="Bibliography"/>
      </w:pPr>
      <w:bookmarkStart w:id="118" w:name="ref-Black2011"/>
      <w:bookmarkEnd w:id="117"/>
      <w:r>
        <w:t xml:space="preserve">102. </w:t>
      </w:r>
      <w:r>
        <w:tab/>
        <w:t xml:space="preserve">Black, R. </w:t>
      </w:r>
      <w:r>
        <w:rPr>
          <w:i/>
          <w:iCs/>
        </w:rPr>
        <w:t>et al.</w:t>
      </w:r>
      <w:r>
        <w:t xml:space="preserve"> (2011) The effect of environmental change on human migration. </w:t>
      </w:r>
      <w:r>
        <w:rPr>
          <w:i/>
          <w:iCs/>
        </w:rPr>
        <w:t>Glob. Environ. Change</w:t>
      </w:r>
      <w:r>
        <w:t xml:space="preserve"> 21, S3–S11</w:t>
      </w:r>
    </w:p>
    <w:p w14:paraId="1C1F75EE" w14:textId="77777777" w:rsidR="008F6E95" w:rsidRDefault="00000000">
      <w:pPr>
        <w:pStyle w:val="Bibliography"/>
      </w:pPr>
      <w:bookmarkStart w:id="119" w:name="ref-Neil_Adger1999"/>
      <w:bookmarkEnd w:id="118"/>
      <w:r>
        <w:t xml:space="preserve">103. </w:t>
      </w:r>
      <w:r>
        <w:tab/>
        <w:t xml:space="preserve">Neil Adger, W. (1999) Social vulnerability to climate change and extremes in coastal vietnam. </w:t>
      </w:r>
      <w:r>
        <w:rPr>
          <w:i/>
          <w:iCs/>
        </w:rPr>
        <w:t>World Dev.</w:t>
      </w:r>
      <w:r>
        <w:t xml:space="preserve"> 27, 249–269</w:t>
      </w:r>
    </w:p>
    <w:p w14:paraId="7DFBE65A" w14:textId="77777777" w:rsidR="008F6E95" w:rsidRDefault="00000000">
      <w:pPr>
        <w:pStyle w:val="Bibliography"/>
      </w:pPr>
      <w:bookmarkStart w:id="120" w:name="ref-Folke2016"/>
      <w:bookmarkEnd w:id="119"/>
      <w:r>
        <w:t xml:space="preserve">104.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43C1020E" w14:textId="77777777" w:rsidR="008F6E95" w:rsidRDefault="00000000">
      <w:pPr>
        <w:pStyle w:val="Bibliography"/>
      </w:pPr>
      <w:bookmarkStart w:id="121" w:name="ref-Schluter2012"/>
      <w:bookmarkEnd w:id="120"/>
      <w:r>
        <w:t xml:space="preserve">105.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5E78BA8F" w14:textId="77777777" w:rsidR="008F6E95" w:rsidRDefault="00000000">
      <w:pPr>
        <w:pStyle w:val="Bibliography"/>
      </w:pPr>
      <w:bookmarkStart w:id="122" w:name="ref-Wise2014"/>
      <w:bookmarkEnd w:id="121"/>
      <w:r>
        <w:t xml:space="preserve">106.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p w14:paraId="5899FA3B" w14:textId="77777777" w:rsidR="008F6E95" w:rsidRDefault="00000000">
      <w:pPr>
        <w:pStyle w:val="Bibliography"/>
      </w:pPr>
      <w:bookmarkStart w:id="123" w:name="ref-Biggs2021"/>
      <w:bookmarkEnd w:id="122"/>
      <w:r>
        <w:t xml:space="preserve">107. </w:t>
      </w:r>
      <w:r>
        <w:tab/>
        <w:t xml:space="preserve">Biggs, R. </w:t>
      </w:r>
      <w:r>
        <w:rPr>
          <w:i/>
          <w:iCs/>
        </w:rPr>
        <w:t>et al.</w:t>
      </w:r>
      <w:r>
        <w:t xml:space="preserve"> (2021) </w:t>
      </w:r>
      <w:r>
        <w:rPr>
          <w:i/>
          <w:iCs/>
        </w:rPr>
        <w:t>The routledge handbook of research methods for social-ecological systems</w:t>
      </w:r>
      <w:r>
        <w:t>, Taylor &amp; Francis</w:t>
      </w:r>
    </w:p>
    <w:p w14:paraId="2621940F" w14:textId="77777777" w:rsidR="008F6E95" w:rsidRDefault="00000000">
      <w:pPr>
        <w:pStyle w:val="Bibliography"/>
      </w:pPr>
      <w:bookmarkStart w:id="124" w:name="ref-Brown2021"/>
      <w:bookmarkEnd w:id="123"/>
      <w:r>
        <w:t xml:space="preserve">108. </w:t>
      </w:r>
      <w:r>
        <w:tab/>
        <w:t xml:space="preserve">Brown, C. and Rounsevell, M. (2021) How can social–ecological system models simulate the emergence of social–ecological crises? </w:t>
      </w:r>
      <w:r>
        <w:rPr>
          <w:i/>
          <w:iCs/>
        </w:rPr>
        <w:t>People Nat. (Hoboken)</w:t>
      </w:r>
      <w:r>
        <w:t xml:space="preserve"> 3, 88–103</w:t>
      </w:r>
    </w:p>
    <w:p w14:paraId="7139C921" w14:textId="77777777" w:rsidR="008F6E95" w:rsidRDefault="00000000">
      <w:pPr>
        <w:pStyle w:val="Bibliography"/>
      </w:pPr>
      <w:bookmarkStart w:id="125" w:name="ref-Kwakkel2013"/>
      <w:bookmarkEnd w:id="124"/>
      <w:r>
        <w:t xml:space="preserve">109. </w:t>
      </w:r>
      <w:r>
        <w:tab/>
        <w:t xml:space="preserve">Kwakkel, J.H. and Pruyt, E. (2013) Exploratory modeling and analysis, an approach for model-based foresight under deep uncertainty. </w:t>
      </w:r>
      <w:r>
        <w:rPr>
          <w:i/>
          <w:iCs/>
        </w:rPr>
        <w:t>Technol. Forecast. Soc. Change</w:t>
      </w:r>
      <w:r>
        <w:t xml:space="preserve"> 80, 419–431</w:t>
      </w:r>
    </w:p>
    <w:p w14:paraId="50E5F458" w14:textId="77777777" w:rsidR="008F6E95" w:rsidRDefault="00000000">
      <w:pPr>
        <w:pStyle w:val="Bibliography"/>
      </w:pPr>
      <w:bookmarkStart w:id="126" w:name="ref-Shekhawat2022"/>
      <w:bookmarkEnd w:id="125"/>
      <w:r>
        <w:t xml:space="preserve">110.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bookmarkEnd w:id="15"/>
    <w:bookmarkEnd w:id="17"/>
    <w:bookmarkEnd w:id="126"/>
    <w:p w14:paraId="20DBA977" w14:textId="77777777" w:rsidR="008F6E95" w:rsidRDefault="008F6E95">
      <w:pPr>
        <w:pStyle w:val="BodyText"/>
      </w:pPr>
    </w:p>
    <w:sectPr w:rsidR="008F6E95" w:rsidSect="006A2A8B">
      <w:pgSz w:w="12240" w:h="15840"/>
      <w:pgMar w:top="851" w:right="851" w:bottom="851" w:left="851" w:header="720" w:footer="720" w:gutter="0"/>
      <w:lnNumType w:countBy="1" w:restart="continuou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F3C2FD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85642192">
    <w:abstractNumId w:val="10"/>
  </w:num>
  <w:num w:numId="86" w16cid:durableId="6587735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3E1471"/>
    <w:rsid w:val="00553B80"/>
    <w:rsid w:val="005A5007"/>
    <w:rsid w:val="00676013"/>
    <w:rsid w:val="006A2A8B"/>
    <w:rsid w:val="008F43C3"/>
    <w:rsid w:val="008F6E95"/>
    <w:rsid w:val="00951576"/>
    <w:rsid w:val="00A5574C"/>
    <w:rsid w:val="00DC47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38B22D8"/>
  <w15:docId w15:val="{F8C3D6EB-F810-5840-9571-CE8B95A8B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daniel1noble.github.io/thermal_tol_interac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aniel1noble.github.io/thermal_tol_interactions/"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niel1noble.github.io/thermal_tol_inter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18</Pages>
  <Words>8775</Words>
  <Characters>50023</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58681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2</cp:revision>
  <dcterms:created xsi:type="dcterms:W3CDTF">2025-06-04T02:38:00Z</dcterms:created>
  <dcterms:modified xsi:type="dcterms:W3CDTF">2025-06-04T02:40:00Z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