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[11,12,21,22]</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[23,24]</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[25]</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w:t>
      </w:r>
      <w:r>
        <w:t xml:space="preserve">reanalysis</w:t>
      </w:r>
      <w:r>
        <w:t xml:space="preserve">’</w:t>
      </w:r>
      <w:r>
        <w:t xml:space="preserve"> </w:t>
      </w:r>
      <w:r>
        <w:t xml:space="preserve">datasets produced by calibrating GCMs with observations to produce continuous gridded weather data, including</w:t>
      </w:r>
      <w:r>
        <w:t xml:space="preserve"> </w:t>
      </w:r>
      <w:r>
        <w:t xml:space="preserve">‘</w:t>
      </w:r>
      <w:r>
        <w:t xml:space="preserve">surface</w:t>
      </w:r>
      <w:r>
        <w:t xml:space="preserve">’</w:t>
      </w:r>
      <w:r>
        <w:t xml:space="preserve"> </w:t>
      </w:r>
      <w:r>
        <w:t xml:space="preserve">temperatures, soil temperatures and profiles of temperature, pressure, wind speed and humidity at different levels in the atmosphere</w:t>
      </w:r>
      <w:r>
        <w:t xml:space="preserve"> </w:t>
      </w:r>
      <w:r>
        <w:t xml:space="preserve">[26–30]</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[31]</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[32]</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w:t>
      </w:r>
      <w:r>
        <w:t xml:space="preserve">memory</w:t>
      </w:r>
      <w:r>
        <w:t xml:space="preserve">’</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w:t>
      </w:r>
      <w:r>
        <w:t xml:space="preserve">land-surface models</w:t>
      </w:r>
      <w:r>
        <w:t xml:space="preserve">’</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33]</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[34–40]</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[34,36]</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[41]</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42,43]</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[34,44]</w:t>
      </w:r>
      <w:r>
        <w:t xml:space="preserve">. Equivalent models of leaves incorporate the dynamic role of stomata</w:t>
      </w:r>
      <w:r>
        <w:t xml:space="preserve"> </w:t>
      </w:r>
      <w:r>
        <w:t xml:space="preserve">[19,45]</w:t>
      </w:r>
      <w:r>
        <w:t xml:space="preserve">, while models of endotherms can account for the role of insulation and metabolic heat production</w:t>
      </w:r>
      <w:r>
        <w:t xml:space="preserve"> </w:t>
      </w:r>
      <w:r>
        <w:t xml:space="preserve">[46]</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[47]</w:t>
      </w:r>
      <w:r>
        <w:t xml:space="preserve">, birds may</w:t>
      </w:r>
      <w:r>
        <w:t xml:space="preserve"> </w:t>
      </w:r>
      <w:r>
        <w:t xml:space="preserve">‘</w:t>
      </w:r>
      <w:r>
        <w:t xml:space="preserve">wind surf</w:t>
      </w:r>
      <w:r>
        <w:t xml:space="preserve">’</w:t>
      </w:r>
      <w:r>
        <w:t xml:space="preserve"> </w:t>
      </w:r>
      <w:r>
        <w:t xml:space="preserve">or seek thermal micro-refugia</w:t>
      </w:r>
      <w:r>
        <w:t xml:space="preserve"> </w:t>
      </w:r>
      <w:r>
        <w:t xml:space="preserve">[48]</w:t>
      </w:r>
      <w:r>
        <w:t xml:space="preserve">, and stomatal behavior may depart from the typical responses to vapor pressure and light intensity to allow emergency cooling</w:t>
      </w:r>
      <w:r>
        <w:t xml:space="preserve"> </w:t>
      </w:r>
      <w:r>
        <w:t xml:space="preserve">[49]</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[21,51]</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[21,22]</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[22]</w:t>
      </w:r>
      <w:r>
        <w:t xml:space="preserve">. Endpoints are predicted by assuming the effect of time at a given temperature decreases survival or fertility exponentially</w:t>
      </w:r>
      <w:r>
        <w:t xml:space="preserve"> </w:t>
      </w:r>
      <w:r>
        <w:t xml:space="preserve">[11,12,21,51]</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[52,53]</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[22,54]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[11,12,22,51]</w:t>
      </w:r>
      <w:r>
        <w:t xml:space="preserve">. Several approaches can be used to capture the accumulation of damage</w:t>
      </w:r>
      <w:r>
        <w:t xml:space="preserve"> </w:t>
      </w:r>
      <w:r>
        <w:t xml:space="preserve">[11,12,51]</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[22]</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w:t>
            </w:r>
            <w:r>
              <w:t xml:space="preserve"> </w:t>
            </w:r>
            <w:r>
              <w:t xml:space="preserve">[22]</w:t>
            </w:r>
            <w:r>
              <w:t xml:space="preserve">. Some examples across plant and animals include:</w:t>
            </w:r>
          </w:p>
          <w:p>
            <w:pPr>
              <w:pStyle w:val="BodyText"/>
            </w:pPr>
            <w:r>
              <w:rPr>
                <w:b/>
                <w:bCs/>
              </w:rPr>
              <w:t xml:space="preserve">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[55–57]</w:t>
            </w:r>
            <w:r>
              <w:t xml:space="preserve"> </w:t>
            </w:r>
            <w:r>
              <w:t xml:space="preserve">(Box Fig.</w:t>
            </w:r>
            <w:r>
              <w:t xml:space="preserve"> </w:t>
            </w:r>
            <w:hyperlink w:anchor="fig-box1">
              <w:r>
                <w:rPr>
                  <w:rStyle w:val="Hyperlink"/>
                </w:rPr>
                <w:t xml:space="preserve">Figure 2</w:t>
              </w:r>
            </w:hyperlink>
            <w:r>
              <w:t xml:space="preserve">A). These interactions are usually achieved by stimulating the production of essential phytohormones, secondary metabolites, organic acids, and amino acids that helps the plant to mitigate heat stress</w:t>
            </w:r>
            <w:r>
              <w:t xml:space="preserve"> </w:t>
            </w:r>
            <w:r>
              <w:t xml:space="preserve">[58,59]</w:t>
            </w:r>
            <w:r>
              <w:t xml:space="preserve">. Heat tolerance in animals can also be influenced by gut mircobiota or other associted symbiotes.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[60]</w:t>
            </w:r>
            <w:r>
              <w:t xml:space="preserve"> </w:t>
            </w:r>
            <w:r>
              <w:t xml:space="preserve">(Box Fig.</w:t>
            </w:r>
            <w:r>
              <w:t xml:space="preserve"> </w:t>
            </w:r>
            <w:hyperlink w:anchor="fig-box1">
              <w:r>
                <w:rPr>
                  <w:rStyle w:val="Hyperlink"/>
                </w:rPr>
                <w:t xml:space="preserve">Figure 2</w:t>
              </w:r>
            </w:hyperlink>
            <w:r>
              <w:t xml:space="preserve">B). Moreover, this protective effect can influence the ability of the host to evolve further resistance to the heat shock and harboured more bacteria</w:t>
            </w:r>
            <w:r>
              <w:t xml:space="preserve"> </w:t>
            </w:r>
            <w:r>
              <w:t xml:space="preserve">[61]</w:t>
            </w:r>
            <w:r>
              <w:t xml:space="preserve">.</w:t>
            </w:r>
          </w:p>
          <w:p>
            <w:pPr>
              <w:pStyle w:val="BodyText"/>
            </w:pPr>
            <w:r>
              <w:rPr>
                <w:b/>
                <w:bCs/>
              </w:rPr>
              <w:t xml:space="preserve">Drought and Water Stress</w:t>
            </w:r>
            <w:r>
              <w:t xml:space="preserve">: Drought, often associated with periods of extreme heat, can reduce thermal tolerance in plants by impacting their ability to cool through transpiration leading to leaf damage</w:t>
            </w:r>
            <w:r>
              <w:t xml:space="preserve"> </w:t>
            </w:r>
            <w:r>
              <w:t xml:space="preserve">[62]</w:t>
            </w:r>
            <w:r>
              <w:t xml:space="preserve"> </w:t>
            </w:r>
            <w:r>
              <w:t xml:space="preserve">(Box Fig.</w:t>
            </w:r>
            <w:r>
              <w:t xml:space="preserve"> </w:t>
            </w:r>
            <w:hyperlink w:anchor="fig-box1">
              <w:r>
                <w:rPr>
                  <w:rStyle w:val="Hyperlink"/>
                </w:rPr>
                <w:t xml:space="preserve">Figure 2</w:t>
              </w:r>
            </w:hyperlink>
            <w:r>
              <w:t xml:space="preserve">C). Extended periods of water stress (e.g., several days or more) have also been shown to increase thermal sensitivity in insects, reducing the time they could deal with extreme heat</w:t>
            </w:r>
            <w:r>
              <w:t xml:space="preserve"> </w:t>
            </w:r>
            <w:r>
              <w:t xml:space="preserve">[63]</w:t>
            </w:r>
            <w:r>
              <w:t xml:space="preserve"> </w:t>
            </w:r>
            <w:r>
              <w:t xml:space="preserve">(Box Fig.</w:t>
            </w:r>
            <w:r>
              <w:t xml:space="preserve"> </w:t>
            </w:r>
            <w:hyperlink w:anchor="fig-box1">
              <w:r>
                <w:rPr>
                  <w:rStyle w:val="Hyperlink"/>
                </w:rPr>
                <w:t xml:space="preserve">Figure 2</w:t>
              </w:r>
            </w:hyperlink>
            <w:r>
              <w:t xml:space="preserve">D).</w:t>
            </w:r>
          </w:p>
          <w:p>
            <w:pPr>
              <w:pStyle w:val="BodyText"/>
            </w:pPr>
            <w:r>
              <w:rPr>
                <w:b/>
                <w:bCs/>
              </w:rPr>
              <w:t xml:space="preserve">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w:t>
            </w:r>
            <w:r>
              <w:t xml:space="preserve"> </w:t>
            </w:r>
            <w:r>
              <w:t xml:space="preserve">[</w:t>
            </w:r>
            <w:r>
              <w:rPr>
                <w:b/>
                <w:bCs/>
              </w:rPr>
              <w:t xml:space="preserve">Mengutay2013?</w:t>
            </w:r>
            <w:r>
              <w:t xml:space="preserve">]</w:t>
            </w:r>
            <w:r>
              <w:t xml:space="preserve"> </w:t>
            </w:r>
            <w:r>
              <w:t xml:space="preserve">show how supplementation of a key mineral, magnesium (Mg), can improve heat tolerance in maize and wheat, with visual leaf damage being aggravated in both species under heat stress when in low supply resulting from increased oxidative cellular damage (Box Fig.</w:t>
            </w:r>
            <w:r>
              <w:t xml:space="preserve"> </w:t>
            </w:r>
            <w:hyperlink w:anchor="fig-box1">
              <w:r>
                <w:rPr>
                  <w:rStyle w:val="Hyperlink"/>
                </w:rPr>
                <w:t xml:space="preserve">Figure 2</w:t>
              </w:r>
            </w:hyperlink>
            <w:r>
              <w:t xml:space="preserve">E). In</w:t>
            </w:r>
            <w:r>
              <w:t xml:space="preserve"> </w:t>
            </w:r>
            <w:r>
              <w:rPr>
                <w:i/>
                <w:iCs/>
              </w:rPr>
              <w:t xml:space="preserve">Drosophila melanogaster</w:t>
            </w:r>
            <w:r>
              <w:t xml:space="preserve"> </w:t>
            </w:r>
            <w:r>
              <w:t xml:space="preserve">larvae fed a diet with high protein content were also able to withstand higher temperatures than those fed a high carbohydrate diet, with some evidence for sex-dependent effects</w:t>
            </w:r>
            <w:r>
              <w:t xml:space="preserve"> </w:t>
            </w:r>
            <w:r>
              <w:t xml:space="preserve">[</w:t>
            </w:r>
            <w:r>
              <w:rPr>
                <w:b/>
                <w:bCs/>
              </w:rPr>
              <w:t xml:space="preserve">Anderson2010?</w:t>
            </w:r>
            <w:r>
              <w:t xml:space="preserve">]</w:t>
            </w:r>
            <w:r>
              <w:t xml:space="preserve"> </w:t>
            </w:r>
            <w:r>
              <w:t xml:space="preserve">(Box Fig.</w:t>
            </w:r>
            <w:r>
              <w:t xml:space="preserve"> </w:t>
            </w:r>
            <w:hyperlink w:anchor="fig-box1">
              <w:r>
                <w:rPr>
                  <w:rStyle w:val="Hyperlink"/>
                </w:rPr>
                <w:t xml:space="preserve">Figure 2</w:t>
              </w:r>
            </w:hyperlink>
            <w:r>
              <w:t xml:space="preserve">F).</w:t>
            </w:r>
          </w:p>
          <w:p>
            <w:pPr>
              <w:pStyle w:val="BodyText"/>
            </w:pPr>
            <w:r>
              <w:t xml:space="preserve">The above list is not exhaustive, and other environmental stressors, such as pollution, salinity, and heavy metals, in addition to interactions between those environmental stressors above, can also impact thermal sensitivity</w:t>
            </w:r>
            <w:r>
              <w:t xml:space="preserve"> </w:t>
            </w:r>
            <w:r>
              <w:t xml:space="preserve">[22,54]</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Box 1 Figure.</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after="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 </w:t>
            </w:r>
            <w:r>
              <w:t xml:space="preserve"> </w:t>
            </w: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[16,64]</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[66]</w:t>
      </w:r>
      <w:r>
        <w:t xml:space="preserve">) and resource availability (nutrients)</w:t>
      </w:r>
      <w:r>
        <w:t xml:space="preserve"> </w:t>
      </w:r>
      <w:r>
        <w:t xml:space="preserve">[67,68]</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[69]</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[70,71]</w:t>
      </w:r>
      <w:r>
        <w:t xml:space="preserve"> </w:t>
      </w:r>
      <w:r>
        <w:t xml:space="preserve">and approaches for using DEB theory to model plant growth and performance are being developed</w:t>
      </w:r>
      <w:r>
        <w:t xml:space="preserve"> </w:t>
      </w:r>
      <w:r>
        <w:t xml:space="preserve">[69]</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72]</w:t>
      </w:r>
      <w:r>
        <w:t xml:space="preserve">. In addition, software packages such as</w:t>
      </w:r>
      <w:r>
        <w:t xml:space="preserve"> </w:t>
      </w:r>
      <w:r>
        <w:rPr>
          <w:i/>
          <w:iCs/>
        </w:rPr>
        <w:t xml:space="preserve">NicheMapR</w:t>
      </w:r>
      <w:r>
        <w:t xml:space="preserve"> </w:t>
      </w:r>
      <w:r>
        <w:t xml:space="preserve">[34,73]</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24]</w:t>
      </w:r>
      <w:r>
        <w:t xml:space="preserve">. Another useful advancement is the development of horizontal network models parameterized with outcomes of population dynamical models</w:t>
      </w:r>
      <w:r>
        <w:t xml:space="preserve"> </w:t>
      </w:r>
      <w:r>
        <w:t xml:space="preserve">[77]</w:t>
      </w:r>
      <w:r>
        <w:t xml:space="preserve">.</w:t>
      </w:r>
    </w:p>
    <w:p>
      <w:pPr>
        <w:pStyle w:val="BodyText"/>
      </w:pPr>
      <w:r>
        <w:t xml:space="preserve">What population dynamic models do is calculate the individual fitness effect of interactions</w:t>
      </w:r>
      <w:r>
        <w:t xml:space="preserve"> </w:t>
      </w:r>
      <w:r>
        <w:t xml:space="preserve">[78]</w:t>
      </w:r>
      <w:r>
        <w:t xml:space="preserve">. These models can incorporate variation in the environment</w:t>
      </w:r>
      <w:r>
        <w:t xml:space="preserve"> </w:t>
      </w:r>
      <w:r>
        <w:t xml:space="preserve">[23]</w:t>
      </w:r>
      <w:r>
        <w:t xml:space="preserve"> </w:t>
      </w:r>
      <w:r>
        <w:t xml:space="preserve">and in the outcome of interactions themselves</w:t>
      </w:r>
      <w:r>
        <w:t xml:space="preserve"> </w:t>
      </w:r>
      <w:r>
        <w:t xml:space="preserve">[79]</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[77]</w:t>
      </w:r>
      <w:r>
        <w:t xml:space="preserve"> </w:t>
      </w:r>
      <w:r>
        <w:t xml:space="preserve">and compared between microsites with different biophysical properties and composed of species with different thermal responses to their microenvironment. For example,</w:t>
      </w:r>
      <w:r>
        <w:t xml:space="preserve"> </w:t>
      </w:r>
      <w:r>
        <w:t xml:space="preserve">[77]</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w:t>
      </w:r>
      <w:r>
        <w:t xml:space="preserve">trait</w:t>
      </w:r>
      <w:r>
        <w:t xml:space="preserve">’</w:t>
      </w:r>
      <w:r>
        <w:t xml:space="preserve"> </w:t>
      </w:r>
      <w:r>
        <w:t xml:space="preserve">which has been shown to be an effective way of reducing model complexity without sacrificing accuracy</w:t>
      </w:r>
      <w:r>
        <w:t xml:space="preserve"> </w:t>
      </w:r>
      <w:r>
        <w:t xml:space="preserve">[80]</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[81–83]</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[81]</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w:t>
            </w:r>
            <w:r>
              <w:t xml:space="preserve">trait</w:t>
            </w:r>
            <w:r>
              <w:t xml:space="preserve">’</w:t>
            </w:r>
            <w:r>
              <w:t xml:space="preserve"> </w:t>
            </w:r>
            <w:r>
              <w:t xml:space="preserve">development (plasticity) and by incorporating selection and genetic (co)variance estimates for</w:t>
            </w:r>
            <w:r>
              <w:t xml:space="preserve"> </w:t>
            </w:r>
            <w:r>
              <w:t xml:space="preserve">‘</w:t>
            </w:r>
            <w:r>
              <w:t xml:space="preserve">traits</w:t>
            </w:r>
            <w:r>
              <w:t xml:space="preserve">’</w:t>
            </w:r>
            <w:r>
              <w:t xml:space="preserve"> </w:t>
            </w:r>
            <w:r>
              <w:t xml:space="preserve">within these models (evolution). We speak of</w:t>
            </w:r>
            <w:r>
              <w:t xml:space="preserve"> </w:t>
            </w:r>
            <w:r>
              <w:t xml:space="preserve">‘</w:t>
            </w:r>
            <w:r>
              <w:t xml:space="preserve">traits</w:t>
            </w:r>
            <w:r>
              <w:t xml:space="preserve">’</w:t>
            </w:r>
            <w:r>
              <w:t xml:space="preserve"> </w:t>
            </w:r>
            <w:r>
              <w:t xml:space="preserve">broadly here because these need not be traits typically thought of by evolutionary ecologists (e.g., body mass, morphology). Rather,</w:t>
            </w:r>
            <w:r>
              <w:t xml:space="preserve"> </w:t>
            </w:r>
            <w:r>
              <w:t xml:space="preserve">‘</w:t>
            </w:r>
            <w:r>
              <w:t xml:space="preserve">traits</w:t>
            </w:r>
            <w:r>
              <w:t xml:space="preserve">’</w:t>
            </w:r>
            <w:r>
              <w:t xml:space="preserve"> </w:t>
            </w:r>
            <w:r>
              <w:t xml:space="preserve">can also include the parameters within models (e.g., DEB parameters) that allow functional traits to emerge</w:t>
            </w:r>
            <w:r>
              <w:t xml:space="preserve"> </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[89]</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endChr m:val=")"/>
                    <m:sep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w:t>
            </w:r>
            <w:r>
              <w:t xml:space="preserve">traits</w:t>
            </w:r>
            <w:r>
              <w:t xml:space="preserve">’</w:t>
            </w:r>
            <w:r>
              <w:t xml:space="preserve">. Studies that have attempted to measure plasticity and evolutionary potential in traits demonstrate how such processes can shape outcomes in important ways</w:t>
            </w:r>
            <w:r>
              <w:t xml:space="preserve"> </w:t>
            </w:r>
            <w:r>
              <w:t xml:space="preserve">[63,91–95]</w:t>
            </w:r>
            <w:r>
              <w:t xml:space="preserve">. For example, using isogenic lines of</w:t>
            </w:r>
            <w:r>
              <w:t xml:space="preserve"> </w:t>
            </w:r>
            <w:r>
              <w:rPr>
                <w:i/>
                <w:iCs/>
              </w:rPr>
              <w:t xml:space="preserve">Drosophia melanogaster</w:t>
            </w:r>
            <w:r>
              <w:t xml:space="preserve">,</w:t>
            </w:r>
            <w:r>
              <w:t xml:space="preserve"> </w:t>
            </w:r>
            <w:r>
              <w:t xml:space="preserve">[95]</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[96]</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[96,97]</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[98]</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[99]</w:t>
            </w:r>
            <w:r>
              <w:t xml:space="preserve">. Thermal stressors may even influence producers’ psychological beliefs about their level of control over land management, and perceived resources available for management practices</w:t>
            </w:r>
            <w:r>
              <w:t xml:space="preserve"> </w:t>
            </w:r>
            <w:r>
              <w:t xml:space="preserve">[100]</w:t>
            </w:r>
            <w:r>
              <w:t xml:space="preserve">. Thermal risks to ecosystems may also precipitate declines in individual wellbeing, and these consequences may accrue differently across regions and across peoples</w:t>
            </w:r>
            <w:r>
              <w:t xml:space="preserve"> </w:t>
            </w:r>
            <w:r>
              <w:t xml:space="preserve">[101]</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[102,103]</w:t>
            </w:r>
            <w:r>
              <w:t xml:space="preserve">. On the other hand, adapting thermal risks in upper stream producers may also be influenced by the perception and behavior of downstream consumers</w:t>
            </w:r>
            <w:r>
              <w:t xml:space="preserve"> </w:t>
            </w:r>
            <w:r>
              <w:t xml:space="preserve">[104]</w:t>
            </w:r>
            <w:r>
              <w:t xml:space="preserve">. The cascading</w:t>
            </w:r>
            <w:r>
              <w:t xml:space="preserve"> </w:t>
            </w:r>
            <w:r>
              <w:t xml:space="preserve">[105]</w:t>
            </w:r>
            <w:r>
              <w:t xml:space="preserve"> </w:t>
            </w:r>
            <w:r>
              <w:t xml:space="preserve">and telecoupled</w:t>
            </w:r>
            <w:r>
              <w:t xml:space="preserve"> </w:t>
            </w:r>
            <w:r>
              <w:t xml:space="preserve">[106]</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[107]</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[108]</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[109]</w:t>
            </w:r>
            <w:r>
              <w:t xml:space="preserve">. Social-ecological models aim to capture the social systems, natural systems and their interactions</w:t>
            </w:r>
            <w:r>
              <w:t xml:space="preserve"> </w:t>
            </w:r>
            <w:r>
              <w:t xml:space="preserve">[110]</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[111]</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[112]</w:t>
            </w:r>
            <w:r>
              <w:t xml:space="preserve">. Process-based approaches are critical to understanding how emergent social-ecological phenomena develop</w:t>
            </w:r>
            <w:r>
              <w:t xml:space="preserve"> </w:t>
            </w:r>
            <w:r>
              <w:t xml:space="preserve">[113]</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[114]</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w:t>
      </w:r>
      <w:r>
        <w:t xml:space="preserve">Hot</w:t>
      </w:r>
      <w:r>
        <w:t xml:space="preserve">’</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[115]</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57]</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that use parameters of closely related species to predict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p>
            <w:pPr>
              <w:pStyle w:val="Compact"/>
              <w:numPr>
                <w:ilvl w:val="0"/>
                <w:numId w:val="1001"/>
              </w:numPr>
            </w:pPr>
            <w:r>
              <w:t xml:space="preserve">How do multiple stressors in anthropogenically modified environments interact with extreme heat to impact organisms, populations and communities?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2" w:name="references"/>
    <w:p>
      <w:pPr>
        <w:pStyle w:val="Heading1"/>
      </w:pPr>
      <w:r>
        <w:t xml:space="preserve">References</w:t>
      </w:r>
    </w:p>
    <w:p>
      <w:pPr>
        <w:pStyle w:val="FirstParagraph"/>
      </w:pPr>
    </w:p>
    <w:bookmarkStart w:id="161"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Arnold2025"/>
    <w:p>
      <w:pPr>
        <w:pStyle w:val="Bibliography"/>
      </w:pPr>
      <w:r>
        <w:t xml:space="preserve">22.</w:t>
      </w:r>
      <w:r>
        <w:t xml:space="preserve"> </w:t>
      </w:r>
      <w:r>
        <w:t xml:space="preserve">	</w:t>
      </w:r>
      <w:r>
        <w:t xml:space="preserve">Arnold, P.</w:t>
      </w:r>
      <w:r>
        <w:t xml:space="preserve"> </w:t>
      </w:r>
      <w:r>
        <w:rPr>
          <w:i/>
          <w:iCs/>
        </w:rPr>
        <w:t xml:space="preserve">et al.</w:t>
      </w:r>
      <w:r>
        <w:t xml:space="preserve"> </w:t>
      </w:r>
      <w:r>
        <w:t xml:space="preserve">(2025) A framework for modelling thermal load sensitivity across life.</w:t>
      </w:r>
      <w:r>
        <w:t xml:space="preserve"> </w:t>
      </w:r>
      <w:r>
        <w:rPr>
          <w:i/>
          <w:iCs/>
        </w:rPr>
        <w:t xml:space="preserve">EcoEvoRxiv, https://doi.org/10.32942/X23M0R</w:t>
      </w:r>
    </w:p>
    <w:bookmarkEnd w:id="67"/>
    <w:bookmarkStart w:id="68" w:name="ref-Bimler2018"/>
    <w:p>
      <w:pPr>
        <w:pStyle w:val="Bibliography"/>
      </w:pPr>
      <w:r>
        <w:t xml:space="preserve">23.</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24.</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Fick2017"/>
    <w:p>
      <w:pPr>
        <w:pStyle w:val="Bibliography"/>
      </w:pPr>
      <w:r>
        <w:t xml:space="preserve">25.</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0"/>
    <w:bookmarkStart w:id="71" w:name="ref-Kalnay2018"/>
    <w:p>
      <w:pPr>
        <w:pStyle w:val="Bibliography"/>
      </w:pPr>
      <w:r>
        <w:t xml:space="preserve">26.</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1"/>
    <w:bookmarkStart w:id="72" w:name="ref-Hersbach2020"/>
    <w:p>
      <w:pPr>
        <w:pStyle w:val="Bibliography"/>
      </w:pPr>
      <w:r>
        <w:t xml:space="preserve">27.</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2"/>
    <w:bookmarkStart w:id="73" w:name="ref-Klinges2022"/>
    <w:p>
      <w:pPr>
        <w:pStyle w:val="Bibliography"/>
      </w:pPr>
      <w:r>
        <w:t xml:space="preserve">28.</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3"/>
    <w:bookmarkStart w:id="74" w:name="ref-Meyer2023"/>
    <w:p>
      <w:pPr>
        <w:pStyle w:val="Bibliography"/>
      </w:pPr>
      <w:r>
        <w:t xml:space="preserve">29.</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4"/>
    <w:bookmarkStart w:id="75" w:name="ref-Munoz-Sabater2021"/>
    <w:p>
      <w:pPr>
        <w:pStyle w:val="Bibliography"/>
      </w:pPr>
      <w:r>
        <w:t xml:space="preserve">30.</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5"/>
    <w:bookmarkStart w:id="76" w:name="ref-Bezanson2012"/>
    <w:p>
      <w:pPr>
        <w:pStyle w:val="Bibliography"/>
      </w:pPr>
      <w:r>
        <w:t xml:space="preserve">31.</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6"/>
    <w:bookmarkStart w:id="77" w:name="ref-Yatunin2025"/>
    <w:p>
      <w:pPr>
        <w:pStyle w:val="Bibliography"/>
      </w:pPr>
      <w:r>
        <w:t xml:space="preserve">32.</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7"/>
    <w:bookmarkStart w:id="78" w:name="ref-Braziunas2025"/>
    <w:p>
      <w:pPr>
        <w:pStyle w:val="Bibliography"/>
      </w:pPr>
      <w:r>
        <w:t xml:space="preserve">33.</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8"/>
    <w:bookmarkStart w:id="79" w:name="ref-Kearney2017"/>
    <w:p>
      <w:pPr>
        <w:pStyle w:val="Bibliography"/>
      </w:pPr>
      <w:r>
        <w:t xml:space="preserve">34.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9"/>
    <w:bookmarkStart w:id="80" w:name="ref-Maclean2019"/>
    <w:p>
      <w:pPr>
        <w:pStyle w:val="Bibliography"/>
      </w:pPr>
      <w:r>
        <w:t xml:space="preserve">35.</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0"/>
    <w:bookmarkStart w:id="81" w:name="ref-Kearney2020"/>
    <w:p>
      <w:pPr>
        <w:pStyle w:val="Bibliography"/>
      </w:pPr>
      <w:r>
        <w:t xml:space="preserve">36.</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1"/>
    <w:bookmarkStart w:id="82" w:name="ref-Maclean2021"/>
    <w:p>
      <w:pPr>
        <w:pStyle w:val="Bibliography"/>
      </w:pPr>
      <w:r>
        <w:t xml:space="preserve">37.</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2"/>
    <w:bookmarkStart w:id="83" w:name="ref-Buckley2023"/>
    <w:p>
      <w:pPr>
        <w:pStyle w:val="Bibliography"/>
      </w:pPr>
      <w:r>
        <w:t xml:space="preserve">38.</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3"/>
    <w:bookmarkStart w:id="84" w:name="ref-De_Frenne2024"/>
    <w:p>
      <w:pPr>
        <w:pStyle w:val="Bibliography"/>
      </w:pPr>
      <w:r>
        <w:t xml:space="preserve">39.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4"/>
    <w:bookmarkStart w:id="85" w:name="ref-Levy2016"/>
    <w:p>
      <w:pPr>
        <w:pStyle w:val="Bibliography"/>
      </w:pPr>
      <w:r>
        <w:t xml:space="preserve">40.</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5"/>
    <w:bookmarkStart w:id="86" w:name="ref-Manzoni2022"/>
    <w:p>
      <w:pPr>
        <w:pStyle w:val="Bibliography"/>
      </w:pPr>
      <w:r>
        <w:t xml:space="preserve">41.</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6"/>
    <w:bookmarkStart w:id="87" w:name="ref-Porter1973"/>
    <w:p>
      <w:pPr>
        <w:pStyle w:val="Bibliography"/>
      </w:pPr>
      <w:r>
        <w:t xml:space="preserve">42.</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7"/>
    <w:bookmarkStart w:id="88" w:name="ref-Porter1969"/>
    <w:p>
      <w:pPr>
        <w:pStyle w:val="Bibliography"/>
      </w:pPr>
      <w:r>
        <w:t xml:space="preserve">43.</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8"/>
    <w:bookmarkStart w:id="89" w:name="ref-Riddell2017"/>
    <w:p>
      <w:pPr>
        <w:pStyle w:val="Bibliography"/>
      </w:pPr>
      <w:r>
        <w:t xml:space="preserve">44.</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9"/>
    <w:bookmarkStart w:id="90" w:name="ref-Duursma2015"/>
    <w:p>
      <w:pPr>
        <w:pStyle w:val="Bibliography"/>
      </w:pPr>
      <w:r>
        <w:t xml:space="preserve">45.</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0"/>
    <w:bookmarkStart w:id="91" w:name="ref-Briscoe2022"/>
    <w:p>
      <w:pPr>
        <w:pStyle w:val="Bibliography"/>
      </w:pPr>
      <w:r>
        <w:t xml:space="preserve">46.</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1"/>
    <w:bookmarkStart w:id="92" w:name="ref-Loughran2020"/>
    <w:p>
      <w:pPr>
        <w:pStyle w:val="Bibliography"/>
      </w:pPr>
      <w:r>
        <w:t xml:space="preserve">47.</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2"/>
    <w:bookmarkStart w:id="93" w:name="ref-Sharpe2022"/>
    <w:p>
      <w:pPr>
        <w:pStyle w:val="Bibliography"/>
      </w:pPr>
      <w:r>
        <w:t xml:space="preserve">48.</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3"/>
    <w:bookmarkStart w:id="94" w:name="ref-Drake2018"/>
    <w:p>
      <w:pPr>
        <w:pStyle w:val="Bibliography"/>
      </w:pPr>
      <w:r>
        <w:t xml:space="preserve">49.</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4"/>
    <w:bookmarkStart w:id="95"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5"/>
    <w:bookmarkStart w:id="96"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6"/>
    <w:bookmarkStart w:id="97"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7"/>
    <w:bookmarkStart w:id="98"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8"/>
    <w:bookmarkStart w:id="99"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9"/>
    <w:bookmarkStart w:id="100"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0"/>
    <w:bookmarkStart w:id="101" w:name="ref-Liu2025"/>
    <w:p>
      <w:pPr>
        <w:pStyle w:val="Bibliography"/>
      </w:pPr>
      <w:r>
        <w:t xml:space="preserve">56.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1"/>
    <w:bookmarkStart w:id="102" w:name="ref-Marquez2007"/>
    <w:p>
      <w:pPr>
        <w:pStyle w:val="Bibliography"/>
      </w:pPr>
      <w:r>
        <w:t xml:space="preserve">57.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2"/>
    <w:bookmarkStart w:id="103" w:name="ref-Huang2019"/>
    <w:p>
      <w:pPr>
        <w:pStyle w:val="Bibliography"/>
      </w:pPr>
      <w:r>
        <w:t xml:space="preserve">58.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3"/>
    <w:bookmarkStart w:id="104" w:name="ref-Dastogeer2022"/>
    <w:p>
      <w:pPr>
        <w:pStyle w:val="Bibliography"/>
      </w:pPr>
      <w:r>
        <w:t xml:space="preserve">59.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4"/>
    <w:bookmarkStart w:id="105" w:name="ref-Hoang2019"/>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5"/>
    <w:bookmarkStart w:id="106" w:name="ref-Gehman2019"/>
    <w:p>
      <w:pPr>
        <w:pStyle w:val="Bibliography"/>
      </w:pPr>
      <w:r>
        <w:t xml:space="preserve">61.</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6"/>
    <w:bookmarkStart w:id="107" w:name="ref-Marchin2022"/>
    <w:p>
      <w:pPr>
        <w:pStyle w:val="Bibliography"/>
      </w:pPr>
      <w:r>
        <w:t xml:space="preserve">62.</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07"/>
    <w:bookmarkStart w:id="108" w:name="ref-Youngblood2025"/>
    <w:p>
      <w:pPr>
        <w:pStyle w:val="Bibliography"/>
      </w:pPr>
      <w:r>
        <w:t xml:space="preserve">63.</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08"/>
    <w:bookmarkStart w:id="109"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09"/>
    <w:bookmarkStart w:id="110"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0"/>
    <w:bookmarkStart w:id="111" w:name="ref-Haberle2025"/>
    <w:p>
      <w:pPr>
        <w:pStyle w:val="Bibliography"/>
      </w:pPr>
      <w:r>
        <w:t xml:space="preserve">66.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1"/>
    <w:bookmarkStart w:id="112" w:name="ref-Kearney2013"/>
    <w:p>
      <w:pPr>
        <w:pStyle w:val="Bibliography"/>
      </w:pPr>
      <w:r>
        <w:t xml:space="preserve">67.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2"/>
    <w:bookmarkStart w:id="113" w:name="ref-Kearney2010"/>
    <w:p>
      <w:pPr>
        <w:pStyle w:val="Bibliography"/>
      </w:pPr>
      <w:r>
        <w:t xml:space="preserve">68.</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3"/>
    <w:bookmarkStart w:id="114" w:name="ref-Russo2022"/>
    <w:p>
      <w:pPr>
        <w:pStyle w:val="Bibliography"/>
      </w:pPr>
      <w:r>
        <w:t xml:space="preserve">69.</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4"/>
    <w:bookmarkStart w:id="115" w:name="ref-Marques2018"/>
    <w:p>
      <w:pPr>
        <w:pStyle w:val="Bibliography"/>
      </w:pPr>
      <w:r>
        <w:t xml:space="preserve">70.</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5"/>
    <w:bookmarkStart w:id="116" w:name="ref-Kooijman2021"/>
    <w:p>
      <w:pPr>
        <w:pStyle w:val="Bibliography"/>
      </w:pPr>
      <w:r>
        <w:t xml:space="preserve">71.</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6"/>
    <w:bookmarkStart w:id="117" w:name="ref-Bruggeman2009"/>
    <w:p>
      <w:pPr>
        <w:pStyle w:val="Bibliography"/>
      </w:pPr>
      <w:r>
        <w:t xml:space="preserve">72.</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7"/>
    <w:bookmarkStart w:id="118" w:name="ref-Kearney2020a"/>
    <w:p>
      <w:pPr>
        <w:pStyle w:val="Bibliography"/>
      </w:pPr>
      <w:r>
        <w:t xml:space="preserve">73.</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8"/>
    <w:bookmarkStart w:id="119"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19"/>
    <w:bookmarkStart w:id="120"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0"/>
    <w:bookmarkStart w:id="121"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1"/>
    <w:bookmarkStart w:id="122" w:name="ref-Bimler2024"/>
    <w:p>
      <w:pPr>
        <w:pStyle w:val="Bibliography"/>
      </w:pPr>
      <w:r>
        <w:t xml:space="preserve">77.</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2"/>
    <w:bookmarkStart w:id="123" w:name="ref-Mayfield2017"/>
    <w:p>
      <w:pPr>
        <w:pStyle w:val="Bibliography"/>
      </w:pPr>
      <w:r>
        <w:t xml:space="preserve">78.</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3"/>
    <w:bookmarkStart w:id="124" w:name="ref-Buche2025"/>
    <w:p>
      <w:pPr>
        <w:pStyle w:val="Bibliography"/>
      </w:pPr>
      <w:r>
        <w:t xml:space="preserve">79.</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4"/>
    <w:bookmarkStart w:id="125"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5"/>
    <w:bookmarkStart w:id="126"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6"/>
    <w:bookmarkStart w:id="127"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7"/>
    <w:bookmarkStart w:id="128" w:name="ref-Hoffmann2011"/>
    <w:p>
      <w:pPr>
        <w:pStyle w:val="Bibliography"/>
      </w:pPr>
      <w:r>
        <w:t xml:space="preserve">83.</w:t>
      </w:r>
      <w:r>
        <w:t xml:space="preserve"> </w:t>
      </w:r>
      <w:r>
        <w:t xml:space="preserve">	</w:t>
      </w:r>
      <w:r>
        <w:t xml:space="preserve">Hoffmann, A.A. and Sgrò, C.M. (2011) Climate change and evolutionary adaptation. 470, 479–485</w:t>
      </w:r>
    </w:p>
    <w:bookmarkEnd w:id="128"/>
    <w:bookmarkStart w:id="129"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9"/>
    <w:bookmarkStart w:id="130"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0"/>
    <w:bookmarkStart w:id="131"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1"/>
    <w:bookmarkStart w:id="132"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2"/>
    <w:bookmarkStart w:id="133"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3"/>
    <w:bookmarkStart w:id="134"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4"/>
    <w:bookmarkStart w:id="135"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5"/>
    <w:bookmarkStart w:id="136"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6"/>
    <w:bookmarkStart w:id="137"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7"/>
    <w:bookmarkStart w:id="138"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8"/>
    <w:bookmarkStart w:id="139"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9"/>
    <w:bookmarkStart w:id="140"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0"/>
    <w:bookmarkStart w:id="141"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1"/>
    <w:bookmarkStart w:id="142"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2"/>
    <w:bookmarkStart w:id="143"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43"/>
    <w:bookmarkStart w:id="144"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4"/>
    <w:bookmarkStart w:id="145" w:name="ref-Price2014"/>
    <w:p>
      <w:pPr>
        <w:pStyle w:val="Bibliography"/>
      </w:pPr>
      <w:r>
        <w:t xml:space="preserve">100.</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5"/>
    <w:bookmarkStart w:id="146" w:name="ref-Leviston2018"/>
    <w:p>
      <w:pPr>
        <w:pStyle w:val="Bibliography"/>
      </w:pPr>
      <w:r>
        <w:t xml:space="preserve">101.</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6"/>
    <w:bookmarkStart w:id="147" w:name="ref-Bai2016"/>
    <w:p>
      <w:pPr>
        <w:pStyle w:val="Bibliography"/>
      </w:pPr>
      <w:r>
        <w:t xml:space="preserve">102.</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7"/>
    <w:bookmarkStart w:id="148" w:name="ref-Grimm2008"/>
    <w:p>
      <w:pPr>
        <w:pStyle w:val="Bibliography"/>
      </w:pPr>
      <w:r>
        <w:t xml:space="preserve">103.</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8"/>
    <w:bookmarkStart w:id="149" w:name="ref-Hendricks2022"/>
    <w:p>
      <w:pPr>
        <w:pStyle w:val="Bibliography"/>
      </w:pPr>
      <w:r>
        <w:t xml:space="preserve">104.</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9"/>
    <w:bookmarkStart w:id="150" w:name="ref-Sutanto2020"/>
    <w:p>
      <w:pPr>
        <w:pStyle w:val="Bibliography"/>
      </w:pPr>
      <w:r>
        <w:t xml:space="preserve">105.</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0"/>
    <w:bookmarkStart w:id="151" w:name="ref-Liu2007"/>
    <w:p>
      <w:pPr>
        <w:pStyle w:val="Bibliography"/>
      </w:pPr>
      <w:r>
        <w:t xml:space="preserve">106.</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1"/>
    <w:bookmarkStart w:id="152" w:name="ref-Black2011"/>
    <w:p>
      <w:pPr>
        <w:pStyle w:val="Bibliography"/>
      </w:pPr>
      <w:r>
        <w:t xml:space="preserve">107.</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2"/>
    <w:bookmarkStart w:id="153" w:name="ref-Neil_Adger1999"/>
    <w:p>
      <w:pPr>
        <w:pStyle w:val="Bibliography"/>
      </w:pPr>
      <w:r>
        <w:t xml:space="preserve">108.</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3"/>
    <w:bookmarkStart w:id="154" w:name="ref-Folke2016"/>
    <w:p>
      <w:pPr>
        <w:pStyle w:val="Bibliography"/>
      </w:pPr>
      <w:r>
        <w:t xml:space="preserve">109.</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4"/>
    <w:bookmarkStart w:id="155" w:name="ref-Schluter2012"/>
    <w:p>
      <w:pPr>
        <w:pStyle w:val="Bibliography"/>
      </w:pPr>
      <w:r>
        <w:t xml:space="preserve">110.</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5"/>
    <w:bookmarkStart w:id="156" w:name="ref-Wise2014"/>
    <w:p>
      <w:pPr>
        <w:pStyle w:val="Bibliography"/>
      </w:pPr>
      <w:r>
        <w:t xml:space="preserve">111.</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6"/>
    <w:bookmarkStart w:id="157" w:name="ref-Biggs2021"/>
    <w:p>
      <w:pPr>
        <w:pStyle w:val="Bibliography"/>
      </w:pPr>
      <w:r>
        <w:t xml:space="preserve">112.</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7"/>
    <w:bookmarkStart w:id="158" w:name="ref-Brown2021"/>
    <w:p>
      <w:pPr>
        <w:pStyle w:val="Bibliography"/>
      </w:pPr>
      <w:r>
        <w:t xml:space="preserve">113.</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8"/>
    <w:bookmarkStart w:id="159" w:name="ref-Kwakkel2013"/>
    <w:p>
      <w:pPr>
        <w:pStyle w:val="Bibliography"/>
      </w:pPr>
      <w:r>
        <w:t xml:space="preserve">114.</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9"/>
    <w:bookmarkStart w:id="160" w:name="ref-Shekhawat2022"/>
    <w:p>
      <w:pPr>
        <w:pStyle w:val="Bibliography"/>
      </w:pPr>
      <w:r>
        <w:t xml:space="preserve">115.</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60"/>
    <w:bookmarkEnd w:id="161"/>
    <w:p>
      <w:pPr>
        <w:pStyle w:val="BodyText"/>
      </w:pPr>
    </w:p>
    <w:bookmarkEnd w:id="16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2025-06-07T05:14:42Z</dcterms:created>
  <dcterms:modified xsi:type="dcterms:W3CDTF">2025-06-07T05:14:42Z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