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AD6EA" w14:textId="77777777" w:rsidR="00553B80" w:rsidRDefault="00000000">
      <w:pPr>
        <w:pStyle w:val="Title"/>
      </w:pPr>
      <w:r>
        <w:t>A systems-modelling approach to predict biological responses to extreme heat</w:t>
      </w:r>
    </w:p>
    <w:p w14:paraId="4C83BE80" w14:textId="77777777" w:rsidR="00553B80" w:rsidRDefault="00000000">
      <w:pPr>
        <w:pStyle w:val="Heading5"/>
      </w:pPr>
      <w:bookmarkStart w:id="0" w:name="target-journal"/>
      <w:r>
        <w:rPr>
          <w:b/>
          <w:bCs/>
        </w:rPr>
        <w:t>Target Journal</w:t>
      </w:r>
      <w:r>
        <w:t>:</w:t>
      </w:r>
    </w:p>
    <w:p w14:paraId="753024AA" w14:textId="77777777" w:rsidR="00553B80" w:rsidRDefault="00000000">
      <w:pPr>
        <w:pStyle w:val="FirstParagraph"/>
      </w:pPr>
      <w:r>
        <w:rPr>
          <w:i/>
          <w:iCs/>
        </w:rPr>
        <w:t>Trends in Ecology and Evolution</w:t>
      </w:r>
      <w:r>
        <w:t>, Opinion https://www.cell.com/trends/ecology-evolution/authors</w:t>
      </w:r>
    </w:p>
    <w:p w14:paraId="52FB8ABD" w14:textId="77777777" w:rsidR="00553B80" w:rsidRDefault="00000000">
      <w:pPr>
        <w:pStyle w:val="BodyText"/>
      </w:pPr>
      <w:r>
        <w:t>Abstract: 100-120 words</w:t>
      </w:r>
      <w:r>
        <w:br/>
        <w:t>Highlights: Provide a short collection of 3-5 statements that concisely convey to the reader the recent advances in the field, including emerging concepts and/or distinctions, that constitute a main motivation for the discussion developed in the article. This summary is prominently featured on the first page of the article, thus allowing readers to immediately get a sense of the current status of the field.</w:t>
      </w:r>
      <w:r>
        <w:br/>
        <w:t>Word Count: 3500 words (this limit does not include text in the boxes, glossary, abstract, references, tables or figure legends)</w:t>
      </w:r>
      <w:r>
        <w:br/>
        <w:t>References: 80-100</w:t>
      </w:r>
      <w:r>
        <w:br/>
        <w:t>Outstanding Questions: 350 words</w:t>
      </w:r>
      <w:r>
        <w:br/>
        <w:t>Glossary: 500 words</w:t>
      </w:r>
      <w:r>
        <w:br/>
      </w:r>
    </w:p>
    <w:p w14:paraId="17064D9A" w14:textId="77777777" w:rsidR="00553B80" w:rsidRDefault="00000000">
      <w:pPr>
        <w:pStyle w:val="Heading5"/>
      </w:pPr>
      <w:bookmarkStart w:id="1" w:name="alternative-homes"/>
      <w:bookmarkEnd w:id="0"/>
      <w:r>
        <w:rPr>
          <w:b/>
          <w:bCs/>
        </w:rPr>
        <w:t>Alternative homes</w:t>
      </w:r>
      <w:r>
        <w:t>:</w:t>
      </w:r>
    </w:p>
    <w:p w14:paraId="67DBD7B9" w14:textId="77777777" w:rsidR="00553B80" w:rsidRDefault="00000000">
      <w:pPr>
        <w:pStyle w:val="FirstParagraph"/>
      </w:pPr>
      <w:r>
        <w:rPr>
          <w:i/>
          <w:iCs/>
        </w:rPr>
        <w:t>Nature Ecology and Evolution</w:t>
      </w:r>
      <w:r>
        <w:t xml:space="preserve"> (Perspective) - 3000-4000 words, 4-6 display items: https://www.nature.com/natecolevol/content</w:t>
      </w:r>
      <w:r>
        <w:br/>
      </w:r>
      <w:r>
        <w:rPr>
          <w:i/>
          <w:iCs/>
        </w:rPr>
        <w:t>Global Change Biology</w:t>
      </w:r>
      <w:r>
        <w:t xml:space="preserve"> - 3000 (Mini Review)-5000 (Opinion) words (https://onlinelibrary.wiley.com/page/journal/13652486/homepage/forauthors.html)</w:t>
      </w:r>
      <w:r>
        <w:br/>
      </w:r>
      <w:r>
        <w:rPr>
          <w:i/>
          <w:iCs/>
        </w:rPr>
        <w:t>Ecology Letters</w:t>
      </w:r>
      <w:r>
        <w:t xml:space="preserve"> (Perspective) - up to 7500 words if needed.</w:t>
      </w:r>
    </w:p>
    <w:p w14:paraId="77EFB8AF" w14:textId="77777777" w:rsidR="00553B80" w:rsidRDefault="00000000">
      <w:pPr>
        <w:pStyle w:val="Heading5"/>
      </w:pPr>
      <w:bookmarkStart w:id="2" w:name="structure-overview---sections"/>
      <w:bookmarkEnd w:id="1"/>
      <w:r>
        <w:rPr>
          <w:b/>
          <w:bCs/>
        </w:rPr>
        <w:t>Structure Overview - Sections</w:t>
      </w:r>
      <w:r>
        <w:t>:</w:t>
      </w:r>
      <w:r>
        <w:br/>
      </w:r>
    </w:p>
    <w:p w14:paraId="428D01AB" w14:textId="77777777" w:rsidR="00553B80" w:rsidRDefault="00000000">
      <w:pPr>
        <w:pStyle w:val="FirstParagraph"/>
      </w:pPr>
      <w:r>
        <w:t>Proposed Outline: • A need for a mechanistically-informed modelling framework for predicting the effects of extreme heat on community assemblages in natural and managed landscapes (Dan) (~ 500 words - First Draft Done)</w:t>
      </w:r>
      <w:r>
        <w:br/>
        <w:t>• The next wave of climate models that incorporate feedbacks between biological systems and the atmosphere (Mike, Belinda)</w:t>
      </w:r>
      <w:r>
        <w:br/>
        <w:t>• Biophysics to the ‘rescue’: realistic community wide exposure to extreme heat and dynamic energy budget theory (Mike, Belinda)</w:t>
      </w:r>
      <w:r>
        <w:br/>
        <w:t>• Capturing the balance between physiological damage and repair to predict multi-species thermal sensitivity (Dan, Adrienne) (~300-500 words)</w:t>
      </w:r>
      <w:r>
        <w:br/>
        <w:t>• Mechanistic approaches that ‘speak’ to population and community ecology under extreme heat (Margie) (~300-500 words)</w:t>
      </w:r>
      <w:r>
        <w:br/>
        <w:t>• Incorporating environmental feedback to evaluate resilience of biological systems to extreme heat (Brajesh, Brendan, James, Everyone else who wants to contribute) (~500 words)</w:t>
      </w:r>
      <w:r>
        <w:br/>
        <w:t>• ‘Hot’ solutions for a changing world (Alison, Owen and Belinda, Mike, Anyone else!) (~300-500 words)</w:t>
      </w:r>
      <w:r>
        <w:br/>
        <w:t>• Interacting species interacting with people: social-ecological systems (Steven and Xuemei) (~300-500 words)</w:t>
      </w:r>
      <w:r>
        <w:br/>
        <w:t>• Future directions: modelling challenges, gaps and possible solutions (Mike, Belinda, Dan, Ary, Braj, Everyone) (~300-500 words)</w:t>
      </w:r>
    </w:p>
    <w:p w14:paraId="3685CCC5" w14:textId="77777777" w:rsidR="00553B80" w:rsidRDefault="00000000">
      <w:pPr>
        <w:pStyle w:val="BodyText"/>
      </w:pPr>
      <w:r>
        <w:t>We will also have three figures and two boxes as part of the paper that discuss / demonstrate the following:</w:t>
      </w:r>
    </w:p>
    <w:p w14:paraId="460D7EA1" w14:textId="77777777" w:rsidR="00553B80" w:rsidRDefault="00000000">
      <w:pPr>
        <w:pStyle w:val="BodyText"/>
      </w:pPr>
      <w:r>
        <w:lastRenderedPageBreak/>
        <w:t>Figure 1: Broad conceptual overview of different modelling frameworks and how they can be integrated (see above) Box 1: Box 1 will provide an example of the distinct ways models can be coupled and used to test different scenarios and interventions. We will have a figure within this box. Box 2: Box 2 will show how to incorporate different environmental contexts and how plasticity of individual organisms and evolution can be integrated into model components. We will have a figure within this box.</w:t>
      </w:r>
    </w:p>
    <w:p w14:paraId="0EBFB0E5" w14:textId="77777777" w:rsidR="00553B80" w:rsidRDefault="00000000">
      <w:pPr>
        <w:pStyle w:val="Compact"/>
        <w:numPr>
          <w:ilvl w:val="0"/>
          <w:numId w:val="72"/>
        </w:numPr>
      </w:pPr>
      <w:r>
        <w:t>add cell modelling</w:t>
      </w:r>
    </w:p>
    <w:p w14:paraId="6AF202D4" w14:textId="77777777" w:rsidR="00553B80" w:rsidRDefault="00000000">
      <w:pPr>
        <w:pStyle w:val="Compact"/>
        <w:numPr>
          <w:ilvl w:val="0"/>
          <w:numId w:val="72"/>
        </w:numPr>
      </w:pPr>
      <w:r>
        <w:t>organise weekly writing catchups to push forward. Agree it won’t be done by end of year</w:t>
      </w:r>
    </w:p>
    <w:p w14:paraId="61635D59" w14:textId="77777777" w:rsidR="00553B80" w:rsidRDefault="00000000">
      <w:pPr>
        <w:pStyle w:val="FirstParagraph"/>
      </w:pPr>
      <w:r>
        <w:t>Please see more detailed guidance for each section below and some names who might lead these.</w:t>
      </w:r>
    </w:p>
    <w:p w14:paraId="3C01138C" w14:textId="77777777" w:rsidR="00553B80" w:rsidRDefault="00000000">
      <w:pPr>
        <w:pStyle w:val="Heading1"/>
      </w:pPr>
      <w:bookmarkStart w:id="3" w:name="abstract-dan"/>
      <w:bookmarkEnd w:id="2"/>
      <w:r>
        <w:t>Abstract (Dan)</w:t>
      </w:r>
    </w:p>
    <w:p w14:paraId="1057B123" w14:textId="77777777" w:rsidR="00553B80" w:rsidRDefault="00000000">
      <w:pPr>
        <w:pStyle w:val="FirstParagraph"/>
      </w:pPr>
      <w:r>
        <w:t>Anthropogenic climate change is leading to more frequent and extreme heat waves. These short-term but large-scale events are radically re-shaping interactions among organisms, impacting biodiversity, community composition and ecosystem services crucial to natural systems and food security. Predicting heat wave impacts on interacting species requires an understanding of the processes driving differential exposure and sensitivity of organisms to extreme heat events in a life-cycle context. Key to developing this predictive capacity is the formulation of a modelling framework that captures species-specific responses. This includes knowledge of habitat-mediated changes in microclimates, biophysical controls on body temperature, temperature sensitivity of organismal physiology, and how the effects of heatwaves vary depending on thermal history. We show how existing models in disparate fields can be linked to achieve this level of understanding to allow for calculated responses to extreme heat now and into the future with implications for socioecological systems more generally.  </w:t>
      </w:r>
    </w:p>
    <w:p w14:paraId="0F3345F0" w14:textId="77777777" w:rsidR="00553B80" w:rsidRDefault="00000000">
      <w:pPr>
        <w:pStyle w:val="Heading1"/>
      </w:pPr>
      <w:bookmarkStart w:id="4" w:name="Xebe326ccf6438bb59b06b215a72d468ba832b0f"/>
      <w:bookmarkEnd w:id="3"/>
      <w:r>
        <w:t>A need for a mechanistically informed modelling framework for predicting the effects of extreme heat on community assemblages (Dan)</w:t>
      </w:r>
    </w:p>
    <w:p w14:paraId="3D0EC0D5" w14:textId="77777777" w:rsidR="00553B80" w:rsidRDefault="00000000">
      <w:pPr>
        <w:pStyle w:val="FirstParagraph"/>
      </w:pPr>
      <w:r>
        <w:t>Climate change is leading to warmer and more variable thermal environments globally [1,2]. Greater thermal variability will result in organisms experiencing extreme heat waves that result in thermal stress that impacts organismal growth, survival and reproduction with cascading effects on population dynamics, community composition and ecosystem structure and function [3,4]. Climate variability has already been linked to dramatic declines in pollinator abundance [5] and in crop yields globally [6–8], but the causes underlying such declines, and their ramifications through communities, are not fully understood. The impacts of extreme heat on species and communities are driven by a combination of direct effects of heat stress on organism physiology and fitness [9–12] and indirect effects on interactions (both positive and negative) among species [e.g., 13,14] – including the microbial communities many species rely upon [15]. Understanding the dynamic interplay between direct and indirect interactions, and how these are mediated by environmental factors, has been hampered by the complexity of community interactions and the lack of an integrated modelling framework that can translate short-term physiological damage into changes in fitness and population growth across species [15].</w:t>
      </w:r>
    </w:p>
    <w:p w14:paraId="7A089181" w14:textId="77777777" w:rsidR="00553B80" w:rsidRDefault="00000000">
      <w:pPr>
        <w:pStyle w:val="BodyText"/>
      </w:pPr>
      <w:r>
        <w:t xml:space="preserve">Predicting how extreme heat impacts population dynamics and community interactions requires the coupling of physiological, biophysical and population ecology models. We argue that such a feat is becoming increasingly more tangible and will provide powerful new ways of predicting how extreme heat shapes community dynamics. Dynamic Energy Budget (DEB) theory can now be seamlessly integrated with biophysical models of heat and mass exchange to characterise organismal body temperatures and simulate the effects of extreme heat events on the entire life cycle of species within communities [16–20]. Dynamic Energy Budgets that incorporate estimates of thermal sensitivity across species can capture the delicate balance between damage and repair in physiological systems [11,12,21] to translate the immediate and </w:t>
      </w:r>
      <w:r>
        <w:lastRenderedPageBreak/>
        <w:t>cumulative impacts of extreme heat on growth, survival and reproduction. Importantly, mechanistic physiological models provide common currencies that can then be integrated into population and community ecology models to capture how extreme heat events perturb interactions among species [</w:t>
      </w:r>
      <w:r>
        <w:rPr>
          <w:b/>
          <w:bCs/>
        </w:rPr>
        <w:t>Margie</w:t>
      </w:r>
      <w:r>
        <w:t>, some refs here you think would be good?].</w:t>
      </w:r>
    </w:p>
    <w:p w14:paraId="35C2F1CF" w14:textId="77777777" w:rsidR="00553B80" w:rsidRDefault="00000000">
      <w:pPr>
        <w:pStyle w:val="BodyText"/>
      </w:pPr>
      <w:r>
        <w:t>Here, we bring together modelling approaches across diverse fields to establish a bridge for thinking about how we might begin integrating them to predict how extreme heat will affect communities. We focus our discussion on plant, insect and microbial communities given the strong interconnections between them, the ease with which they can be studied and their significance to natural and agricultural productivity. Importantly, ‘extreme heat’ can take on a different meaning for these organisms. For example, plants and animals have different thermal tolerances or can exploit microthermal environments in different ways to dampen the effects of extreme atmospheric heat events. As such, ‘extreme’ will be relative to the biology of the organism in question. Nonetheless, our framework can capture these complexities and be extended to incorporate other, diverse interactions. We highlight the immense opportunities such an integration may provide through a greater understanding of the ways in which extreme heat stress manifests across species and by elucidating more clearly how and why interactions among species can change with implications for natural and agricultural systems, food security and ecosystem services. We discuss the challenges of applying such an integrated modelling framework moving forward and how it can be extended to include other critical features that capture evolutionary change and plasticity in response to extreme heat.</w:t>
      </w:r>
    </w:p>
    <w:p w14:paraId="12C353EA" w14:textId="77777777" w:rsidR="00553B80" w:rsidRDefault="00000000">
      <w:pPr>
        <w:pStyle w:val="Heading1"/>
      </w:pPr>
      <w:bookmarkStart w:id="5" w:name="Xa94c9dea5ca370ac54e92cadec28ec1ba151523"/>
      <w:bookmarkEnd w:id="4"/>
      <w:r>
        <w:t xml:space="preserve">Biophysics to the rescue: predicting community wide </w:t>
      </w:r>
      <w:r>
        <w:rPr>
          <w:i/>
          <w:iCs/>
        </w:rPr>
        <w:t>exposure</w:t>
      </w:r>
      <w:r>
        <w:t xml:space="preserve"> to extreme heat</w:t>
      </w:r>
    </w:p>
    <w:p w14:paraId="6A76F6F2" w14:textId="77777777" w:rsidR="00553B80" w:rsidRDefault="00000000">
      <w:pPr>
        <w:pStyle w:val="FirstParagraph"/>
      </w:pPr>
      <w:r>
        <w:t xml:space="preserve">Understanding the impacts of extreme heat on a community of organisms requires that we estimate and predict the thermal environment that organisms </w:t>
      </w:r>
      <w:proofErr w:type="gramStart"/>
      <w:r>
        <w:t>actually experience</w:t>
      </w:r>
      <w:proofErr w:type="gramEnd"/>
      <w:r>
        <w:t xml:space="preserve"> in nature and the ways in which they mitigate their exposure to extreme heat. Climate modelling and weather event forecasting has historically been achieved through General Circulation Models – large partial differential equation networks of atmospheric, oceanic and biospheric energy and mass exchange processes – coded in fast but inflexible languages like Fortran and C. The emergence of the Julia language for scientific computing has created an opportunity to rebuild climate models in a more modular manner allowing easier interfacing between discipline-specific models and easier integration of the massive emerging power of AI for data assimilation and machine learning. Well-established models are now available to integrate information about atmospheric conditions and habitat (topography, vegetation structure, soil/substrate properties) into microclimates and then translate microclimates into trait-mediated (behaviour, morphology, physiology) body temperature through the principles of biophysical ecology. Elaborate … emphasise how very different trajectories of body temperature can arise from the same atmospheric events due to position in the habitat, morphological and physiological traits (endothermy, evaporative cooling capacity, etc.), and behavioural responses. Link this later to how it can be applied to infer differential exposure of members of a community to predict relative exposure with different degrees of detail (from rank-order stress exposure to hourly trajecto</w:t>
      </w:r>
    </w:p>
    <w:p w14:paraId="70EC91EE" w14:textId="77777777" w:rsidR="00553B80" w:rsidRDefault="00000000">
      <w:pPr>
        <w:pStyle w:val="Heading1"/>
      </w:pPr>
      <w:bookmarkStart w:id="6" w:name="Xd22b977f88f0add426f49399196084251b1e16e"/>
      <w:bookmarkEnd w:id="5"/>
      <w:r>
        <w:t xml:space="preserve">Capturing the balance between physiological </w:t>
      </w:r>
      <w:r>
        <w:rPr>
          <w:i/>
          <w:iCs/>
        </w:rPr>
        <w:t>damage</w:t>
      </w:r>
      <w:r>
        <w:t xml:space="preserve"> and </w:t>
      </w:r>
      <w:r>
        <w:rPr>
          <w:i/>
          <w:iCs/>
        </w:rPr>
        <w:t>repair</w:t>
      </w:r>
      <w:r>
        <w:t xml:space="preserve"> to predict multi-species thermal sensitivity (Dan, Adrienne)</w:t>
      </w:r>
    </w:p>
    <w:p w14:paraId="3EA74681" w14:textId="77777777" w:rsidR="00553B80" w:rsidRDefault="00000000">
      <w:pPr>
        <w:pStyle w:val="FirstParagraph"/>
      </w:pPr>
      <w:r>
        <w:t xml:space="preserve">Translating how heat waves impact plants and animals not only depends on modelling temperature </w:t>
      </w:r>
      <w:r>
        <w:rPr>
          <w:i/>
          <w:iCs/>
        </w:rPr>
        <w:t>exposure</w:t>
      </w:r>
      <w:r>
        <w:t xml:space="preserve"> but also the varying </w:t>
      </w:r>
      <w:r>
        <w:rPr>
          <w:i/>
          <w:iCs/>
        </w:rPr>
        <w:t>sensitivity</w:t>
      </w:r>
      <w:r>
        <w:t xml:space="preserve"> of organisms to extreme heat [21,22]. Sensitivity to extreme heat can be captured by thermal load or death time models that explicitly account for how heat stress depends on both temperature and the duration of time at a given temperature [21]. Typically, these models focus on endpoints that include survival (e.g., </w:t>
      </w:r>
      <m:oMath>
        <m:r>
          <w:rPr>
            <w:rFonts w:ascii="Cambria Math" w:hAnsi="Cambria Math"/>
          </w:rPr>
          <m:t>L</m:t>
        </m:r>
        <m:sSub>
          <m:sSubPr>
            <m:ctrlPr>
              <w:rPr>
                <w:rFonts w:ascii="Cambria Math" w:hAnsi="Cambria Math"/>
              </w:rPr>
            </m:ctrlPr>
          </m:sSubPr>
          <m:e>
            <m:r>
              <w:rPr>
                <w:rFonts w:ascii="Cambria Math" w:hAnsi="Cambria Math"/>
              </w:rPr>
              <m:t>T</m:t>
            </m:r>
          </m:e>
          <m:sub>
            <m:r>
              <w:rPr>
                <w:rFonts w:ascii="Cambria Math" w:hAnsi="Cambria Math"/>
              </w:rPr>
              <m:t>50</m:t>
            </m:r>
          </m:sub>
        </m:sSub>
      </m:oMath>
      <w:r>
        <w:t xml:space="preserve"> or </w:t>
      </w:r>
      <m:oMath>
        <m:r>
          <w:rPr>
            <w:rFonts w:ascii="Cambria Math" w:hAnsi="Cambria Math"/>
          </w:rPr>
          <m:t>L</m:t>
        </m:r>
        <m:sSub>
          <m:sSubPr>
            <m:ctrlPr>
              <w:rPr>
                <w:rFonts w:ascii="Cambria Math" w:hAnsi="Cambria Math"/>
              </w:rPr>
            </m:ctrlPr>
          </m:sSubPr>
          <m:e>
            <m:r>
              <w:rPr>
                <w:rFonts w:ascii="Cambria Math" w:hAnsi="Cambria Math"/>
              </w:rPr>
              <m:t>T</m:t>
            </m:r>
          </m:e>
          <m:sub>
            <m:r>
              <w:rPr>
                <w:rFonts w:ascii="Cambria Math" w:hAnsi="Cambria Math"/>
              </w:rPr>
              <m:t>80</m:t>
            </m:r>
          </m:sub>
        </m:sSub>
      </m:oMath>
      <w:r>
        <w:t xml:space="preserve">) or some measure of fertility, but this need not be the case. Endpoints are predicted by assuming the effect of time at a given temperature decrease survival or fertility </w:t>
      </w:r>
      <w:r>
        <w:lastRenderedPageBreak/>
        <w:t>exponentially [11,12,21,22]. Thermal load sensitivity models explicitly acknowledge that thermal sensitivity depends on the relative accumulation of damage to cellular and sub-cellular systems that compromise physiological function. Without periods of recovery, where damage can be repaired, organisms accumulate damage over time that reduces growth, survival and reproduction. The concept of damage/repair is critically important for understanding how heat waves affect organisms because such a mechanism can result in lagged responses to heat stress – a common feature of extreme heat events [23]. In addition, modelling the intricate balance between damage and repair for a suite of different species can help identify susceptible species, life stages and tissues that are most at risk from extreme heat events which allow for more accurate predictions of the varying sensitivity of species across a community.</w:t>
      </w:r>
    </w:p>
    <w:p w14:paraId="5D3B0FC7" w14:textId="77777777" w:rsidR="00553B80" w:rsidRDefault="00000000">
      <w:pPr>
        <w:pStyle w:val="Heading1"/>
      </w:pPr>
      <w:bookmarkStart w:id="7" w:name="Xae17b7d822eafec0094a5c39d320bfcf97ba0ef"/>
      <w:bookmarkEnd w:id="6"/>
      <w:r>
        <w:t>Dynamic Energy Budget (DEB) models can capture the effects of extreme heat across life (Mike and Dan)</w:t>
      </w:r>
    </w:p>
    <w:p w14:paraId="3DD92700" w14:textId="77777777" w:rsidR="00553B80" w:rsidRDefault="00000000">
      <w:pPr>
        <w:pStyle w:val="FirstParagraph"/>
      </w:pPr>
      <w:r>
        <w:t xml:space="preserve">Dynamic Energy Budget (DEB) models are physiologically (energetically) explicit life-cycle models that predict key life-history transitions, growth, reproduction and survival through time for diverse species [16,17,24]. DEB models consider organism as a thermodynamic system (adhering to energy-mass balance) across the whole life cycle from egg to adult. DEB models </w:t>
      </w:r>
      <w:proofErr w:type="gramStart"/>
      <w:r>
        <w:t>are capable of translating</w:t>
      </w:r>
      <w:proofErr w:type="gramEnd"/>
      <w:r>
        <w:t xml:space="preserve"> short-term variation in factors such as temperature, stressors (e.g., toxicants; [25]; [26]) and resource availability (nutrients) to understand how they affect growth, reproduction and survival [17,20]. DEB theory combined with biophysical models also allow the full water budget to be computed to account for heat stress impacts of a hydric nature, and computes obligate heat production of metabolism to feed back to the calculation of body temperature. Perhaps most importantly, DEB theory is computing the life cycle trajectory and so can account for the effects of timing of heat wave impacts relative to life stage. While DEB models are parameter rich key parameters have been estimated for &gt; 1000 species already [27]. New analytical approaches using phylogenetic imputation methods </w:t>
      </w:r>
      <w:proofErr w:type="gramStart"/>
      <w:r>
        <w:t>can be also now be</w:t>
      </w:r>
      <w:proofErr w:type="gramEnd"/>
      <w:r>
        <w:t xml:space="preserve"> used to predict DEB parameters for over 1.3 million species providing immense opportunities to model how heat will affect life-cycles of multi-species assemblages (see https://deb.bolding-bruggeman.com, [28]).</w:t>
      </w:r>
    </w:p>
    <w:p w14:paraId="4EB9FF72" w14:textId="77777777" w:rsidR="00553B80" w:rsidRDefault="00000000">
      <w:pPr>
        <w:pStyle w:val="BodyText"/>
      </w:pPr>
      <w:r>
        <w:t>are mechanistic and adhere to the thermodynamic principle of energy-mass balance.</w:t>
      </w:r>
    </w:p>
    <w:p w14:paraId="50898717" w14:textId="77777777" w:rsidR="00553B80" w:rsidRDefault="00000000">
      <w:pPr>
        <w:pStyle w:val="Compact"/>
        <w:numPr>
          <w:ilvl w:val="0"/>
          <w:numId w:val="75"/>
        </w:numPr>
      </w:pPr>
      <w:r>
        <w:t>Combining TLS with biophysical and dynamic energy budget models.</w:t>
      </w:r>
    </w:p>
    <w:p w14:paraId="47104C8E" w14:textId="77777777" w:rsidR="00553B80" w:rsidRDefault="00000000">
      <w:pPr>
        <w:pStyle w:val="Compact"/>
        <w:numPr>
          <w:ilvl w:val="0"/>
          <w:numId w:val="75"/>
        </w:numPr>
      </w:pPr>
      <w:r>
        <w:t>Introduce biophysical and dynamic energy budget models</w:t>
      </w:r>
    </w:p>
    <w:p w14:paraId="5755BD33" w14:textId="77777777" w:rsidR="00553B80" w:rsidRDefault="00000000">
      <w:pPr>
        <w:pStyle w:val="Compact"/>
        <w:numPr>
          <w:ilvl w:val="1"/>
          <w:numId w:val="76"/>
        </w:numPr>
      </w:pPr>
      <w:r>
        <w:t>Biophysical models are used to predict how temperature affects the energy balance of an organism</w:t>
      </w:r>
    </w:p>
    <w:p w14:paraId="0F4830A9" w14:textId="77777777" w:rsidR="00553B80" w:rsidRDefault="00000000">
      <w:pPr>
        <w:pStyle w:val="Compact"/>
        <w:numPr>
          <w:ilvl w:val="1"/>
          <w:numId w:val="76"/>
        </w:numPr>
      </w:pPr>
      <w:r>
        <w:t>DEB models are used to predict how temperature affects the energy budget of an organism</w:t>
      </w:r>
    </w:p>
    <w:p w14:paraId="5F7F82C8" w14:textId="77777777" w:rsidR="00553B80" w:rsidRDefault="00000000">
      <w:pPr>
        <w:pStyle w:val="Compact"/>
        <w:numPr>
          <w:ilvl w:val="1"/>
          <w:numId w:val="76"/>
        </w:numPr>
      </w:pPr>
      <w:r>
        <w:t>Both models can be used to predict how temperature affects the growth, reproduction and survival of an organism</w:t>
      </w:r>
    </w:p>
    <w:p w14:paraId="39C9261F" w14:textId="77777777" w:rsidR="00553B80" w:rsidRDefault="00000000">
      <w:pPr>
        <w:pStyle w:val="Compact"/>
        <w:numPr>
          <w:ilvl w:val="1"/>
          <w:numId w:val="76"/>
        </w:numPr>
      </w:pPr>
      <w:r>
        <w:t>Combining these models with TLS can help predict how temperature affects the survival and reproduction of a focal species in a community</w:t>
      </w:r>
    </w:p>
    <w:p w14:paraId="74C84994" w14:textId="77777777" w:rsidR="00553B80" w:rsidRDefault="00000000">
      <w:pPr>
        <w:pStyle w:val="Heading1"/>
      </w:pPr>
      <w:bookmarkStart w:id="8" w:name="Xbdb3df2871e98d114a1e4e74a52caa28253dc0c"/>
      <w:bookmarkEnd w:id="7"/>
      <w:r>
        <w:t>Mechanistic approaches that ‘speak’ to population and community ecology under extreme heat (Margie)</w:t>
      </w:r>
    </w:p>
    <w:p w14:paraId="42BB9632" w14:textId="77777777" w:rsidR="00553B80" w:rsidRDefault="00000000">
      <w:pPr>
        <w:pStyle w:val="Compact"/>
        <w:numPr>
          <w:ilvl w:val="0"/>
          <w:numId w:val="77"/>
        </w:numPr>
      </w:pPr>
      <w:r>
        <w:t>How can we link mechanistic physiological models with population and community ecology theory?</w:t>
      </w:r>
    </w:p>
    <w:p w14:paraId="317DD781" w14:textId="77777777" w:rsidR="00553B80" w:rsidRDefault="00000000">
      <w:pPr>
        <w:pStyle w:val="Compact"/>
        <w:numPr>
          <w:ilvl w:val="0"/>
          <w:numId w:val="77"/>
        </w:numPr>
      </w:pPr>
      <w:r>
        <w:t>Introducing population and network models to link outputs from DEB (survival, reproduction, abundance) to population growth.</w:t>
      </w:r>
    </w:p>
    <w:p w14:paraId="43C13373" w14:textId="77777777" w:rsidR="00553B80" w:rsidRDefault="00000000">
      <w:pPr>
        <w:pStyle w:val="Compact"/>
        <w:numPr>
          <w:ilvl w:val="0"/>
          <w:numId w:val="77"/>
        </w:numPr>
      </w:pPr>
      <w:r>
        <w:t>How people are analysing communities with network theory. Some important papers [29] [30] [31] [32] [33] [34] [35] Should also look at this book [36]</w:t>
      </w:r>
    </w:p>
    <w:p w14:paraId="65DF9678" w14:textId="77777777" w:rsidR="00553B80" w:rsidRDefault="00000000">
      <w:pPr>
        <w:pStyle w:val="Compact"/>
        <w:numPr>
          <w:ilvl w:val="0"/>
          <w:numId w:val="77"/>
        </w:numPr>
      </w:pPr>
      <w:r>
        <w:lastRenderedPageBreak/>
        <w:t>How can we capture interactions among species within the community to predict how heat stress will affect community structure?</w:t>
      </w:r>
    </w:p>
    <w:p w14:paraId="4D9C75AD" w14:textId="77777777" w:rsidR="00553B80" w:rsidRDefault="00000000">
      <w:pPr>
        <w:pStyle w:val="Compact"/>
        <w:numPr>
          <w:ilvl w:val="0"/>
          <w:numId w:val="77"/>
        </w:numPr>
      </w:pPr>
      <w:r>
        <w:t>Figure 2: demonstrating how TLS, biophysical and DEB models can be used to predict heat stress impacts on plants and animals, growth, reproduction, survival. (Dan, Margie)</w:t>
      </w:r>
    </w:p>
    <w:p w14:paraId="065B3FE6" w14:textId="77777777" w:rsidR="00553B80" w:rsidRDefault="00000000">
      <w:pPr>
        <w:pStyle w:val="Compact"/>
        <w:numPr>
          <w:ilvl w:val="0"/>
          <w:numId w:val="77"/>
        </w:numPr>
      </w:pPr>
      <w:proofErr w:type="gramStart"/>
      <w:r>
        <w:t>Also</w:t>
      </w:r>
      <w:proofErr w:type="gramEnd"/>
      <w:r>
        <w:t xml:space="preserve"> this is a cool paper [37] on carnivores diets by DNA sequencing fecal data -The other way to model interactions us using foundational community ecology/ species abundance models see [38]. We can here model the actual abundance of a given </w:t>
      </w:r>
      <w:proofErr w:type="gramStart"/>
      <w:r>
        <w:t>species</w:t>
      </w:r>
      <w:proofErr w:type="gramEnd"/>
      <w:r>
        <w:t xml:space="preserve"> and it would seem more flexible to incorporate thermal tolerance infor into these models.</w:t>
      </w:r>
    </w:p>
    <w:p w14:paraId="75AF0A0E" w14:textId="77777777" w:rsidR="00553B80" w:rsidRDefault="00000000">
      <w:pPr>
        <w:pStyle w:val="Compact"/>
        <w:numPr>
          <w:ilvl w:val="0"/>
          <w:numId w:val="77"/>
        </w:numPr>
      </w:pPr>
      <w:r>
        <w:t>have a close look at [39] and [40], limitations [41] [42]</w:t>
      </w:r>
    </w:p>
    <w:p w14:paraId="5721C16E" w14:textId="77777777" w:rsidR="00553B80" w:rsidRDefault="00000000">
      <w:pPr>
        <w:pStyle w:val="Heading1"/>
      </w:pPr>
      <w:bookmarkStart w:id="9" w:name="Xe7540e51cb84d29e47d083817996607ca5f8009"/>
      <w:bookmarkEnd w:id="8"/>
      <w:r>
        <w:t xml:space="preserve">Incorporating context-dependent environmental feedback to evaluate resilience to extreme heat (Brajesh, Brendan, James, </w:t>
      </w:r>
      <w:proofErr w:type="gramStart"/>
      <w:r>
        <w:t>Everyone</w:t>
      </w:r>
      <w:proofErr w:type="gramEnd"/>
      <w:r>
        <w:t xml:space="preserve"> else who wants to contribute)</w:t>
      </w:r>
    </w:p>
    <w:p w14:paraId="45068D06" w14:textId="77777777" w:rsidR="00553B80" w:rsidRDefault="00000000">
      <w:pPr>
        <w:pStyle w:val="Compact"/>
        <w:numPr>
          <w:ilvl w:val="0"/>
          <w:numId w:val="78"/>
        </w:numPr>
      </w:pPr>
      <w:r>
        <w:t>Goal of this section is to briefly focus on the BIOLOGY that will shift thermal exposure and sensitivity in plants and animals.</w:t>
      </w:r>
    </w:p>
    <w:p w14:paraId="275D06E2" w14:textId="77777777" w:rsidR="00553B80" w:rsidRDefault="00000000">
      <w:pPr>
        <w:pStyle w:val="Compact"/>
        <w:numPr>
          <w:ilvl w:val="0"/>
          <w:numId w:val="78"/>
        </w:numPr>
      </w:pPr>
      <w:r>
        <w:t xml:space="preserve">I </w:t>
      </w:r>
      <w:r>
        <w:rPr>
          <w:b/>
          <w:bCs/>
        </w:rPr>
        <w:t>just</w:t>
      </w:r>
      <w:r>
        <w:t xml:space="preserve"> found this important paper for which a lot can be gleaned upon. Many of the important things we have been discussing are discussed in here: [23], so we should be careful to make our narrative distinct. The limitation of this study is it lacks the focus on modelling frameworks, so I think us distinguishing how we link these concepts back into the model would be quite novel and distinguish ourselves from </w:t>
      </w:r>
      <w:proofErr w:type="gramStart"/>
      <w:r>
        <w:t>them..</w:t>
      </w:r>
      <w:proofErr w:type="gramEnd"/>
    </w:p>
    <w:p w14:paraId="36DDCE90" w14:textId="77777777" w:rsidR="00553B80" w:rsidRDefault="00000000">
      <w:pPr>
        <w:pStyle w:val="Compact"/>
        <w:numPr>
          <w:ilvl w:val="0"/>
          <w:numId w:val="78"/>
        </w:numPr>
      </w:pPr>
      <w:r>
        <w:t xml:space="preserve">Then, we overlay briefly how we might capture that in the modelling framework we setup above. For example, you all write the </w:t>
      </w:r>
      <w:proofErr w:type="gramStart"/>
      <w:r>
        <w:t>biology</w:t>
      </w:r>
      <w:proofErr w:type="gramEnd"/>
      <w:r>
        <w:t xml:space="preserve"> and we then need to think about how we can adjust models to capture these nuances.</w:t>
      </w:r>
    </w:p>
    <w:p w14:paraId="764A4892" w14:textId="77777777" w:rsidR="00553B80" w:rsidRDefault="00000000">
      <w:pPr>
        <w:pStyle w:val="Compact"/>
        <w:numPr>
          <w:ilvl w:val="0"/>
          <w:numId w:val="78"/>
        </w:numPr>
      </w:pPr>
      <w:r>
        <w:t>If uncertain about adding a sentence to the link to the models above, that’s ok, Dan, Mike, Margie and Belinda can add.</w:t>
      </w:r>
    </w:p>
    <w:p w14:paraId="1ACEF636" w14:textId="77777777" w:rsidR="00553B80" w:rsidRDefault="00000000">
      <w:pPr>
        <w:pStyle w:val="Heading3"/>
      </w:pPr>
      <w:bookmarkStart w:id="10" w:name="X1b136e3eae891c477bc728d2597e572ca649eaa"/>
      <w:r>
        <w:t>Microbial communities can impact thermal sensitivity in plants and animals (Brajesh)</w:t>
      </w:r>
    </w:p>
    <w:p w14:paraId="10C8421F" w14:textId="77777777" w:rsidR="00553B80" w:rsidRDefault="00000000">
      <w:pPr>
        <w:pStyle w:val="Compact"/>
        <w:numPr>
          <w:ilvl w:val="0"/>
          <w:numId w:val="79"/>
        </w:numPr>
      </w:pPr>
      <w:r>
        <w:t xml:space="preserve">Here’s some text of a cool example I had written up. Feel free to use Braj or shift completely if you’d like. Interactions with symbiotic microbiota can also directly impact thermal tolerance of a focal species. For example, in plants, Márquez </w:t>
      </w:r>
      <w:r>
        <w:rPr>
          <w:i/>
          <w:iCs/>
        </w:rPr>
        <w:t>et. al</w:t>
      </w:r>
      <w:r>
        <w:t xml:space="preserve"> [43] describe a three-way mutualistic association between a tropical panic grass (</w:t>
      </w:r>
      <w:r>
        <w:rPr>
          <w:i/>
          <w:iCs/>
        </w:rPr>
        <w:t>Dichanthelium lanuginosum</w:t>
      </w:r>
      <w:r>
        <w:t xml:space="preserve">), the fungus, </w:t>
      </w:r>
      <w:r>
        <w:rPr>
          <w:i/>
          <w:iCs/>
        </w:rPr>
        <w:t>Curvularia protuberata</w:t>
      </w:r>
      <w:r>
        <w:t xml:space="preserve">, and a </w:t>
      </w:r>
      <w:r>
        <w:rPr>
          <w:i/>
          <w:iCs/>
        </w:rPr>
        <w:t>Curvularia</w:t>
      </w:r>
      <w:r>
        <w:t xml:space="preserve"> virus whereby thermal tolerance of the fungus and grass is highly dependent on fungal-virus associations. Endophytic fungus cured of the virus were unable to survive extreme heating events (temperatures of 65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for 2 weeks). However, when the fungus </w:t>
      </w:r>
      <w:proofErr w:type="gramStart"/>
      <w:r>
        <w:t>were</w:t>
      </w:r>
      <w:proofErr w:type="gramEnd"/>
      <w:r>
        <w:t xml:space="preserve"> inoculated with the virus, heat tolerance was restored. Fascinatingly, the virus could be manipulated to confer heat tolerance to tomato (</w:t>
      </w:r>
      <w:r>
        <w:rPr>
          <w:i/>
          <w:iCs/>
        </w:rPr>
        <w:t>Solanum lycopersicon</w:t>
      </w:r>
      <w:r>
        <w:t>) demonstrating the potential for conferring thermal tolerance to other plant species. The mechanisms by which fungal-virus associations confer thermal tolerance are not yet understood but are hypothesized to involve scavenging of reactive oxygen species (ROS) by fungal endophytes generated by plant defense mechanisms in response to heat stress.</w:t>
      </w:r>
    </w:p>
    <w:p w14:paraId="6D9D6431" w14:textId="77777777" w:rsidR="00553B80" w:rsidRDefault="00000000">
      <w:pPr>
        <w:pStyle w:val="Compact"/>
        <w:numPr>
          <w:ilvl w:val="0"/>
          <w:numId w:val="79"/>
        </w:numPr>
      </w:pPr>
      <w:r>
        <w:t>See [44]. The paper provides a framework for modelling soil plant interactions</w:t>
      </w:r>
    </w:p>
    <w:p w14:paraId="4A19B033" w14:textId="77777777" w:rsidR="00553B80" w:rsidRDefault="00000000">
      <w:pPr>
        <w:pStyle w:val="FirstParagraph"/>
      </w:pPr>
      <w:r>
        <w:t xml:space="preserve">Heat tolerance of animals can be both increased and decreased through changes in the gut microbiome and/or through microbes that are resident in animal tissues (endosymbionts). Disruption of the natural gut microbiome of tadpoles increases their sensitivity to heat [45], which is thought to be associated with transcriptional buffering of hosts by the natural microbiome [46]. Specific gut bacteria may provide a protective effect on their host. </w:t>
      </w:r>
      <w:r>
        <w:rPr>
          <w:i/>
          <w:iCs/>
        </w:rPr>
        <w:t>Bacillus subtilis</w:t>
      </w:r>
      <w:r>
        <w:t xml:space="preserve"> residing in the gut of the nematode </w:t>
      </w:r>
      <w:r>
        <w:rPr>
          <w:i/>
          <w:iCs/>
        </w:rPr>
        <w:t>Caenorhabditis elegans</w:t>
      </w:r>
      <w:r>
        <w:t xml:space="preserve"> provides protection against heat shock as reflected by effects on fecundity [47]. Moreover, this protective </w:t>
      </w:r>
      <w:r>
        <w:lastRenderedPageBreak/>
        <w:t xml:space="preserve">effect can influence the ability of the host to evolve further resistance to the heat shock and harboured more bacteria [48]. Even microbes that are normally parasitic on their hosts can generate benefits to them under stressful conditions. In the mussel </w:t>
      </w:r>
      <w:r>
        <w:rPr>
          <w:i/>
          <w:iCs/>
        </w:rPr>
        <w:t>Mytilis californianus</w:t>
      </w:r>
      <w:r>
        <w:t xml:space="preserve">, microbes living on the shell of this species weaken it but also change shell colour in such a way that the mussels become more resistant to heat stress when exposed at low tide [49], On the other hand, many endosymbionts including those providing host benefits appear particularly sensitive to heat [50]. The density of </w:t>
      </w:r>
      <w:r>
        <w:rPr>
          <w:i/>
          <w:iCs/>
        </w:rPr>
        <w:t>Buchnera</w:t>
      </w:r>
      <w:r>
        <w:t xml:space="preserve"> decreases under heat in aphid species that are relatively less tolerant to heat, whereas </w:t>
      </w:r>
      <w:r>
        <w:rPr>
          <w:i/>
          <w:iCs/>
        </w:rPr>
        <w:t>Buchnera</w:t>
      </w:r>
      <w:r>
        <w:t xml:space="preserve"> densities in more tolerant aphids appear unaffected [51]. Nevertheless, the heat tolerance of pea aphids can be sharply increased through a mutation in a heat shock protein encoded by </w:t>
      </w:r>
      <w:r>
        <w:rPr>
          <w:i/>
          <w:iCs/>
        </w:rPr>
        <w:t>Buchnera</w:t>
      </w:r>
      <w:r>
        <w:t xml:space="preserve"> [52].</w:t>
      </w:r>
    </w:p>
    <w:p w14:paraId="56896CDE" w14:textId="77777777" w:rsidR="00553B80" w:rsidRDefault="00000000">
      <w:pPr>
        <w:pStyle w:val="Heading3"/>
      </w:pPr>
      <w:bookmarkStart w:id="11" w:name="X24738ef4513767bb724ce8804ac017259eaf2ee"/>
      <w:bookmarkEnd w:id="10"/>
      <w:r>
        <w:t>Water availability can impact thermal sensitivity of plants and animals (Brendan)</w:t>
      </w:r>
    </w:p>
    <w:p w14:paraId="71226067" w14:textId="77777777" w:rsidR="00553B80" w:rsidRDefault="00000000">
      <w:pPr>
        <w:pStyle w:val="Heading3"/>
      </w:pPr>
      <w:bookmarkStart w:id="12" w:name="X1934a01dca617640c62902cb6b54ad742133dfc"/>
      <w:bookmarkEnd w:id="11"/>
      <w:r>
        <w:t>Competition can impact thermal sensitivity of plants and animals (James? Feel free to add a different section title here.)</w:t>
      </w:r>
    </w:p>
    <w:p w14:paraId="4ED954DD" w14:textId="77777777" w:rsidR="00553B80" w:rsidRDefault="00000000">
      <w:pPr>
        <w:pStyle w:val="Compact"/>
        <w:numPr>
          <w:ilvl w:val="0"/>
          <w:numId w:val="80"/>
        </w:numPr>
      </w:pPr>
      <w:r>
        <w:t xml:space="preserve">James. Added some text around a few examples below. Feel fre eto use/integrate or completely throw away. </w:t>
      </w:r>
      <w:proofErr w:type="gramStart"/>
      <w:r>
        <w:t>Or,</w:t>
      </w:r>
      <w:proofErr w:type="gramEnd"/>
      <w:r>
        <w:t xml:space="preserve"> we can move some of this into other sections. Competition among species within a community can influence a focal species’ tolerance to heat stress. Competition can influence microhabitat selection and the availability of thermal refugia which can protect against thermal extremes, the diet of a focal species that can indirectly influence physiological tolerance of temperature stress, and the availability of resources that can help buffer against heat stress. For example, Li </w:t>
      </w:r>
      <w:r>
        <w:rPr>
          <w:i/>
          <w:iCs/>
        </w:rPr>
        <w:t>et al.</w:t>
      </w:r>
      <w:r>
        <w:t xml:space="preserve"> [53] measured the thermal tolerance landscape for three aphid species that are pests for cereal crops globally to understand whether they could predict changes in community abundance. Using a thermal death time (TDT) approach to estimate the cumulative impacts of heat stress on survival they found that one species, </w:t>
      </w:r>
      <w:r>
        <w:rPr>
          <w:i/>
          <w:iCs/>
        </w:rPr>
        <w:t>Rhopalosiphum padi</w:t>
      </w:r>
      <w:r>
        <w:t>, showed high heat tolerance and accumulated less injury over natural temperature fluctuations. The ability to maintain high relative abundance in the face of extreme heat may allow this species to outcompete other aphids explaining why it dominates in southern parts of its range.</w:t>
      </w:r>
    </w:p>
    <w:p w14:paraId="02998F76" w14:textId="77777777" w:rsidR="00553B80" w:rsidRDefault="00000000">
      <w:pPr>
        <w:pStyle w:val="FirstParagraph"/>
      </w:pPr>
      <w:r>
        <w:t xml:space="preserve">Li </w:t>
      </w:r>
      <w:r>
        <w:rPr>
          <w:i/>
          <w:iCs/>
        </w:rPr>
        <w:t>et al.</w:t>
      </w:r>
      <w:r>
        <w:t xml:space="preserve"> [53] also found that different life-stages were affected differently by heat stress, with adults being more thermally tolerant than early developmental stages emphasising the need for models to capture such variation. However, such findings do not incorporate acclimation to heat stress or different microhabitat choice by the different species, which are both likely to be important for predicting the impacts of heat stress on community structure. It also ignores how interspecific interactions between competing aphid species will also likely mediate species abundance. It would be worth while integrating thermal tolerance landscapes with ecological models that capture interspecific interactions to better predict how heat stress will affect community structure.</w:t>
      </w:r>
    </w:p>
    <w:p w14:paraId="582147EE" w14:textId="77777777" w:rsidR="00553B80" w:rsidRDefault="00000000">
      <w:pPr>
        <w:pStyle w:val="Heading3"/>
      </w:pPr>
      <w:bookmarkStart w:id="13" w:name="Xdbc91e02dcd505372e716f3d2147fb46ffba4bf"/>
      <w:bookmarkEnd w:id="12"/>
      <w:r>
        <w:t>Acclimation can impact thermal sensitivity of plants and animals (Everyone)</w:t>
      </w:r>
    </w:p>
    <w:p w14:paraId="0FD159CC" w14:textId="77777777" w:rsidR="00553B80" w:rsidRDefault="00000000">
      <w:pPr>
        <w:pStyle w:val="FirstParagraph"/>
      </w:pPr>
      <w:r>
        <w:t xml:space="preserve">A very important paper [54]. Connects heat tolerance to population matrix models. </w:t>
      </w:r>
      <w:proofErr w:type="gramStart"/>
      <w:r>
        <w:t>And,</w:t>
      </w:r>
      <w:proofErr w:type="gramEnd"/>
      <w:r>
        <w:t xml:space="preserve"> shows acclimation responses (heat hardening).</w:t>
      </w:r>
    </w:p>
    <w:p w14:paraId="6D6E938A" w14:textId="77777777" w:rsidR="00553B80" w:rsidRDefault="00000000">
      <w:pPr>
        <w:pStyle w:val="Heading3"/>
      </w:pPr>
      <w:bookmarkStart w:id="14" w:name="X1f820984f57b727edc20965138ee13069f96c01"/>
      <w:bookmarkEnd w:id="13"/>
      <w:r>
        <w:t>Phenology and activity pattern shifts mediating interactions (James?)</w:t>
      </w:r>
    </w:p>
    <w:p w14:paraId="461F0A52" w14:textId="77777777" w:rsidR="00553B80" w:rsidRDefault="00000000">
      <w:pPr>
        <w:pStyle w:val="Heading1"/>
      </w:pPr>
      <w:bookmarkStart w:id="15" w:name="X42ca7aa69937316dee7b1e100d4320aa777518f"/>
      <w:bookmarkEnd w:id="9"/>
      <w:bookmarkEnd w:id="14"/>
      <w:r>
        <w:t>‘Hot’ solutions for a changing world (Alison, Owen and Belinda, Mike)</w:t>
      </w:r>
    </w:p>
    <w:p w14:paraId="2FDBC8ED" w14:textId="77777777" w:rsidR="00553B80" w:rsidRDefault="00000000">
      <w:pPr>
        <w:pStyle w:val="Compact"/>
        <w:numPr>
          <w:ilvl w:val="0"/>
          <w:numId w:val="81"/>
        </w:numPr>
      </w:pPr>
      <w:r>
        <w:t>Here, we bring in what we can do with these models, I think we highlight some of the key elements of the solutions strand ideas where we can apply the models in the agricultural and natural space.</w:t>
      </w:r>
    </w:p>
    <w:p w14:paraId="1DB7FD79" w14:textId="77777777" w:rsidR="00553B80" w:rsidRDefault="00000000">
      <w:pPr>
        <w:pStyle w:val="Compact"/>
        <w:numPr>
          <w:ilvl w:val="0"/>
          <w:numId w:val="81"/>
        </w:numPr>
      </w:pPr>
      <w:r>
        <w:t>Enhancing resilience -</w:t>
      </w:r>
      <w:r>
        <w:rPr>
          <w:i/>
          <w:iCs/>
        </w:rPr>
        <w:t>Selective breeding</w:t>
      </w:r>
      <w:r>
        <w:t>: Artificial selection will be a useful avenue for both plants and animals to enhance thermal tolerance. Models can help evaluate how changes in sensitivity can cascade to influence community structure and function (Alison, Owen, Dani, Others)</w:t>
      </w:r>
    </w:p>
    <w:p w14:paraId="3683C879" w14:textId="77777777" w:rsidR="00553B80" w:rsidRDefault="00000000">
      <w:pPr>
        <w:pStyle w:val="Compact"/>
        <w:numPr>
          <w:ilvl w:val="1"/>
          <w:numId w:val="82"/>
        </w:numPr>
      </w:pPr>
      <w:r>
        <w:lastRenderedPageBreak/>
        <w:t>Microbial recruitment (Braj)</w:t>
      </w:r>
    </w:p>
    <w:p w14:paraId="78AEA8AA" w14:textId="77777777" w:rsidR="00553B80" w:rsidRDefault="00000000">
      <w:pPr>
        <w:pStyle w:val="Compact"/>
        <w:numPr>
          <w:ilvl w:val="1"/>
          <w:numId w:val="82"/>
        </w:numPr>
      </w:pPr>
      <w:r>
        <w:t>Pollinator services (James, Margie)</w:t>
      </w:r>
    </w:p>
    <w:p w14:paraId="5F897260" w14:textId="77777777" w:rsidR="00553B80" w:rsidRDefault="00000000">
      <w:pPr>
        <w:pStyle w:val="Compact"/>
        <w:numPr>
          <w:ilvl w:val="0"/>
          <w:numId w:val="81"/>
        </w:numPr>
      </w:pPr>
      <w:r>
        <w:t>Cooler landscapes</w:t>
      </w:r>
    </w:p>
    <w:p w14:paraId="36F5A704" w14:textId="77777777" w:rsidR="00553B80" w:rsidRDefault="00000000">
      <w:pPr>
        <w:pStyle w:val="Compact"/>
        <w:numPr>
          <w:ilvl w:val="1"/>
          <w:numId w:val="83"/>
        </w:numPr>
      </w:pPr>
      <w:r>
        <w:rPr>
          <w:i/>
          <w:iCs/>
        </w:rPr>
        <w:t>Cooler landscapes</w:t>
      </w:r>
      <w:r>
        <w:t>: Landscapes can be designed to provide thermal refugia for plants and animals. For example, planting trees in urban areas can provide shade and reduce the urban heat island effect. Similarly, planting hedgerows in agricultural landscapes can provide thermal refugia for beneficial insects and pollinators. (Mike, Belinda)</w:t>
      </w:r>
    </w:p>
    <w:p w14:paraId="09150BA4" w14:textId="77777777" w:rsidR="00553B80" w:rsidRDefault="00000000">
      <w:pPr>
        <w:pStyle w:val="Compact"/>
        <w:numPr>
          <w:ilvl w:val="0"/>
          <w:numId w:val="81"/>
        </w:numPr>
      </w:pPr>
      <w:r>
        <w:t>Pest and disease prediction and control. (Ary)</w:t>
      </w:r>
    </w:p>
    <w:p w14:paraId="076C3520" w14:textId="77777777" w:rsidR="00553B80" w:rsidRDefault="00000000">
      <w:pPr>
        <w:pStyle w:val="Compact"/>
        <w:numPr>
          <w:ilvl w:val="0"/>
          <w:numId w:val="81"/>
        </w:numPr>
      </w:pPr>
      <w:r>
        <w:t>Conservation (Adrienne?)</w:t>
      </w:r>
    </w:p>
    <w:p w14:paraId="5D3EB5FC" w14:textId="77777777" w:rsidR="00553B80" w:rsidRDefault="00000000">
      <w:pPr>
        <w:pStyle w:val="Heading4"/>
      </w:pPr>
      <w:bookmarkStart w:id="16" w:name="Xf9650dc0ea0b351fc010b34968d2cf3bde51c90"/>
      <w:r>
        <w:t>Interacting species interacting with people: social-ecological systems (Steven and Xuemei) (~300-500 words)</w:t>
      </w:r>
    </w:p>
    <w:p w14:paraId="49D86893" w14:textId="77777777" w:rsidR="00553B80" w:rsidRDefault="00000000">
      <w:pPr>
        <w:pStyle w:val="Compact"/>
        <w:numPr>
          <w:ilvl w:val="0"/>
          <w:numId w:val="84"/>
        </w:numPr>
      </w:pPr>
      <w:r>
        <w:t>Nested scale idea, from genetics to species to ecosystem to SES, if not presented earlier</w:t>
      </w:r>
    </w:p>
    <w:p w14:paraId="0E30BC0D" w14:textId="77777777" w:rsidR="00553B80" w:rsidRDefault="00000000">
      <w:pPr>
        <w:pStyle w:val="Compact"/>
        <w:numPr>
          <w:ilvl w:val="0"/>
          <w:numId w:val="84"/>
        </w:numPr>
      </w:pPr>
      <w:r>
        <w:t>Must consider social-</w:t>
      </w:r>
    </w:p>
    <w:p w14:paraId="7EAB00BB" w14:textId="77777777" w:rsidR="00553B80" w:rsidRDefault="00000000">
      <w:pPr>
        <w:pStyle w:val="Compact"/>
        <w:numPr>
          <w:ilvl w:val="0"/>
          <w:numId w:val="84"/>
        </w:numPr>
      </w:pPr>
      <w:r>
        <w:t>multiple pathways and varying magnitude of cascading impacts</w:t>
      </w:r>
    </w:p>
    <w:p w14:paraId="0148071D" w14:textId="77777777" w:rsidR="00553B80" w:rsidRDefault="00000000">
      <w:pPr>
        <w:pStyle w:val="Compact"/>
        <w:numPr>
          <w:ilvl w:val="0"/>
          <w:numId w:val="84"/>
        </w:numPr>
      </w:pPr>
      <w:r>
        <w:t>solutions need to be supported by the society</w:t>
      </w:r>
    </w:p>
    <w:p w14:paraId="43459CB5" w14:textId="77777777" w:rsidR="00553B80" w:rsidRDefault="00000000">
      <w:pPr>
        <w:pStyle w:val="Compact"/>
        <w:numPr>
          <w:ilvl w:val="0"/>
          <w:numId w:val="84"/>
        </w:numPr>
      </w:pPr>
      <w:r>
        <w:t>Not sufficiently understood</w:t>
      </w:r>
    </w:p>
    <w:p w14:paraId="609995EF" w14:textId="77777777" w:rsidR="00553B80" w:rsidRDefault="00000000">
      <w:pPr>
        <w:pStyle w:val="Compact"/>
        <w:numPr>
          <w:ilvl w:val="0"/>
          <w:numId w:val="84"/>
        </w:numPr>
      </w:pPr>
      <w:r>
        <w:t>What SES systems modeling can do</w:t>
      </w:r>
    </w:p>
    <w:p w14:paraId="7F19D061" w14:textId="77777777" w:rsidR="00553B80" w:rsidRDefault="00000000">
      <w:pPr>
        <w:pStyle w:val="Heading1"/>
      </w:pPr>
      <w:bookmarkStart w:id="17" w:name="X78b08fde953bb9dcb9bb22555137d822070b4a9"/>
      <w:bookmarkEnd w:id="15"/>
      <w:bookmarkEnd w:id="16"/>
      <w:r>
        <w:t>Future directions: modelling challenges, gaps and possible solutions</w:t>
      </w:r>
    </w:p>
    <w:p w14:paraId="1C5C2249" w14:textId="77777777" w:rsidR="00553B80" w:rsidRDefault="00000000">
      <w:pPr>
        <w:pStyle w:val="Heading4"/>
      </w:pPr>
      <w:bookmarkStart w:id="18" w:name="Xfdf6778d6c1a7f88e581fd361ab93058637952f"/>
      <w:r>
        <w:rPr>
          <w:i/>
          <w:iCs/>
        </w:rPr>
        <w:t>Data Limitations for Applying DEB Theory</w:t>
      </w:r>
      <w:r>
        <w:t>: (Mike) Requires lots of information on a given species to model life-cycles, challenges in applying stage-structured populations (metamorphosis) others</w:t>
      </w:r>
      <w:proofErr w:type="gramStart"/>
      <w:r>
        <w:t>….Solutions</w:t>
      </w:r>
      <w:proofErr w:type="gramEnd"/>
      <w:r>
        <w:t>?</w:t>
      </w:r>
    </w:p>
    <w:p w14:paraId="159C068A" w14:textId="77777777" w:rsidR="00553B80" w:rsidRDefault="00000000">
      <w:pPr>
        <w:pStyle w:val="Heading4"/>
      </w:pPr>
      <w:bookmarkStart w:id="19" w:name="X31af800422944976d7563c55da852b974856f47"/>
      <w:bookmarkEnd w:id="18"/>
      <w:r>
        <w:rPr>
          <w:i/>
          <w:iCs/>
        </w:rPr>
        <w:t>Better understanding of the mechanisms enhancing thermal tolerance in plants and animals</w:t>
      </w:r>
      <w:r>
        <w:t>: We need to understand the genomic, cellular and physiological processes that confer greater thermal tolerance and help prepare organisms for future heat stress events.</w:t>
      </w:r>
    </w:p>
    <w:p w14:paraId="1DB3A291" w14:textId="77777777" w:rsidR="00553B80" w:rsidRDefault="00000000">
      <w:pPr>
        <w:pStyle w:val="Heading4"/>
      </w:pPr>
      <w:bookmarkStart w:id="20" w:name="Xbb6a1781224964eec5409b3879f03550788dea1"/>
      <w:bookmarkEnd w:id="19"/>
      <w:r>
        <w:rPr>
          <w:i/>
          <w:iCs/>
        </w:rPr>
        <w:t>Behavioural responses to heat stress</w:t>
      </w:r>
      <w:r>
        <w:t>: Animals behave. We need to model that. How do changes in behaviour impact interactions with other species and the environment. How might this impact plant productivity (Mike, Dan, DEB models)</w:t>
      </w:r>
    </w:p>
    <w:p w14:paraId="0F7064A1" w14:textId="77777777" w:rsidR="00553B80" w:rsidRDefault="00000000">
      <w:pPr>
        <w:pStyle w:val="Heading4"/>
      </w:pPr>
      <w:bookmarkStart w:id="21" w:name="Xebf598c8d62402443261428456b1d908a4618f8"/>
      <w:bookmarkEnd w:id="20"/>
      <w:r>
        <w:rPr>
          <w:i/>
          <w:iCs/>
        </w:rPr>
        <w:t>Evolutionary dynamics leading to changes in thermal sensitivity and exposure</w:t>
      </w:r>
      <w:r>
        <w:t>: We need to understand how thermal sensitivity and exposure will evolve in response to climate change. Probably could cite [55] (Ary)</w:t>
      </w:r>
    </w:p>
    <w:p w14:paraId="65D120B2" w14:textId="77777777" w:rsidR="00553B80" w:rsidRDefault="00000000">
      <w:pPr>
        <w:pStyle w:val="Heading4"/>
      </w:pPr>
      <w:bookmarkStart w:id="22" w:name="Xf716fb10002f9360210b8203424711763374548"/>
      <w:bookmarkEnd w:id="21"/>
      <w:r>
        <w:rPr>
          <w:i/>
          <w:iCs/>
        </w:rPr>
        <w:t>Trade-offs between thermal tolerance and other traits</w:t>
      </w:r>
      <w:r>
        <w:t>: We need to understand the trade-offs between thermal tolerance and other traits such as growth rate, reproduction, and competitive ability. It is fine to confer greater thermal tolerance resistance but if this comes at a cost to reproduction, growth or biomass accumulation, then it may not be beneficial. (Dani, James, Brendan)</w:t>
      </w:r>
    </w:p>
    <w:p w14:paraId="22E02CF3" w14:textId="77777777" w:rsidR="00553B80" w:rsidRDefault="00000000">
      <w:pPr>
        <w:pStyle w:val="Heading1"/>
      </w:pPr>
      <w:bookmarkStart w:id="23" w:name="references"/>
      <w:bookmarkEnd w:id="17"/>
      <w:bookmarkEnd w:id="22"/>
      <w:r>
        <w:t>References</w:t>
      </w:r>
    </w:p>
    <w:p w14:paraId="0D29296B" w14:textId="77777777" w:rsidR="00553B80" w:rsidRDefault="00000000">
      <w:pPr>
        <w:pStyle w:val="Bibliography"/>
      </w:pPr>
      <w:bookmarkStart w:id="24" w:name="ref-Barriopedro2023"/>
      <w:bookmarkStart w:id="25" w:name="refs"/>
      <w:r>
        <w:t xml:space="preserve">1. </w:t>
      </w:r>
      <w:r>
        <w:tab/>
        <w:t xml:space="preserve">Barriopedro, D. </w:t>
      </w:r>
      <w:r>
        <w:rPr>
          <w:i/>
          <w:iCs/>
        </w:rPr>
        <w:t>et al.</w:t>
      </w:r>
      <w:r>
        <w:t xml:space="preserve"> (2023) Heat waves: Physical understanding and scientific challenges. </w:t>
      </w:r>
      <w:r>
        <w:rPr>
          <w:i/>
          <w:iCs/>
        </w:rPr>
        <w:t>Rev. Geophys.</w:t>
      </w:r>
      <w:r>
        <w:t xml:space="preserve"> 61, e2022RG000780</w:t>
      </w:r>
    </w:p>
    <w:p w14:paraId="7F2697C1" w14:textId="77777777" w:rsidR="00553B80" w:rsidRDefault="00000000">
      <w:pPr>
        <w:pStyle w:val="Bibliography"/>
      </w:pPr>
      <w:bookmarkStart w:id="26" w:name="ref-Aglas-Leitner2024"/>
      <w:bookmarkEnd w:id="24"/>
      <w:r>
        <w:t xml:space="preserve">2. </w:t>
      </w:r>
      <w:r>
        <w:tab/>
        <w:t xml:space="preserve">Aglas-Leitner, P. </w:t>
      </w:r>
      <w:r>
        <w:rPr>
          <w:i/>
          <w:iCs/>
        </w:rPr>
        <w:t>et al.</w:t>
      </w:r>
      <w:r>
        <w:t xml:space="preserve"> (2024) </w:t>
      </w:r>
      <w:r>
        <w:rPr>
          <w:i/>
          <w:iCs/>
        </w:rPr>
        <w:t>Recent extreme heatwaves dwarfed by projected future events</w:t>
      </w:r>
      <w:r>
        <w:t>, Copernicus Meetings</w:t>
      </w:r>
    </w:p>
    <w:p w14:paraId="0698B590" w14:textId="77777777" w:rsidR="00553B80" w:rsidRDefault="00000000">
      <w:pPr>
        <w:pStyle w:val="Bibliography"/>
      </w:pPr>
      <w:bookmarkStart w:id="27" w:name="ref-Reichstein2007"/>
      <w:bookmarkEnd w:id="26"/>
      <w:r>
        <w:lastRenderedPageBreak/>
        <w:t xml:space="preserve">3. </w:t>
      </w:r>
      <w:r>
        <w:tab/>
        <w:t xml:space="preserve">Reichstein, M. </w:t>
      </w:r>
      <w:r>
        <w:rPr>
          <w:i/>
          <w:iCs/>
        </w:rPr>
        <w:t>et al.</w:t>
      </w:r>
      <w:r>
        <w:t xml:space="preserve"> (2007) Reduction of ecosystem productivity and respiration during the european summer 2003 climate anomaly: A joint flux tower, remote sensing and modelling analysis. </w:t>
      </w:r>
      <w:r>
        <w:rPr>
          <w:i/>
          <w:iCs/>
        </w:rPr>
        <w:t>Global Change Biology</w:t>
      </w:r>
      <w:r>
        <w:t xml:space="preserve"> 13, 634–651</w:t>
      </w:r>
    </w:p>
    <w:p w14:paraId="2B79FEC0" w14:textId="77777777" w:rsidR="00553B80" w:rsidRDefault="00000000">
      <w:pPr>
        <w:pStyle w:val="Bibliography"/>
      </w:pPr>
      <w:bookmarkStart w:id="28" w:name="ref-Margalef-Marrase2020"/>
      <w:bookmarkEnd w:id="27"/>
      <w:r>
        <w:t xml:space="preserve">4. </w:t>
      </w:r>
      <w:r>
        <w:tab/>
        <w:t xml:space="preserve">Margalef-Marrase, J. </w:t>
      </w:r>
      <w:r>
        <w:rPr>
          <w:i/>
          <w:iCs/>
        </w:rPr>
        <w:t>et al.</w:t>
      </w:r>
      <w:r>
        <w:t xml:space="preserve"> (2020) Relationship between heatwave-induced forest die-off and climatic suitability in multiple tree species. </w:t>
      </w:r>
      <w:r>
        <w:rPr>
          <w:i/>
          <w:iCs/>
        </w:rPr>
        <w:t>Global Change Biology</w:t>
      </w:r>
      <w:r>
        <w:t xml:space="preserve"> 26, 3134–3146</w:t>
      </w:r>
    </w:p>
    <w:p w14:paraId="022ED063" w14:textId="77777777" w:rsidR="00553B80" w:rsidRDefault="00000000">
      <w:pPr>
        <w:pStyle w:val="Bibliography"/>
      </w:pPr>
      <w:bookmarkStart w:id="29" w:name="ref-Kazenel2024"/>
      <w:bookmarkEnd w:id="28"/>
      <w:r>
        <w:t xml:space="preserve">5. </w:t>
      </w:r>
      <w:r>
        <w:tab/>
        <w:t xml:space="preserve">Kazenel, M.R. </w:t>
      </w:r>
      <w:r>
        <w:rPr>
          <w:i/>
          <w:iCs/>
        </w:rPr>
        <w:t>et al.</w:t>
      </w:r>
      <w:r>
        <w:t xml:space="preserve"> (2024) Heat and desiccation tolerances predict bee abundance under climate change. </w:t>
      </w:r>
      <w:r>
        <w:rPr>
          <w:i/>
          <w:iCs/>
        </w:rPr>
        <w:t>Nature</w:t>
      </w:r>
    </w:p>
    <w:p w14:paraId="58FD2820" w14:textId="77777777" w:rsidR="00553B80" w:rsidRDefault="00000000">
      <w:pPr>
        <w:pStyle w:val="Bibliography"/>
      </w:pPr>
      <w:bookmarkStart w:id="30" w:name="ref-Zhao2017"/>
      <w:bookmarkEnd w:id="29"/>
      <w:r>
        <w:t xml:space="preserve">6. </w:t>
      </w:r>
      <w:r>
        <w:tab/>
        <w:t xml:space="preserve">Zhao, C. </w:t>
      </w:r>
      <w:r>
        <w:rPr>
          <w:i/>
          <w:iCs/>
        </w:rPr>
        <w:t>et al.</w:t>
      </w:r>
      <w:r>
        <w:t xml:space="preserve"> (2017) Temperature increase reduces global yields of major crops in four independent estimates. </w:t>
      </w:r>
      <w:r>
        <w:rPr>
          <w:i/>
          <w:iCs/>
        </w:rPr>
        <w:t>Proc. Natl. Acad. Sci. U. S. A.</w:t>
      </w:r>
      <w:r>
        <w:t xml:space="preserve"> 114, 9326–9331</w:t>
      </w:r>
    </w:p>
    <w:p w14:paraId="02F93C62" w14:textId="77777777" w:rsidR="00553B80" w:rsidRDefault="00000000">
      <w:pPr>
        <w:pStyle w:val="Bibliography"/>
      </w:pPr>
      <w:bookmarkStart w:id="31" w:name="ref-Tito2018"/>
      <w:bookmarkEnd w:id="30"/>
      <w:r>
        <w:t xml:space="preserve">7. </w:t>
      </w:r>
      <w:r>
        <w:tab/>
        <w:t xml:space="preserve">Tito, R. </w:t>
      </w:r>
      <w:r>
        <w:rPr>
          <w:i/>
          <w:iCs/>
        </w:rPr>
        <w:t>et al.</w:t>
      </w:r>
      <w:r>
        <w:t xml:space="preserve"> (2018) Global climate change increases risk of crop yield losses and food insecurity in the tropical andes. </w:t>
      </w:r>
      <w:r>
        <w:rPr>
          <w:i/>
          <w:iCs/>
        </w:rPr>
        <w:t>Global change biology</w:t>
      </w:r>
      <w:r>
        <w:t xml:space="preserve"> 24, e592–e602</w:t>
      </w:r>
    </w:p>
    <w:p w14:paraId="2E8E1D2C" w14:textId="77777777" w:rsidR="00553B80" w:rsidRDefault="00000000">
      <w:pPr>
        <w:pStyle w:val="Bibliography"/>
      </w:pPr>
      <w:bookmarkStart w:id="32" w:name="ref-Bastos2014"/>
      <w:bookmarkEnd w:id="31"/>
      <w:r>
        <w:t xml:space="preserve">8. </w:t>
      </w:r>
      <w:r>
        <w:tab/>
        <w:t xml:space="preserve">Bastos, A. </w:t>
      </w:r>
      <w:r>
        <w:rPr>
          <w:i/>
          <w:iCs/>
        </w:rPr>
        <w:t>et al.</w:t>
      </w:r>
      <w:r>
        <w:t xml:space="preserve"> (2014) Analysing the spatio-temporal impacts of the 2003 and 2010 extreme heatwaves on plant productivity in europe. </w:t>
      </w:r>
      <w:r>
        <w:rPr>
          <w:i/>
          <w:iCs/>
        </w:rPr>
        <w:t>Biogeosciences</w:t>
      </w:r>
      <w:r>
        <w:t xml:space="preserve"> 11, 3421–3435</w:t>
      </w:r>
    </w:p>
    <w:p w14:paraId="1D01E2DA" w14:textId="77777777" w:rsidR="00553B80" w:rsidRDefault="00000000">
      <w:pPr>
        <w:pStyle w:val="Bibliography"/>
      </w:pPr>
      <w:bookmarkStart w:id="33" w:name="ref-Hesketh2023"/>
      <w:bookmarkEnd w:id="32"/>
      <w:r>
        <w:t xml:space="preserve">9. </w:t>
      </w:r>
      <w:r>
        <w:tab/>
        <w:t xml:space="preserve">Hesketh, A.V. and Harley, C.D.G. (2023) Extreme heatwave drives topography-dependent patterns of mortality in a bed-forming intertidal barnacle, with implications for associated community structure. </w:t>
      </w:r>
      <w:r>
        <w:rPr>
          <w:i/>
          <w:iCs/>
        </w:rPr>
        <w:t>Global Change Biology</w:t>
      </w:r>
      <w:r>
        <w:t xml:space="preserve"> 29, 165–178</w:t>
      </w:r>
    </w:p>
    <w:p w14:paraId="6C6882B6" w14:textId="77777777" w:rsidR="00553B80" w:rsidRDefault="00000000">
      <w:pPr>
        <w:pStyle w:val="Bibliography"/>
      </w:pPr>
      <w:bookmarkStart w:id="34" w:name="ref-Martinez2023"/>
      <w:bookmarkEnd w:id="33"/>
      <w:r>
        <w:t xml:space="preserve">10. </w:t>
      </w:r>
      <w:r>
        <w:tab/>
        <w:t xml:space="preserve">Martinez, L.D. </w:t>
      </w:r>
      <w:r>
        <w:rPr>
          <w:i/>
          <w:iCs/>
        </w:rPr>
        <w:t>et al.</w:t>
      </w:r>
      <w:r>
        <w:t xml:space="preserve"> (2023) Effect of simulated heat waves on the behaviour of two mirid predators. </w:t>
      </w:r>
      <w:r>
        <w:rPr>
          <w:i/>
          <w:iCs/>
        </w:rPr>
        <w:t>J. Appl. Entomol.</w:t>
      </w:r>
    </w:p>
    <w:p w14:paraId="006B5ED5" w14:textId="77777777" w:rsidR="00553B80" w:rsidRDefault="00000000">
      <w:pPr>
        <w:pStyle w:val="Bibliography"/>
      </w:pPr>
      <w:bookmarkStart w:id="35" w:name="ref-Rezende2020"/>
      <w:bookmarkEnd w:id="34"/>
      <w:r>
        <w:t xml:space="preserve">11. </w:t>
      </w:r>
      <w:r>
        <w:tab/>
        <w:t xml:space="preserve">Rezende, E.L. </w:t>
      </w:r>
      <w:r>
        <w:rPr>
          <w:i/>
          <w:iCs/>
        </w:rPr>
        <w:t>et al.</w:t>
      </w:r>
      <w:r>
        <w:t xml:space="preserve"> (2020) Predicting temperature mortality and selection in natural drosophila populations. </w:t>
      </w:r>
      <w:r>
        <w:rPr>
          <w:i/>
          <w:iCs/>
        </w:rPr>
        <w:t>Science</w:t>
      </w:r>
      <w:r>
        <w:t xml:space="preserve"> 369, 1242–1245</w:t>
      </w:r>
    </w:p>
    <w:p w14:paraId="3221B545" w14:textId="77777777" w:rsidR="00553B80" w:rsidRDefault="00000000">
      <w:pPr>
        <w:pStyle w:val="Bibliography"/>
      </w:pPr>
      <w:bookmarkStart w:id="36" w:name="ref-Orsted2024"/>
      <w:bookmarkEnd w:id="35"/>
      <w:r>
        <w:t xml:space="preserve">12. </w:t>
      </w:r>
      <w:r>
        <w:tab/>
        <w:t xml:space="preserve">Ørsted, M. </w:t>
      </w:r>
      <w:r>
        <w:rPr>
          <w:i/>
          <w:iCs/>
        </w:rPr>
        <w:t>et al.</w:t>
      </w:r>
      <w:r>
        <w:t xml:space="preserve"> (2024) Thermal limits of survival and reproduction depend on stress duration: A case study of drosophila suzukii. </w:t>
      </w:r>
      <w:r>
        <w:rPr>
          <w:i/>
          <w:iCs/>
        </w:rPr>
        <w:t>Ecol. Lett.</w:t>
      </w:r>
      <w:r>
        <w:t xml:space="preserve"> 27, e14421</w:t>
      </w:r>
    </w:p>
    <w:p w14:paraId="5233F221" w14:textId="77777777" w:rsidR="00553B80" w:rsidRDefault="00000000">
      <w:pPr>
        <w:pStyle w:val="Bibliography"/>
      </w:pPr>
      <w:bookmarkStart w:id="37" w:name="ref-Lopez-Goldar2024"/>
      <w:bookmarkEnd w:id="36"/>
      <w:r>
        <w:t xml:space="preserve">13. </w:t>
      </w:r>
      <w:r>
        <w:tab/>
        <w:t xml:space="preserve">López-Goldar, X. </w:t>
      </w:r>
      <w:r>
        <w:rPr>
          <w:i/>
          <w:iCs/>
        </w:rPr>
        <w:t>et al.</w:t>
      </w:r>
      <w:r>
        <w:t xml:space="preserve"> (2024) Heat waves induce milkweed resistance to a specialist herbivore via increased toxicity and reduced nutrient content. </w:t>
      </w:r>
      <w:r>
        <w:rPr>
          <w:i/>
          <w:iCs/>
        </w:rPr>
        <w:t>Plant Cell Environ.</w:t>
      </w:r>
    </w:p>
    <w:p w14:paraId="2DDCCE11" w14:textId="77777777" w:rsidR="00553B80" w:rsidRDefault="00000000">
      <w:pPr>
        <w:pStyle w:val="Bibliography"/>
      </w:pPr>
      <w:bookmarkStart w:id="38" w:name="ref-Huynh2024"/>
      <w:bookmarkEnd w:id="37"/>
      <w:r>
        <w:t xml:space="preserve">14. </w:t>
      </w:r>
      <w:r>
        <w:tab/>
        <w:t xml:space="preserve">Huỳnh, T.-H. </w:t>
      </w:r>
      <w:r>
        <w:rPr>
          <w:i/>
          <w:iCs/>
        </w:rPr>
        <w:t>et al.</w:t>
      </w:r>
      <w:r>
        <w:t xml:space="preserve"> (2024) Heatwave-induced functional shifts in zooplankton communities result in weaker top-down control on phytoplankton. </w:t>
      </w:r>
      <w:r>
        <w:rPr>
          <w:i/>
          <w:iCs/>
        </w:rPr>
        <w:t>Ecol. Evol.</w:t>
      </w:r>
      <w:r>
        <w:t xml:space="preserve"> 14, e70096</w:t>
      </w:r>
    </w:p>
    <w:p w14:paraId="0ADA3DE4" w14:textId="77777777" w:rsidR="00553B80" w:rsidRDefault="00000000">
      <w:pPr>
        <w:pStyle w:val="Bibliography"/>
      </w:pPr>
      <w:bookmarkStart w:id="39" w:name="ref-Trivedi2022"/>
      <w:bookmarkEnd w:id="38"/>
      <w:r>
        <w:t xml:space="preserve">15. </w:t>
      </w:r>
      <w:r>
        <w:tab/>
        <w:t xml:space="preserve">Trivedi, P. </w:t>
      </w:r>
      <w:r>
        <w:rPr>
          <w:i/>
          <w:iCs/>
        </w:rPr>
        <w:t>et al.</w:t>
      </w:r>
      <w:r>
        <w:t xml:space="preserve"> (2022) Plant–microbiome interactions under a changing world: Responses, consequences and perspectives. </w:t>
      </w:r>
      <w:r>
        <w:rPr>
          <w:i/>
          <w:iCs/>
        </w:rPr>
        <w:t>New Phytol.</w:t>
      </w:r>
      <w:r>
        <w:t xml:space="preserve"> 234, 1951–1959</w:t>
      </w:r>
    </w:p>
    <w:p w14:paraId="718513E4" w14:textId="77777777" w:rsidR="00553B80" w:rsidRDefault="00000000">
      <w:pPr>
        <w:pStyle w:val="Bibliography"/>
      </w:pPr>
      <w:bookmarkStart w:id="40" w:name="ref-Kooijman2010"/>
      <w:bookmarkEnd w:id="39"/>
      <w:r>
        <w:t xml:space="preserve">16. </w:t>
      </w:r>
      <w:r>
        <w:tab/>
        <w:t xml:space="preserve">Kooijman, S.A.L.M. (2010) </w:t>
      </w:r>
      <w:r>
        <w:rPr>
          <w:i/>
          <w:iCs/>
        </w:rPr>
        <w:t>Dynamic energy budget theory for metabolic organisation</w:t>
      </w:r>
      <w:r>
        <w:t>, Cambridge university press</w:t>
      </w:r>
    </w:p>
    <w:p w14:paraId="1958F749" w14:textId="77777777" w:rsidR="00553B80" w:rsidRDefault="00000000">
      <w:pPr>
        <w:pStyle w:val="Bibliography"/>
      </w:pPr>
      <w:bookmarkStart w:id="41" w:name="ref-Kearney2009b"/>
      <w:bookmarkEnd w:id="40"/>
      <w:r>
        <w:t xml:space="preserve">17. </w:t>
      </w:r>
      <w:r>
        <w:tab/>
        <w:t xml:space="preserve">Kearney, M. and Porter, W. (2009) Mechanistic niche modelling: Combining physiological and spatial data to predict species’ ranges. </w:t>
      </w:r>
      <w:r>
        <w:rPr>
          <w:i/>
          <w:iCs/>
        </w:rPr>
        <w:t>Ecol. Lett.</w:t>
      </w:r>
      <w:r>
        <w:t xml:space="preserve"> 12, 334–350</w:t>
      </w:r>
    </w:p>
    <w:p w14:paraId="05135CC0" w14:textId="77777777" w:rsidR="00553B80" w:rsidRDefault="00000000">
      <w:pPr>
        <w:pStyle w:val="Bibliography"/>
      </w:pPr>
      <w:bookmarkStart w:id="42" w:name="ref-Jusup2024"/>
      <w:bookmarkEnd w:id="41"/>
      <w:r>
        <w:t xml:space="preserve">18. </w:t>
      </w:r>
      <w:r>
        <w:tab/>
        <w:t xml:space="preserve">Jusup, M. and Kearney, M.R. (2024) The untapped power of a general theory of organismal metabolism. </w:t>
      </w:r>
      <w:r>
        <w:rPr>
          <w:i/>
          <w:iCs/>
        </w:rPr>
        <w:t>arXiv preprint arXiv:2408. 13998</w:t>
      </w:r>
    </w:p>
    <w:p w14:paraId="52D9F230" w14:textId="77777777" w:rsidR="00553B80" w:rsidRDefault="00000000">
      <w:pPr>
        <w:pStyle w:val="Bibliography"/>
      </w:pPr>
      <w:bookmarkStart w:id="43" w:name="ref-Kearney2024"/>
      <w:bookmarkEnd w:id="42"/>
      <w:r>
        <w:t xml:space="preserve">19. </w:t>
      </w:r>
      <w:r>
        <w:tab/>
        <w:t xml:space="preserve">Kearney, M.R. and Leigh, A. (2024) Fast, accurate and accessible calculations of leaf temperature and its physiological consequences with NicheMapR. </w:t>
      </w:r>
      <w:r>
        <w:rPr>
          <w:i/>
          <w:iCs/>
        </w:rPr>
        <w:t>Methods Ecol. Evol.</w:t>
      </w:r>
      <w:r>
        <w:t xml:space="preserve"> 15, 1516–1531</w:t>
      </w:r>
    </w:p>
    <w:p w14:paraId="0E2CFD5F" w14:textId="77777777" w:rsidR="00553B80" w:rsidRDefault="00000000">
      <w:pPr>
        <w:pStyle w:val="Bibliography"/>
      </w:pPr>
      <w:bookmarkStart w:id="44" w:name="ref-Briscoe2023"/>
      <w:bookmarkEnd w:id="43"/>
      <w:r>
        <w:t xml:space="preserve">20. </w:t>
      </w:r>
      <w:r>
        <w:tab/>
        <w:t xml:space="preserve">Briscoe, N.J. </w:t>
      </w:r>
      <w:r>
        <w:rPr>
          <w:i/>
          <w:iCs/>
        </w:rPr>
        <w:t>et al.</w:t>
      </w:r>
      <w:r>
        <w:t xml:space="preserve"> (2023) Mechanistic forecasts of species responses to climate change: The promise of biophysical ecology. </w:t>
      </w:r>
      <w:r>
        <w:rPr>
          <w:i/>
          <w:iCs/>
        </w:rPr>
        <w:t>Global Change Biology</w:t>
      </w:r>
      <w:r>
        <w:t xml:space="preserve"> 29, 1451–1470</w:t>
      </w:r>
    </w:p>
    <w:p w14:paraId="6F00E87F" w14:textId="77777777" w:rsidR="00553B80" w:rsidRDefault="00000000">
      <w:pPr>
        <w:pStyle w:val="Bibliography"/>
      </w:pPr>
      <w:bookmarkStart w:id="45" w:name="ref-Rezende2014"/>
      <w:bookmarkEnd w:id="44"/>
      <w:r>
        <w:lastRenderedPageBreak/>
        <w:t xml:space="preserve">21. </w:t>
      </w:r>
      <w:r>
        <w:tab/>
        <w:t xml:space="preserve">Rezende, E.L. </w:t>
      </w:r>
      <w:r>
        <w:rPr>
          <w:i/>
          <w:iCs/>
        </w:rPr>
        <w:t>et al.</w:t>
      </w:r>
      <w:r>
        <w:t xml:space="preserve"> (2014) Tolerance landscapes in thermal ecology. </w:t>
      </w:r>
      <w:r>
        <w:rPr>
          <w:i/>
          <w:iCs/>
        </w:rPr>
        <w:t>Funct. Ecol.</w:t>
      </w:r>
      <w:r>
        <w:t xml:space="preserve"> 28, 799–809</w:t>
      </w:r>
    </w:p>
    <w:p w14:paraId="10E438D1" w14:textId="77777777" w:rsidR="00553B80" w:rsidRDefault="00000000">
      <w:pPr>
        <w:pStyle w:val="Bibliography"/>
      </w:pPr>
      <w:bookmarkStart w:id="46" w:name="ref-Orsted2022"/>
      <w:bookmarkEnd w:id="45"/>
      <w:r>
        <w:t xml:space="preserve">22. </w:t>
      </w:r>
      <w:r>
        <w:tab/>
        <w:t xml:space="preserve">Ørsted, M. </w:t>
      </w:r>
      <w:r>
        <w:rPr>
          <w:i/>
          <w:iCs/>
        </w:rPr>
        <w:t>et al.</w:t>
      </w:r>
      <w:r>
        <w:t xml:space="preserve"> (2022) Finding the right thermal limit: A framework to reconcile ecological, physiological and methodological aspects of CTmax in ectotherms. </w:t>
      </w:r>
      <w:r>
        <w:rPr>
          <w:i/>
          <w:iCs/>
        </w:rPr>
        <w:t>J. Exp. Biol.</w:t>
      </w:r>
      <w:r>
        <w:t xml:space="preserve"> 225, jeb244514</w:t>
      </w:r>
    </w:p>
    <w:p w14:paraId="1E6453F7" w14:textId="77777777" w:rsidR="00553B80" w:rsidRDefault="00000000">
      <w:pPr>
        <w:pStyle w:val="Bibliography"/>
      </w:pPr>
      <w:bookmarkStart w:id="47" w:name="ref-Martinez-De_Leon2024"/>
      <w:bookmarkEnd w:id="46"/>
      <w:r>
        <w:t xml:space="preserve">23. </w:t>
      </w:r>
      <w:r>
        <w:tab/>
        <w:t xml:space="preserve">Martínez-De León, G. and Thakur, M.P. (2024) Ecological debts induced by heat extremes. </w:t>
      </w:r>
      <w:r>
        <w:rPr>
          <w:i/>
          <w:iCs/>
        </w:rPr>
        <w:t>Trends Ecol. Evol.</w:t>
      </w:r>
    </w:p>
    <w:p w14:paraId="09F5DA63" w14:textId="77777777" w:rsidR="00553B80" w:rsidRDefault="00000000">
      <w:pPr>
        <w:pStyle w:val="Bibliography"/>
      </w:pPr>
      <w:bookmarkStart w:id="48" w:name="ref-Nisbet2000"/>
      <w:bookmarkEnd w:id="47"/>
      <w:r>
        <w:t xml:space="preserve">24. </w:t>
      </w:r>
      <w:r>
        <w:tab/>
        <w:t xml:space="preserve">Nisbet, R. </w:t>
      </w:r>
      <w:r>
        <w:rPr>
          <w:i/>
          <w:iCs/>
        </w:rPr>
        <w:t>et al.</w:t>
      </w:r>
      <w:r>
        <w:t xml:space="preserve"> (2000) From molecules to ecosystems through dynamic energy budget models. </w:t>
      </w:r>
      <w:r>
        <w:rPr>
          <w:i/>
          <w:iCs/>
        </w:rPr>
        <w:t>Journal of Animal Ecology</w:t>
      </w:r>
      <w:r>
        <w:t xml:space="preserve"> 69, 913–926</w:t>
      </w:r>
    </w:p>
    <w:p w14:paraId="37C7CF86" w14:textId="77777777" w:rsidR="00553B80" w:rsidRDefault="00000000">
      <w:pPr>
        <w:pStyle w:val="Bibliography"/>
      </w:pPr>
      <w:bookmarkStart w:id="49" w:name="ref-Jager2020"/>
      <w:bookmarkEnd w:id="48"/>
      <w:r>
        <w:t xml:space="preserve">25. </w:t>
      </w:r>
      <w:r>
        <w:tab/>
        <w:t xml:space="preserve">Jager, T. (2020) Revisiting simplified DEBtox models for analysing ecotoxicity data. </w:t>
      </w:r>
      <w:r>
        <w:rPr>
          <w:i/>
          <w:iCs/>
        </w:rPr>
        <w:t>Ecol. Modell.</w:t>
      </w:r>
      <w:r>
        <w:t xml:space="preserve"> 416, 108904</w:t>
      </w:r>
    </w:p>
    <w:p w14:paraId="07710D11" w14:textId="77777777" w:rsidR="00553B80" w:rsidRDefault="00000000">
      <w:pPr>
        <w:pStyle w:val="Bibliography"/>
      </w:pPr>
      <w:bookmarkStart w:id="50" w:name="ref-Haberle2025"/>
      <w:bookmarkEnd w:id="49"/>
      <w:r>
        <w:t xml:space="preserve">26. </w:t>
      </w:r>
      <w:r>
        <w:tab/>
        <w:t xml:space="preserve">Haberle, I. </w:t>
      </w:r>
      <w:r>
        <w:rPr>
          <w:i/>
          <w:iCs/>
        </w:rPr>
        <w:t>et al.</w:t>
      </w:r>
      <w:r>
        <w:t xml:space="preserve"> (2025) Comparing freshwater mussel responses to stress using life-history and dynamic energy budget theory. </w:t>
      </w:r>
      <w:r>
        <w:rPr>
          <w:i/>
          <w:iCs/>
        </w:rPr>
        <w:t>Sci. Total Environ.</w:t>
      </w:r>
      <w:r>
        <w:t xml:space="preserve"> 958, 177664</w:t>
      </w:r>
    </w:p>
    <w:p w14:paraId="170F004C" w14:textId="77777777" w:rsidR="00553B80" w:rsidRDefault="00000000">
      <w:pPr>
        <w:pStyle w:val="Bibliography"/>
      </w:pPr>
      <w:bookmarkStart w:id="51" w:name="ref-Marques2018"/>
      <w:bookmarkEnd w:id="50"/>
      <w:r>
        <w:t xml:space="preserve">27. </w:t>
      </w:r>
      <w:r>
        <w:tab/>
        <w:t xml:space="preserve">Marques, G.M. </w:t>
      </w:r>
      <w:r>
        <w:rPr>
          <w:i/>
          <w:iCs/>
        </w:rPr>
        <w:t>et al.</w:t>
      </w:r>
      <w:r>
        <w:t xml:space="preserve"> (2018) The AmP project: Comparing species </w:t>
      </w:r>
      <w:proofErr w:type="gramStart"/>
      <w:r>
        <w:t>on the basis of</w:t>
      </w:r>
      <w:proofErr w:type="gramEnd"/>
      <w:r>
        <w:t xml:space="preserve"> dynamic energy budget parameters. </w:t>
      </w:r>
      <w:r>
        <w:rPr>
          <w:i/>
          <w:iCs/>
        </w:rPr>
        <w:t>PLoS Comput. Biol.</w:t>
      </w:r>
      <w:r>
        <w:t xml:space="preserve"> 14, e1006100</w:t>
      </w:r>
    </w:p>
    <w:p w14:paraId="358B2326" w14:textId="77777777" w:rsidR="00553B80" w:rsidRDefault="00000000">
      <w:pPr>
        <w:pStyle w:val="Bibliography"/>
      </w:pPr>
      <w:bookmarkStart w:id="52" w:name="ref-Bruggeman2009"/>
      <w:bookmarkEnd w:id="51"/>
      <w:r>
        <w:t xml:space="preserve">28. </w:t>
      </w:r>
      <w:r>
        <w:tab/>
        <w:t xml:space="preserve">Bruggeman, J. </w:t>
      </w:r>
      <w:r>
        <w:rPr>
          <w:i/>
          <w:iCs/>
        </w:rPr>
        <w:t>et al.</w:t>
      </w:r>
      <w:r>
        <w:t xml:space="preserve"> (2009) PhyloPars: Estimation of missing parameter values using phylogeny. </w:t>
      </w:r>
      <w:r>
        <w:rPr>
          <w:i/>
          <w:iCs/>
        </w:rPr>
        <w:t>Nucleic Acids Research</w:t>
      </w:r>
      <w:r>
        <w:t xml:space="preserve"> 37, W179–W184</w:t>
      </w:r>
    </w:p>
    <w:p w14:paraId="35D043D8" w14:textId="77777777" w:rsidR="00553B80" w:rsidRDefault="00000000">
      <w:pPr>
        <w:pStyle w:val="Bibliography"/>
      </w:pPr>
      <w:bookmarkStart w:id="53" w:name="ref-Delmas2019"/>
      <w:bookmarkEnd w:id="52"/>
      <w:r>
        <w:t xml:space="preserve">29. </w:t>
      </w:r>
      <w:r>
        <w:tab/>
        <w:t xml:space="preserve">Delmas, E. </w:t>
      </w:r>
      <w:r>
        <w:rPr>
          <w:i/>
          <w:iCs/>
        </w:rPr>
        <w:t>et al.</w:t>
      </w:r>
      <w:r>
        <w:t xml:space="preserve"> (2019) Analysing ecological networks of species interactions. </w:t>
      </w:r>
      <w:r>
        <w:rPr>
          <w:i/>
          <w:iCs/>
        </w:rPr>
        <w:t>Biol. Rev. Camb. Philos. Soc.</w:t>
      </w:r>
      <w:r>
        <w:t xml:space="preserve"> 94, 16–36</w:t>
      </w:r>
    </w:p>
    <w:p w14:paraId="11C7838C" w14:textId="77777777" w:rsidR="00553B80" w:rsidRDefault="00000000">
      <w:pPr>
        <w:pStyle w:val="Bibliography"/>
      </w:pPr>
      <w:bookmarkStart w:id="54" w:name="ref-Godoy2019"/>
      <w:bookmarkEnd w:id="53"/>
      <w:r>
        <w:t xml:space="preserve">30. </w:t>
      </w:r>
      <w:r>
        <w:tab/>
        <w:t xml:space="preserve">Godoy, O. (2019) Coexistence theory as a tool to understand biological invasions in species interaction networks: Implications for the study of novel ecosystems. </w:t>
      </w:r>
      <w:r>
        <w:rPr>
          <w:i/>
          <w:iCs/>
        </w:rPr>
        <w:t>Funct. Ecol.</w:t>
      </w:r>
      <w:r>
        <w:t xml:space="preserve"> 33, 1190–1201</w:t>
      </w:r>
    </w:p>
    <w:p w14:paraId="2E0E4FAD" w14:textId="77777777" w:rsidR="00553B80" w:rsidRDefault="00000000">
      <w:pPr>
        <w:pStyle w:val="Bibliography"/>
      </w:pPr>
      <w:bookmarkStart w:id="55" w:name="ref-Poisot2021"/>
      <w:bookmarkEnd w:id="54"/>
      <w:r>
        <w:t xml:space="preserve">31. </w:t>
      </w:r>
      <w:r>
        <w:tab/>
        <w:t xml:space="preserve">Poisot, T. </w:t>
      </w:r>
      <w:r>
        <w:rPr>
          <w:i/>
          <w:iCs/>
        </w:rPr>
        <w:t>et al.</w:t>
      </w:r>
      <w:r>
        <w:t xml:space="preserve"> (2021) Global knowledge gaps in species interaction networks data. </w:t>
      </w:r>
      <w:r>
        <w:rPr>
          <w:i/>
          <w:iCs/>
        </w:rPr>
        <w:t>J. Biogeogr.</w:t>
      </w:r>
      <w:r>
        <w:t xml:space="preserve"> 48, 1552–1563</w:t>
      </w:r>
    </w:p>
    <w:p w14:paraId="76137410" w14:textId="77777777" w:rsidR="00553B80" w:rsidRDefault="00000000">
      <w:pPr>
        <w:pStyle w:val="Bibliography"/>
      </w:pPr>
      <w:bookmarkStart w:id="56" w:name="ref-Hui2019"/>
      <w:bookmarkEnd w:id="55"/>
      <w:r>
        <w:t xml:space="preserve">32. </w:t>
      </w:r>
      <w:r>
        <w:tab/>
        <w:t xml:space="preserve">Hui, C. and Richardson, D.M. (2019) How to invade an ecological network. </w:t>
      </w:r>
      <w:r>
        <w:rPr>
          <w:i/>
          <w:iCs/>
        </w:rPr>
        <w:t>Trends Ecol. Evol.</w:t>
      </w:r>
      <w:r>
        <w:t xml:space="preserve"> 34, 121–131</w:t>
      </w:r>
    </w:p>
    <w:p w14:paraId="6358904F" w14:textId="77777777" w:rsidR="00553B80" w:rsidRDefault="00000000">
      <w:pPr>
        <w:pStyle w:val="Bibliography"/>
      </w:pPr>
      <w:bookmarkStart w:id="57" w:name="ref-Gomez2023"/>
      <w:bookmarkEnd w:id="56"/>
      <w:r>
        <w:t xml:space="preserve">33. </w:t>
      </w:r>
      <w:r>
        <w:tab/>
        <w:t xml:space="preserve">Gómez, J.M. </w:t>
      </w:r>
      <w:r>
        <w:rPr>
          <w:i/>
          <w:iCs/>
        </w:rPr>
        <w:t>et al.</w:t>
      </w:r>
      <w:r>
        <w:t xml:space="preserve"> (2023) The role of phenotypic plasticity in shaping ecological networks. </w:t>
      </w:r>
      <w:r>
        <w:rPr>
          <w:i/>
          <w:iCs/>
        </w:rPr>
        <w:t>Ecol. Lett.</w:t>
      </w:r>
      <w:r>
        <w:t xml:space="preserve"> 26, S47–S61</w:t>
      </w:r>
    </w:p>
    <w:p w14:paraId="57A50256" w14:textId="77777777" w:rsidR="00553B80" w:rsidRDefault="00000000">
      <w:pPr>
        <w:pStyle w:val="Bibliography"/>
      </w:pPr>
      <w:bookmarkStart w:id="58" w:name="ref-Lytle2023"/>
      <w:bookmarkEnd w:id="57"/>
      <w:r>
        <w:t xml:space="preserve">34. </w:t>
      </w:r>
      <w:r>
        <w:tab/>
        <w:t xml:space="preserve">Lytle, D.A. and Tonkin, J.D. (2023) Matrix community models for ecology and evolution. </w:t>
      </w:r>
      <w:r>
        <w:rPr>
          <w:i/>
          <w:iCs/>
        </w:rPr>
        <w:t>npj Biodiversity</w:t>
      </w:r>
      <w:r>
        <w:t xml:space="preserve"> 2, 26</w:t>
      </w:r>
    </w:p>
    <w:p w14:paraId="70577CB3" w14:textId="77777777" w:rsidR="00553B80" w:rsidRDefault="00000000">
      <w:pPr>
        <w:pStyle w:val="Bibliography"/>
      </w:pPr>
      <w:bookmarkStart w:id="59" w:name="ref-Petsopoulos2021"/>
      <w:bookmarkEnd w:id="58"/>
      <w:r>
        <w:t xml:space="preserve">35. </w:t>
      </w:r>
      <w:r>
        <w:tab/>
        <w:t xml:space="preserve">Petsopoulos, D. </w:t>
      </w:r>
      <w:r>
        <w:rPr>
          <w:i/>
          <w:iCs/>
        </w:rPr>
        <w:t>et al.</w:t>
      </w:r>
      <w:r>
        <w:t xml:space="preserve"> (2021) Using network ecology to understand and mitigate long-term insect declines. </w:t>
      </w:r>
      <w:r>
        <w:rPr>
          <w:i/>
          <w:iCs/>
        </w:rPr>
        <w:t>Ecol. Entomol.</w:t>
      </w:r>
    </w:p>
    <w:p w14:paraId="6757C899" w14:textId="77777777" w:rsidR="00553B80" w:rsidRDefault="00000000">
      <w:pPr>
        <w:pStyle w:val="Bibliography"/>
      </w:pPr>
      <w:bookmarkStart w:id="60" w:name="ref-Dale2021"/>
      <w:bookmarkEnd w:id="59"/>
      <w:r>
        <w:t xml:space="preserve">36. </w:t>
      </w:r>
      <w:r>
        <w:tab/>
        <w:t xml:space="preserve">Dale, M.R.T. and Fortin, M.-J. (2021) </w:t>
      </w:r>
      <w:r>
        <w:rPr>
          <w:i/>
          <w:iCs/>
        </w:rPr>
        <w:t>Quantitative analysis of ecological networks</w:t>
      </w:r>
      <w:r>
        <w:t>, Cambridge University Press</w:t>
      </w:r>
    </w:p>
    <w:p w14:paraId="2DB7933D" w14:textId="77777777" w:rsidR="00553B80" w:rsidRDefault="00000000">
      <w:pPr>
        <w:pStyle w:val="Bibliography"/>
      </w:pPr>
      <w:bookmarkStart w:id="61" w:name="ref-Lu2023"/>
      <w:bookmarkEnd w:id="60"/>
      <w:r>
        <w:t xml:space="preserve">37. </w:t>
      </w:r>
      <w:r>
        <w:tab/>
        <w:t xml:space="preserve">Lu, Q. </w:t>
      </w:r>
      <w:r>
        <w:rPr>
          <w:i/>
          <w:iCs/>
        </w:rPr>
        <w:t>et al.</w:t>
      </w:r>
      <w:r>
        <w:t xml:space="preserve"> (2023) Food webs reveal coexistence mechanisms and community organization in carnivores. </w:t>
      </w:r>
      <w:r>
        <w:rPr>
          <w:i/>
          <w:iCs/>
        </w:rPr>
        <w:t>Curr. Biol.</w:t>
      </w:r>
      <w:r>
        <w:t xml:space="preserve"> 33, 647–659</w:t>
      </w:r>
    </w:p>
    <w:p w14:paraId="76985616" w14:textId="77777777" w:rsidR="00553B80" w:rsidRDefault="00000000">
      <w:pPr>
        <w:pStyle w:val="Bibliography"/>
      </w:pPr>
      <w:bookmarkStart w:id="62" w:name="ref-Carrara2015"/>
      <w:bookmarkEnd w:id="61"/>
      <w:r>
        <w:t xml:space="preserve">38. </w:t>
      </w:r>
      <w:r>
        <w:tab/>
        <w:t xml:space="preserve">Carrara, F. </w:t>
      </w:r>
      <w:r>
        <w:rPr>
          <w:i/>
          <w:iCs/>
        </w:rPr>
        <w:t>et al.</w:t>
      </w:r>
      <w:r>
        <w:t xml:space="preserve"> (2015) Inferring species interactions in ecological communities: A comparison of methods at different levels of complexity. </w:t>
      </w:r>
      <w:r>
        <w:rPr>
          <w:i/>
          <w:iCs/>
        </w:rPr>
        <w:t>Methods Ecol. Evol.</w:t>
      </w:r>
      <w:r>
        <w:t xml:space="preserve"> 6, 895–906</w:t>
      </w:r>
    </w:p>
    <w:p w14:paraId="4D2B7C68" w14:textId="77777777" w:rsidR="00553B80" w:rsidRDefault="00000000">
      <w:pPr>
        <w:pStyle w:val="Bibliography"/>
      </w:pPr>
      <w:bookmarkStart w:id="63" w:name="ref-Vitali2022"/>
      <w:bookmarkEnd w:id="62"/>
      <w:r>
        <w:t xml:space="preserve">39. </w:t>
      </w:r>
      <w:r>
        <w:tab/>
        <w:t xml:space="preserve">Vitali, A. </w:t>
      </w:r>
      <w:r>
        <w:rPr>
          <w:i/>
          <w:iCs/>
        </w:rPr>
        <w:t>et al.</w:t>
      </w:r>
      <w:r>
        <w:t xml:space="preserve"> (2022) The disruption of a keystone interaction erodes pollination and seed dispersal networks. </w:t>
      </w:r>
      <w:r>
        <w:rPr>
          <w:i/>
          <w:iCs/>
        </w:rPr>
        <w:t>Ecology</w:t>
      </w:r>
      <w:r>
        <w:t xml:space="preserve"> 103, e03547</w:t>
      </w:r>
    </w:p>
    <w:p w14:paraId="185089B6" w14:textId="77777777" w:rsidR="00553B80" w:rsidRDefault="00000000">
      <w:pPr>
        <w:pStyle w:val="Bibliography"/>
      </w:pPr>
      <w:bookmarkStart w:id="64" w:name="ref-Riva2023"/>
      <w:bookmarkEnd w:id="63"/>
      <w:r>
        <w:lastRenderedPageBreak/>
        <w:t xml:space="preserve">40. </w:t>
      </w:r>
      <w:r>
        <w:tab/>
        <w:t xml:space="preserve">Riva, F. </w:t>
      </w:r>
      <w:r>
        <w:rPr>
          <w:i/>
          <w:iCs/>
        </w:rPr>
        <w:t>et al.</w:t>
      </w:r>
      <w:r>
        <w:t xml:space="preserve"> (2023) Toward a cohesive understanding of ecological complexity. </w:t>
      </w:r>
      <w:r>
        <w:rPr>
          <w:i/>
          <w:iCs/>
        </w:rPr>
        <w:t>Sci. Adv.</w:t>
      </w:r>
      <w:r>
        <w:t xml:space="preserve"> 9, eabq4207</w:t>
      </w:r>
    </w:p>
    <w:p w14:paraId="64BFBC1E" w14:textId="77777777" w:rsidR="00553B80" w:rsidRDefault="00000000">
      <w:pPr>
        <w:pStyle w:val="Bibliography"/>
      </w:pPr>
      <w:bookmarkStart w:id="65" w:name="ref-Terry2020"/>
      <w:bookmarkEnd w:id="64"/>
      <w:r>
        <w:t xml:space="preserve">41. </w:t>
      </w:r>
      <w:r>
        <w:tab/>
        <w:t xml:space="preserve">Terry, J.C.D. and Lewis, O.T. (2020) Finding missing links in interaction networks. </w:t>
      </w:r>
      <w:r>
        <w:rPr>
          <w:i/>
          <w:iCs/>
        </w:rPr>
        <w:t>Ecology</w:t>
      </w:r>
      <w:r>
        <w:t xml:space="preserve"> 101, e03047</w:t>
      </w:r>
    </w:p>
    <w:p w14:paraId="2AA0C329" w14:textId="77777777" w:rsidR="00553B80" w:rsidRDefault="00000000">
      <w:pPr>
        <w:pStyle w:val="Bibliography"/>
      </w:pPr>
      <w:bookmarkStart w:id="66" w:name="ref-Weiss-Lehman2022"/>
      <w:bookmarkEnd w:id="65"/>
      <w:r>
        <w:t xml:space="preserve">42. </w:t>
      </w:r>
      <w:r>
        <w:tab/>
        <w:t xml:space="preserve">Weiss-Lehman, C.P. </w:t>
      </w:r>
      <w:r>
        <w:rPr>
          <w:i/>
          <w:iCs/>
        </w:rPr>
        <w:t>et al.</w:t>
      </w:r>
      <w:r>
        <w:t xml:space="preserve"> (2022) Disentangling key species interactions in diverse and heterogeneous communities: A bayesian sparse modelling approach. </w:t>
      </w:r>
      <w:r>
        <w:rPr>
          <w:i/>
          <w:iCs/>
        </w:rPr>
        <w:t>Ecol. Lett.</w:t>
      </w:r>
      <w:r>
        <w:t xml:space="preserve"> 25, 1263–1276</w:t>
      </w:r>
    </w:p>
    <w:p w14:paraId="746BC3D3" w14:textId="77777777" w:rsidR="00553B80" w:rsidRDefault="00000000">
      <w:pPr>
        <w:pStyle w:val="Bibliography"/>
      </w:pPr>
      <w:bookmarkStart w:id="67" w:name="ref-Marquez2007"/>
      <w:bookmarkEnd w:id="66"/>
      <w:r>
        <w:t xml:space="preserve">43. </w:t>
      </w:r>
      <w:r>
        <w:tab/>
        <w:t xml:space="preserve">Márquez, L.M. </w:t>
      </w:r>
      <w:r>
        <w:rPr>
          <w:i/>
          <w:iCs/>
        </w:rPr>
        <w:t>et al.</w:t>
      </w:r>
      <w:r>
        <w:t xml:space="preserve"> (2007) A virus in a fungus in a plant: Three-way symbiosis required for thermal tolerance. </w:t>
      </w:r>
      <w:r>
        <w:rPr>
          <w:i/>
          <w:iCs/>
        </w:rPr>
        <w:t>Science</w:t>
      </w:r>
      <w:r>
        <w:t xml:space="preserve"> 315, 513–515</w:t>
      </w:r>
    </w:p>
    <w:p w14:paraId="65445DE0" w14:textId="77777777" w:rsidR="00553B80" w:rsidRDefault="00000000">
      <w:pPr>
        <w:pStyle w:val="Bibliography"/>
      </w:pPr>
      <w:bookmarkStart w:id="68" w:name="ref-Zou2024"/>
      <w:bookmarkEnd w:id="67"/>
      <w:r>
        <w:t xml:space="preserve">44. </w:t>
      </w:r>
      <w:r>
        <w:tab/>
        <w:t xml:space="preserve">Zou, H.-X. </w:t>
      </w:r>
      <w:r>
        <w:rPr>
          <w:i/>
          <w:iCs/>
        </w:rPr>
        <w:t>et al.</w:t>
      </w:r>
      <w:r>
        <w:t xml:space="preserve"> (2024) Time-dependent interaction modification generated from plant–soil feedback. </w:t>
      </w:r>
      <w:r>
        <w:rPr>
          <w:i/>
          <w:iCs/>
        </w:rPr>
        <w:t>Ecol. Lett.</w:t>
      </w:r>
      <w:r>
        <w:t xml:space="preserve"> 27, e14432</w:t>
      </w:r>
    </w:p>
    <w:p w14:paraId="0AD24DB1" w14:textId="77777777" w:rsidR="00553B80" w:rsidRDefault="00000000">
      <w:pPr>
        <w:pStyle w:val="Bibliography"/>
      </w:pPr>
      <w:bookmarkStart w:id="69" w:name="ref-Fontaine2022"/>
      <w:bookmarkEnd w:id="68"/>
      <w:r>
        <w:t xml:space="preserve">45. </w:t>
      </w:r>
      <w:r>
        <w:tab/>
        <w:t xml:space="preserve">Fontaine, S.S. </w:t>
      </w:r>
      <w:r>
        <w:rPr>
          <w:i/>
          <w:iCs/>
        </w:rPr>
        <w:t>et al.</w:t>
      </w:r>
      <w:r>
        <w:t xml:space="preserve"> (2022) Experimental manipulation of microbiota reduces host thermal tolerance and fitness under heat stress in a vertebrate ectotherm. </w:t>
      </w:r>
      <w:r>
        <w:rPr>
          <w:i/>
          <w:iCs/>
        </w:rPr>
        <w:t>Nat. Ecol. Evol.</w:t>
      </w:r>
      <w:r>
        <w:t xml:space="preserve"> 6, 405–417</w:t>
      </w:r>
    </w:p>
    <w:p w14:paraId="40FB47AF" w14:textId="77777777" w:rsidR="00553B80" w:rsidRDefault="00000000">
      <w:pPr>
        <w:pStyle w:val="Bibliography"/>
      </w:pPr>
      <w:bookmarkStart w:id="70" w:name="ref-Fontaine2023"/>
      <w:bookmarkEnd w:id="69"/>
      <w:r>
        <w:t xml:space="preserve">46. </w:t>
      </w:r>
      <w:r>
        <w:tab/>
        <w:t xml:space="preserve">Fontaine, S.S. and Kohl, K.D. (2023) The microbiome buffers tadpole hosts from heat stress: A hologenomic approach to understand host-microbe interactions under warming. </w:t>
      </w:r>
      <w:r>
        <w:rPr>
          <w:i/>
          <w:iCs/>
        </w:rPr>
        <w:t>J. Exp. Biol.</w:t>
      </w:r>
      <w:r>
        <w:t xml:space="preserve"> 226, jeb245191</w:t>
      </w:r>
    </w:p>
    <w:p w14:paraId="02F9C9E3" w14:textId="77777777" w:rsidR="00553B80" w:rsidRDefault="00000000">
      <w:pPr>
        <w:pStyle w:val="Bibliography"/>
      </w:pPr>
      <w:bookmarkStart w:id="71" w:name="ref-Hoang2019"/>
      <w:bookmarkEnd w:id="70"/>
      <w:r>
        <w:t xml:space="preserve">47. </w:t>
      </w:r>
      <w:r>
        <w:tab/>
        <w:t xml:space="preserve">Hoang, K.L. </w:t>
      </w:r>
      <w:r>
        <w:rPr>
          <w:i/>
          <w:iCs/>
        </w:rPr>
        <w:t>et al.</w:t>
      </w:r>
      <w:r>
        <w:t xml:space="preserve"> (2019) The effects of bacillus subtilis on caenorhabditis elegans fitness after heat stress. </w:t>
      </w:r>
      <w:r>
        <w:rPr>
          <w:i/>
          <w:iCs/>
        </w:rPr>
        <w:t>Ecol. Evol.</w:t>
      </w:r>
      <w:r>
        <w:t xml:space="preserve"> 9, 3491–3499</w:t>
      </w:r>
    </w:p>
    <w:p w14:paraId="43C2BD9D" w14:textId="77777777" w:rsidR="00553B80" w:rsidRDefault="00000000">
      <w:pPr>
        <w:pStyle w:val="Bibliography"/>
      </w:pPr>
      <w:bookmarkStart w:id="72" w:name="ref-Gehman2019"/>
      <w:bookmarkEnd w:id="71"/>
      <w:r>
        <w:t xml:space="preserve">48. </w:t>
      </w:r>
      <w:r>
        <w:tab/>
        <w:t xml:space="preserve">Gehman, A.-L.M. and Harley, C.D.G. (2019) Symbiotic endolithic microbes alter host morphology and reduce host vulnerability to high environmental temperatures. </w:t>
      </w:r>
      <w:r>
        <w:rPr>
          <w:i/>
          <w:iCs/>
        </w:rPr>
        <w:t>Ecosphere</w:t>
      </w:r>
      <w:r>
        <w:t xml:space="preserve"> 10, e02683</w:t>
      </w:r>
    </w:p>
    <w:p w14:paraId="20F11A10" w14:textId="77777777" w:rsidR="00553B80" w:rsidRDefault="00000000">
      <w:pPr>
        <w:pStyle w:val="Bibliography"/>
      </w:pPr>
      <w:bookmarkStart w:id="73" w:name="ref-Hoang2021"/>
      <w:bookmarkEnd w:id="72"/>
      <w:r>
        <w:t xml:space="preserve">49. </w:t>
      </w:r>
      <w:r>
        <w:tab/>
        <w:t xml:space="preserve">Hoang, K.L. </w:t>
      </w:r>
      <w:r>
        <w:rPr>
          <w:i/>
          <w:iCs/>
        </w:rPr>
        <w:t>et al.</w:t>
      </w:r>
      <w:r>
        <w:t xml:space="preserve"> (2021) Association with a novel protective microbe facilitates host adaptation to a stressful environment. </w:t>
      </w:r>
      <w:r>
        <w:rPr>
          <w:i/>
          <w:iCs/>
        </w:rPr>
        <w:t>Evol. Lett.</w:t>
      </w:r>
      <w:r>
        <w:t xml:space="preserve"> 5, 118–129</w:t>
      </w:r>
    </w:p>
    <w:p w14:paraId="5C81A31D" w14:textId="77777777" w:rsidR="00553B80" w:rsidRDefault="00000000">
      <w:pPr>
        <w:pStyle w:val="Bibliography"/>
      </w:pPr>
      <w:bookmarkStart w:id="74" w:name="ref-Corbin2016"/>
      <w:bookmarkEnd w:id="73"/>
      <w:r>
        <w:t xml:space="preserve">50. </w:t>
      </w:r>
      <w:r>
        <w:tab/>
        <w:t xml:space="preserve">Corbin, C. </w:t>
      </w:r>
      <w:r>
        <w:rPr>
          <w:i/>
          <w:iCs/>
        </w:rPr>
        <w:t>et al.</w:t>
      </w:r>
      <w:r>
        <w:t xml:space="preserve"> (2016) Heritable symbionts in a world of varying temperature. </w:t>
      </w:r>
      <w:r>
        <w:rPr>
          <w:i/>
          <w:iCs/>
        </w:rPr>
        <w:t>Heredity (Edinb.)</w:t>
      </w:r>
      <w:r>
        <w:t xml:space="preserve"> 118, 10–20</w:t>
      </w:r>
    </w:p>
    <w:p w14:paraId="745B7E6D" w14:textId="77777777" w:rsidR="00553B80" w:rsidRDefault="00000000">
      <w:pPr>
        <w:pStyle w:val="Bibliography"/>
      </w:pPr>
      <w:bookmarkStart w:id="75" w:name="ref-Zhang2019"/>
      <w:bookmarkEnd w:id="74"/>
      <w:r>
        <w:t xml:space="preserve">51. </w:t>
      </w:r>
      <w:r>
        <w:tab/>
        <w:t xml:space="preserve">Zhang, B. </w:t>
      </w:r>
      <w:r>
        <w:rPr>
          <w:i/>
          <w:iCs/>
        </w:rPr>
        <w:t>et al.</w:t>
      </w:r>
      <w:r>
        <w:t xml:space="preserve"> (2019) Obligate bacterial endosymbionts limit thermal tolerance of insect host species. </w:t>
      </w:r>
      <w:r>
        <w:rPr>
          <w:i/>
          <w:iCs/>
        </w:rPr>
        <w:t>Proc. Natl. Acad. Sci. U. S. A.</w:t>
      </w:r>
      <w:r>
        <w:t xml:space="preserve"> 116, 24712–24718</w:t>
      </w:r>
    </w:p>
    <w:p w14:paraId="750E1534" w14:textId="77777777" w:rsidR="00553B80" w:rsidRDefault="00000000">
      <w:pPr>
        <w:pStyle w:val="Bibliography"/>
      </w:pPr>
      <w:bookmarkStart w:id="76" w:name="ref-Dunbar2007"/>
      <w:bookmarkEnd w:id="75"/>
      <w:r>
        <w:t xml:space="preserve">52. </w:t>
      </w:r>
      <w:r>
        <w:tab/>
        <w:t xml:space="preserve">Dunbar, H.E. </w:t>
      </w:r>
      <w:r>
        <w:rPr>
          <w:i/>
          <w:iCs/>
        </w:rPr>
        <w:t>et al.</w:t>
      </w:r>
      <w:r>
        <w:t xml:space="preserve"> (2007) Aphid thermal tolerance is governed by a point mutation in bacterial symbionts. </w:t>
      </w:r>
      <w:r>
        <w:rPr>
          <w:i/>
          <w:iCs/>
        </w:rPr>
        <w:t>PLoS Biol.</w:t>
      </w:r>
      <w:r>
        <w:t xml:space="preserve"> 5, e96</w:t>
      </w:r>
    </w:p>
    <w:p w14:paraId="3850649A" w14:textId="77777777" w:rsidR="00553B80" w:rsidRDefault="00000000">
      <w:pPr>
        <w:pStyle w:val="Bibliography"/>
      </w:pPr>
      <w:bookmarkStart w:id="77" w:name="ref-Li2023"/>
      <w:bookmarkEnd w:id="76"/>
      <w:r>
        <w:t xml:space="preserve">53. </w:t>
      </w:r>
      <w:r>
        <w:tab/>
        <w:t xml:space="preserve">Li, Y.-J. </w:t>
      </w:r>
      <w:r>
        <w:rPr>
          <w:i/>
          <w:iCs/>
        </w:rPr>
        <w:t>et al.</w:t>
      </w:r>
      <w:r>
        <w:t xml:space="preserve"> (2023) Interspecific differences in thermal tolerance landscape explain aphid community abundance under climate change. </w:t>
      </w:r>
      <w:r>
        <w:rPr>
          <w:i/>
          <w:iCs/>
        </w:rPr>
        <w:t>J. Therm. Biol.</w:t>
      </w:r>
      <w:r>
        <w:t xml:space="preserve"> 114, 103583</w:t>
      </w:r>
    </w:p>
    <w:p w14:paraId="7F303365" w14:textId="77777777" w:rsidR="00553B80" w:rsidRDefault="00000000">
      <w:pPr>
        <w:pStyle w:val="Bibliography"/>
      </w:pPr>
      <w:bookmarkStart w:id="78" w:name="ref-Zhu2024"/>
      <w:bookmarkEnd w:id="77"/>
      <w:r>
        <w:t xml:space="preserve">54. </w:t>
      </w:r>
      <w:r>
        <w:tab/>
        <w:t xml:space="preserve">Zhu, L. </w:t>
      </w:r>
      <w:r>
        <w:rPr>
          <w:i/>
          <w:iCs/>
        </w:rPr>
        <w:t>et al.</w:t>
      </w:r>
      <w:r>
        <w:t xml:space="preserve"> (2024) Responses of a widespread pest insect to extreme high temperatures are stage-dependent and divergent among seasonal cohorts. </w:t>
      </w:r>
      <w:r>
        <w:rPr>
          <w:i/>
          <w:iCs/>
        </w:rPr>
        <w:t>Funct. Ecol.</w:t>
      </w:r>
      <w:r>
        <w:t xml:space="preserve"> 39, 165–180</w:t>
      </w:r>
    </w:p>
    <w:p w14:paraId="7730A685" w14:textId="77777777" w:rsidR="00553B80" w:rsidRDefault="00000000">
      <w:pPr>
        <w:pStyle w:val="Bibliography"/>
      </w:pPr>
      <w:bookmarkStart w:id="79" w:name="ref-Kearney2009a"/>
      <w:bookmarkEnd w:id="78"/>
      <w:r>
        <w:t xml:space="preserve">55. </w:t>
      </w:r>
      <w:r>
        <w:tab/>
        <w:t xml:space="preserve">Kearney, M. </w:t>
      </w:r>
      <w:r>
        <w:rPr>
          <w:i/>
          <w:iCs/>
        </w:rPr>
        <w:t>et al.</w:t>
      </w:r>
      <w:r>
        <w:t xml:space="preserve"> (2009) Integrating biophysical models and evolutionary theory to predict climatic impacts on species’ ranges: The dengue mosquito aedes aegypti in australia. </w:t>
      </w:r>
      <w:r>
        <w:rPr>
          <w:i/>
          <w:iCs/>
        </w:rPr>
        <w:t>Funct. Ecol.</w:t>
      </w:r>
      <w:r>
        <w:t xml:space="preserve"> 23, 528–538</w:t>
      </w:r>
      <w:bookmarkEnd w:id="23"/>
      <w:bookmarkEnd w:id="25"/>
      <w:bookmarkEnd w:id="79"/>
    </w:p>
    <w:sectPr w:rsidR="00553B80" w:rsidSect="006A2A8B">
      <w:pgSz w:w="12240" w:h="15840"/>
      <w:pgMar w:top="851" w:right="851" w:bottom="851" w:left="851" w:header="720" w:footer="720" w:gutter="0"/>
      <w:lnNumType w:countBy="1" w:restart="continuou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2341D2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3C0EBB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CB060F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5746F5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72082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CDC5C5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E0C2C4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92CA4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9F444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FC836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1704B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217AB1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A7F0170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3" w15:restartNumberingAfterBreak="0">
    <w:nsid w:val="2C1AE401"/>
    <w:multiLevelType w:val="multilevel"/>
    <w:tmpl w:val="BF2A585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423309980">
    <w:abstractNumId w:val="12"/>
  </w:num>
  <w:num w:numId="2" w16cid:durableId="1282882070">
    <w:abstractNumId w:val="12"/>
  </w:num>
  <w:num w:numId="3" w16cid:durableId="1172599916">
    <w:abstractNumId w:val="13"/>
  </w:num>
  <w:num w:numId="4" w16cid:durableId="1596982598">
    <w:abstractNumId w:val="0"/>
  </w:num>
  <w:num w:numId="5" w16cid:durableId="340819348">
    <w:abstractNumId w:val="1"/>
  </w:num>
  <w:num w:numId="6" w16cid:durableId="840313352">
    <w:abstractNumId w:val="2"/>
  </w:num>
  <w:num w:numId="7" w16cid:durableId="982465735">
    <w:abstractNumId w:val="3"/>
  </w:num>
  <w:num w:numId="8" w16cid:durableId="1976372737">
    <w:abstractNumId w:val="8"/>
  </w:num>
  <w:num w:numId="9" w16cid:durableId="143863577">
    <w:abstractNumId w:val="4"/>
  </w:num>
  <w:num w:numId="10" w16cid:durableId="933174805">
    <w:abstractNumId w:val="5"/>
  </w:num>
  <w:num w:numId="11" w16cid:durableId="213470915">
    <w:abstractNumId w:val="6"/>
  </w:num>
  <w:num w:numId="12" w16cid:durableId="1229265008">
    <w:abstractNumId w:val="7"/>
  </w:num>
  <w:num w:numId="13" w16cid:durableId="489179725">
    <w:abstractNumId w:val="9"/>
  </w:num>
  <w:num w:numId="14" w16cid:durableId="576476009">
    <w:abstractNumId w:val="13"/>
  </w:num>
  <w:num w:numId="15" w16cid:durableId="1146313701">
    <w:abstractNumId w:val="13"/>
  </w:num>
  <w:num w:numId="16" w16cid:durableId="5254960">
    <w:abstractNumId w:val="10"/>
  </w:num>
  <w:num w:numId="17" w16cid:durableId="383067562">
    <w:abstractNumId w:val="10"/>
  </w:num>
  <w:num w:numId="18" w16cid:durableId="658340780">
    <w:abstractNumId w:val="10"/>
  </w:num>
  <w:num w:numId="19" w16cid:durableId="371075431">
    <w:abstractNumId w:val="0"/>
  </w:num>
  <w:num w:numId="20" w16cid:durableId="415588733">
    <w:abstractNumId w:val="1"/>
  </w:num>
  <w:num w:numId="21" w16cid:durableId="1257589673">
    <w:abstractNumId w:val="2"/>
  </w:num>
  <w:num w:numId="22" w16cid:durableId="1897203934">
    <w:abstractNumId w:val="3"/>
  </w:num>
  <w:num w:numId="23" w16cid:durableId="1691561453">
    <w:abstractNumId w:val="8"/>
  </w:num>
  <w:num w:numId="24" w16cid:durableId="736362561">
    <w:abstractNumId w:val="4"/>
  </w:num>
  <w:num w:numId="25" w16cid:durableId="2135757592">
    <w:abstractNumId w:val="5"/>
  </w:num>
  <w:num w:numId="26" w16cid:durableId="1898322515">
    <w:abstractNumId w:val="6"/>
  </w:num>
  <w:num w:numId="27" w16cid:durableId="1128275467">
    <w:abstractNumId w:val="7"/>
  </w:num>
  <w:num w:numId="28" w16cid:durableId="698361003">
    <w:abstractNumId w:val="9"/>
  </w:num>
  <w:num w:numId="29" w16cid:durableId="155994403">
    <w:abstractNumId w:val="0"/>
  </w:num>
  <w:num w:numId="30" w16cid:durableId="1805003360">
    <w:abstractNumId w:val="1"/>
  </w:num>
  <w:num w:numId="31" w16cid:durableId="186254912">
    <w:abstractNumId w:val="2"/>
  </w:num>
  <w:num w:numId="32" w16cid:durableId="1214466077">
    <w:abstractNumId w:val="3"/>
  </w:num>
  <w:num w:numId="33" w16cid:durableId="914170502">
    <w:abstractNumId w:val="8"/>
  </w:num>
  <w:num w:numId="34" w16cid:durableId="722215050">
    <w:abstractNumId w:val="4"/>
  </w:num>
  <w:num w:numId="35" w16cid:durableId="659890079">
    <w:abstractNumId w:val="5"/>
  </w:num>
  <w:num w:numId="36" w16cid:durableId="996693005">
    <w:abstractNumId w:val="6"/>
  </w:num>
  <w:num w:numId="37" w16cid:durableId="227810579">
    <w:abstractNumId w:val="7"/>
  </w:num>
  <w:num w:numId="38" w16cid:durableId="1820922315">
    <w:abstractNumId w:val="9"/>
  </w:num>
  <w:num w:numId="39" w16cid:durableId="1860183">
    <w:abstractNumId w:val="0"/>
  </w:num>
  <w:num w:numId="40" w16cid:durableId="1595547831">
    <w:abstractNumId w:val="1"/>
  </w:num>
  <w:num w:numId="41" w16cid:durableId="186912092">
    <w:abstractNumId w:val="2"/>
  </w:num>
  <w:num w:numId="42" w16cid:durableId="1032463224">
    <w:abstractNumId w:val="3"/>
  </w:num>
  <w:num w:numId="43" w16cid:durableId="963657352">
    <w:abstractNumId w:val="8"/>
  </w:num>
  <w:num w:numId="44" w16cid:durableId="1453860417">
    <w:abstractNumId w:val="4"/>
  </w:num>
  <w:num w:numId="45" w16cid:durableId="1977443015">
    <w:abstractNumId w:val="5"/>
  </w:num>
  <w:num w:numId="46" w16cid:durableId="1364281595">
    <w:abstractNumId w:val="6"/>
  </w:num>
  <w:num w:numId="47" w16cid:durableId="401298941">
    <w:abstractNumId w:val="7"/>
  </w:num>
  <w:num w:numId="48" w16cid:durableId="1263881607">
    <w:abstractNumId w:val="9"/>
  </w:num>
  <w:num w:numId="49" w16cid:durableId="1427843227">
    <w:abstractNumId w:val="10"/>
  </w:num>
  <w:num w:numId="50" w16cid:durableId="1373993187">
    <w:abstractNumId w:val="0"/>
  </w:num>
  <w:num w:numId="51" w16cid:durableId="733771929">
    <w:abstractNumId w:val="1"/>
  </w:num>
  <w:num w:numId="52" w16cid:durableId="1209419939">
    <w:abstractNumId w:val="2"/>
  </w:num>
  <w:num w:numId="53" w16cid:durableId="749079101">
    <w:abstractNumId w:val="3"/>
  </w:num>
  <w:num w:numId="54" w16cid:durableId="1199707935">
    <w:abstractNumId w:val="8"/>
  </w:num>
  <w:num w:numId="55" w16cid:durableId="1665426357">
    <w:abstractNumId w:val="4"/>
  </w:num>
  <w:num w:numId="56" w16cid:durableId="2073194729">
    <w:abstractNumId w:val="5"/>
  </w:num>
  <w:num w:numId="57" w16cid:durableId="1343705359">
    <w:abstractNumId w:val="6"/>
  </w:num>
  <w:num w:numId="58" w16cid:durableId="56826465">
    <w:abstractNumId w:val="7"/>
  </w:num>
  <w:num w:numId="59" w16cid:durableId="1770999733">
    <w:abstractNumId w:val="9"/>
  </w:num>
  <w:num w:numId="60" w16cid:durableId="1379941093">
    <w:abstractNumId w:val="0"/>
  </w:num>
  <w:num w:numId="61" w16cid:durableId="1703743376">
    <w:abstractNumId w:val="1"/>
  </w:num>
  <w:num w:numId="62" w16cid:durableId="1086147133">
    <w:abstractNumId w:val="2"/>
  </w:num>
  <w:num w:numId="63" w16cid:durableId="72240046">
    <w:abstractNumId w:val="3"/>
  </w:num>
  <w:num w:numId="64" w16cid:durableId="442574108">
    <w:abstractNumId w:val="8"/>
  </w:num>
  <w:num w:numId="65" w16cid:durableId="731124937">
    <w:abstractNumId w:val="4"/>
  </w:num>
  <w:num w:numId="66" w16cid:durableId="502627846">
    <w:abstractNumId w:val="5"/>
  </w:num>
  <w:num w:numId="67" w16cid:durableId="1006860732">
    <w:abstractNumId w:val="6"/>
  </w:num>
  <w:num w:numId="68" w16cid:durableId="1767843397">
    <w:abstractNumId w:val="7"/>
  </w:num>
  <w:num w:numId="69" w16cid:durableId="117769239">
    <w:abstractNumId w:val="9"/>
  </w:num>
  <w:num w:numId="70" w16cid:durableId="1107967726">
    <w:abstractNumId w:val="10"/>
  </w:num>
  <w:num w:numId="71" w16cid:durableId="691801922">
    <w:abstractNumId w:val="10"/>
  </w:num>
  <w:num w:numId="72" w16cid:durableId="830564022">
    <w:abstractNumId w:val="11"/>
  </w:num>
  <w:num w:numId="73" w16cid:durableId="743769905">
    <w:abstractNumId w:val="11"/>
  </w:num>
  <w:num w:numId="74" w16cid:durableId="950361974">
    <w:abstractNumId w:val="11"/>
  </w:num>
  <w:num w:numId="75" w16cid:durableId="253586233">
    <w:abstractNumId w:val="11"/>
  </w:num>
  <w:num w:numId="76" w16cid:durableId="1703819558">
    <w:abstractNumId w:val="11"/>
  </w:num>
  <w:num w:numId="77" w16cid:durableId="1141578659">
    <w:abstractNumId w:val="11"/>
  </w:num>
  <w:num w:numId="78" w16cid:durableId="122239304">
    <w:abstractNumId w:val="11"/>
  </w:num>
  <w:num w:numId="79" w16cid:durableId="704140260">
    <w:abstractNumId w:val="11"/>
  </w:num>
  <w:num w:numId="80" w16cid:durableId="603147579">
    <w:abstractNumId w:val="11"/>
  </w:num>
  <w:num w:numId="81" w16cid:durableId="796293065">
    <w:abstractNumId w:val="11"/>
  </w:num>
  <w:num w:numId="82" w16cid:durableId="188492238">
    <w:abstractNumId w:val="11"/>
  </w:num>
  <w:num w:numId="83" w16cid:durableId="1491167990">
    <w:abstractNumId w:val="11"/>
  </w:num>
  <w:num w:numId="84" w16cid:durableId="5651868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576"/>
    <w:rsid w:val="00553B80"/>
    <w:rsid w:val="005A5007"/>
    <w:rsid w:val="00676013"/>
    <w:rsid w:val="006A2A8B"/>
    <w:rsid w:val="008F43C3"/>
    <w:rsid w:val="00951576"/>
    <w:rsid w:val="00A55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333BD1"/>
  <w15:docId w15:val="{90ABDB7B-58A8-3C40-B6D8-E33473247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BF6EC2"/>
    <w:pPr>
      <w:keepNext/>
      <w:keepLines/>
      <w:spacing w:before="480" w:after="0"/>
      <w:outlineLvl w:val="0"/>
    </w:pPr>
    <w:rPr>
      <w:rFonts w:ascii="Times New Roman" w:eastAsiaTheme="majorEastAsia" w:hAnsi="Times New Roman" w:cstheme="majorBidi"/>
      <w:b/>
      <w:bCs/>
      <w:color w:val="000000" w:themeColor="text1"/>
      <w:sz w:val="32"/>
      <w:szCs w:val="32"/>
    </w:rPr>
  </w:style>
  <w:style w:type="paragraph" w:styleId="Heading2">
    <w:name w:val="heading 2"/>
    <w:basedOn w:val="Normal"/>
    <w:next w:val="BodyText"/>
    <w:uiPriority w:val="9"/>
    <w:unhideWhenUsed/>
    <w:qFormat/>
    <w:rsid w:val="00F610CE"/>
    <w:pPr>
      <w:keepNext/>
      <w:keepLines/>
      <w:spacing w:before="200" w:after="0"/>
      <w:outlineLvl w:val="1"/>
    </w:pPr>
    <w:rPr>
      <w:rFonts w:ascii="Times New Roman" w:eastAsiaTheme="majorEastAsia" w:hAnsi="Times New Roman" w:cstheme="majorBidi"/>
      <w:b/>
      <w:bCs/>
      <w:color w:val="000000" w:themeColor="text1"/>
      <w:sz w:val="32"/>
      <w:szCs w:val="32"/>
    </w:rPr>
  </w:style>
  <w:style w:type="paragraph" w:styleId="Heading3">
    <w:name w:val="heading 3"/>
    <w:basedOn w:val="Normal"/>
    <w:next w:val="BodyText"/>
    <w:uiPriority w:val="9"/>
    <w:unhideWhenUsed/>
    <w:qFormat/>
    <w:rsid w:val="00F610CE"/>
    <w:pPr>
      <w:keepNext/>
      <w:keepLines/>
      <w:spacing w:before="200" w:after="0"/>
      <w:outlineLvl w:val="2"/>
    </w:pPr>
    <w:rPr>
      <w:rFonts w:ascii="Times New Roman" w:eastAsiaTheme="majorEastAsia" w:hAnsi="Times New Roman" w:cstheme="majorBidi"/>
      <w:b/>
      <w:bCs/>
      <w:color w:val="000000" w:themeColor="text1"/>
      <w:sz w:val="28"/>
      <w:szCs w:val="28"/>
    </w:rPr>
  </w:style>
  <w:style w:type="paragraph" w:styleId="Heading4">
    <w:name w:val="heading 4"/>
    <w:basedOn w:val="Normal"/>
    <w:next w:val="BodyText"/>
    <w:uiPriority w:val="9"/>
    <w:unhideWhenUsed/>
    <w:qFormat/>
    <w:rsid w:val="00947211"/>
    <w:pPr>
      <w:keepNext/>
      <w:keepLines/>
      <w:spacing w:before="200" w:after="0"/>
      <w:outlineLvl w:val="3"/>
    </w:pPr>
    <w:rPr>
      <w:rFonts w:ascii="Times New Roman" w:eastAsiaTheme="majorEastAsia" w:hAnsi="Times New Roman" w:cstheme="majorBidi"/>
      <w:b/>
      <w:bCs/>
      <w:color w:val="000000" w:themeColor="text1"/>
    </w:rPr>
  </w:style>
  <w:style w:type="paragraph" w:styleId="Heading5">
    <w:name w:val="heading 5"/>
    <w:basedOn w:val="Normal"/>
    <w:next w:val="BodyText"/>
    <w:uiPriority w:val="9"/>
    <w:unhideWhenUsed/>
    <w:qFormat/>
    <w:rsid w:val="00676013"/>
    <w:pPr>
      <w:keepNext/>
      <w:keepLines/>
      <w:spacing w:before="200" w:after="0"/>
      <w:outlineLvl w:val="4"/>
    </w:pPr>
    <w:rPr>
      <w:rFonts w:ascii="Times New Roman" w:eastAsiaTheme="majorEastAsia" w:hAnsi="Times New Roman" w:cstheme="majorBidi"/>
      <w:i/>
      <w:iCs/>
      <w:color w:val="000000" w:themeColor="tex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1415C6"/>
    <w:pPr>
      <w:spacing w:before="180" w:after="180"/>
    </w:pPr>
    <w:rPr>
      <w:rFonts w:ascii="Times New Roman" w:hAnsi="Times New Roman"/>
    </w:rPr>
  </w:style>
  <w:style w:type="paragraph" w:customStyle="1" w:styleId="FirstParagraph">
    <w:name w:val="First Paragraph"/>
    <w:basedOn w:val="BodyText"/>
    <w:next w:val="BodyText"/>
    <w:qFormat/>
    <w:rsid w:val="00F610CE"/>
  </w:style>
  <w:style w:type="paragraph" w:customStyle="1" w:styleId="Compact">
    <w:name w:val="Compact"/>
    <w:basedOn w:val="BodyText"/>
    <w:qFormat/>
    <w:pPr>
      <w:spacing w:before="36" w:after="36"/>
    </w:pPr>
  </w:style>
  <w:style w:type="paragraph" w:styleId="Title">
    <w:name w:val="Title"/>
    <w:basedOn w:val="Normal"/>
    <w:next w:val="BodyText"/>
    <w:qFormat/>
    <w:rsid w:val="00F610CE"/>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F610CE"/>
    <w:pPr>
      <w:keepNext/>
      <w:keepLines/>
      <w:jc w:val="center"/>
    </w:pPr>
    <w:rPr>
      <w:rFonts w:ascii="Times New Roman" w:hAnsi="Times New Roman"/>
    </w:rPr>
  </w:style>
  <w:style w:type="paragraph" w:styleId="Date">
    <w:name w:val="Date"/>
    <w:next w:val="BodyText"/>
    <w:qFormat/>
    <w:rsid w:val="00F610CE"/>
    <w:pPr>
      <w:keepNext/>
      <w:keepLines/>
      <w:jc w:val="center"/>
    </w:pPr>
    <w:rPr>
      <w:rFonts w:ascii="Times New Roman" w:hAnsi="Times New Roman"/>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253A3A"/>
    <w:pPr>
      <w:ind w:left="227" w:hanging="227"/>
    </w:pPr>
    <w:rPr>
      <w:rFonts w:ascii="Times New Roman" w:hAnsi="Times New Roman"/>
    </w:r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183ED8"/>
    <w:pPr>
      <w:keepNext/>
    </w:pPr>
    <w:rPr>
      <w:rFonts w:ascii="Times New Roman" w:hAnsi="Times New Roman"/>
      <w:i w:val="0"/>
    </w:rPr>
  </w:style>
  <w:style w:type="paragraph" w:customStyle="1" w:styleId="ImageCaption">
    <w:name w:val="Image Caption"/>
    <w:basedOn w:val="Caption"/>
    <w:rsid w:val="00BB46C2"/>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sid w:val="00F610CE"/>
    <w:rPr>
      <w:rFonts w:ascii="Times New Roman" w:hAnsi="Times New Roman"/>
      <w:color w:val="000000" w:themeColor="text1"/>
    </w:rPr>
  </w:style>
  <w:style w:type="paragraph" w:styleId="TOCHeading">
    <w:name w:val="TOC Heading"/>
    <w:basedOn w:val="Heading1"/>
    <w:next w:val="BodyText"/>
    <w:uiPriority w:val="39"/>
    <w:unhideWhenUsed/>
    <w:qFormat/>
    <w:rsid w:val="00F610CE"/>
    <w:pPr>
      <w:spacing w:before="240" w:line="259" w:lineRule="auto"/>
      <w:outlineLvl w:val="9"/>
    </w:pPr>
    <w:rPr>
      <w:b w:val="0"/>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unhideWhenUsed/>
    <w:rsid w:val="00B76D52"/>
    <w:pPr>
      <w:spacing w:after="100"/>
      <w:ind w:left="240"/>
    </w:pPr>
  </w:style>
  <w:style w:type="paragraph" w:styleId="TOC3">
    <w:name w:val="toc 3"/>
    <w:basedOn w:val="Normal"/>
    <w:next w:val="Normal"/>
    <w:autoRedefine/>
    <w:uiPriority w:val="39"/>
    <w:unhideWhenUsed/>
    <w:rsid w:val="00B76D52"/>
    <w:pPr>
      <w:spacing w:after="100"/>
      <w:ind w:left="480"/>
    </w:pPr>
  </w:style>
  <w:style w:type="character" w:customStyle="1" w:styleId="BodyTextChar">
    <w:name w:val="Body Text Char"/>
    <w:basedOn w:val="DefaultParagraphFont"/>
    <w:link w:val="BodyText"/>
    <w:rsid w:val="001415C6"/>
    <w:rPr>
      <w:rFonts w:ascii="Times New Roman" w:hAnsi="Times New Roman"/>
    </w:rPr>
  </w:style>
  <w:style w:type="character" w:styleId="LineNumber">
    <w:name w:val="line number"/>
    <w:basedOn w:val="DefaultParagraphFont"/>
    <w:semiHidden/>
    <w:unhideWhenUsed/>
    <w:rsid w:val="006A2A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4868</Words>
  <Characters>27751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A systems-modelling approach to predict biological responses to extreme heat</vt:lpstr>
    </vt:vector>
  </TitlesOfParts>
  <Company/>
  <LinksUpToDate>false</LinksUpToDate>
  <CharactersWithSpaces>32554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systems-modelling approach to predict biological responses to extreme heat</dc:title>
  <dc:creator/>
  <cp:keywords/>
  <cp:lastModifiedBy>Daniel Noble</cp:lastModifiedBy>
  <cp:revision>2</cp:revision>
  <dcterms:created xsi:type="dcterms:W3CDTF">2025-02-26T22:13:00Z</dcterms:created>
  <dcterms:modified xsi:type="dcterms:W3CDTF">2025-02-27T02:19:00Z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../bib/refs.bib</vt:lpwstr>
  </property>
  <property fmtid="{D5CDD505-2E9C-101B-9397-08002B2CF9AE}" pid="4" name="crossref">
    <vt:lpwstr/>
  </property>
  <property fmtid="{D5CDD505-2E9C-101B-9397-08002B2CF9AE}" pid="5" name="csl">
    <vt:lpwstr>../bib/trends-in-ecology-and-evolution.csl</vt:lpwstr>
  </property>
  <property fmtid="{D5CDD505-2E9C-101B-9397-08002B2CF9AE}" pid="6" name="editor_option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