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184B0" w14:textId="77777777" w:rsidR="007F6ED4" w:rsidRDefault="00000000">
      <w:pPr>
        <w:pStyle w:val="Title"/>
      </w:pPr>
      <w:r>
        <w:t>A systems-modelling approach to predict biological responses to extreme heat</w:t>
      </w:r>
    </w:p>
    <w:p w14:paraId="53CC20F7" w14:textId="77777777" w:rsidR="007F6ED4"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59197314" w14:textId="77777777" w:rsidR="007F6ED4" w:rsidRDefault="00000000">
      <w:pPr>
        <w:pStyle w:val="BodyText"/>
      </w:pPr>
      <w:r>
        <w:rPr>
          <w:b/>
          <w:bCs/>
        </w:rPr>
        <w:t>Affiliations</w:t>
      </w:r>
      <w:r>
        <w:t>:</w:t>
      </w:r>
    </w:p>
    <w:p w14:paraId="4060ADD1" w14:textId="77777777" w:rsidR="007F6ED4" w:rsidRDefault="00000000">
      <w:pPr>
        <w:pStyle w:val="BodyText"/>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57F905D0" w14:textId="77777777" w:rsidR="007F6ED4" w:rsidRDefault="00000000">
      <w:pPr>
        <w:pStyle w:val="BodyText"/>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0760E311" w14:textId="77777777" w:rsidR="007F6ED4" w:rsidRDefault="00000000">
      <w:pPr>
        <w:pStyle w:val="Heading4"/>
      </w:pPr>
      <w:bookmarkStart w:id="0" w:name="X456192babd66a3e396aba1ede195d34a3d1f89a"/>
      <w:r>
        <w:t>Keywords: plant-animal interactions, microclimate, biophysical models, thermal load sensitivity, dynamic energy budget models, coexistence theory, ecological modelling, population dynamic models</w:t>
      </w:r>
    </w:p>
    <w:p w14:paraId="2AF3C93C" w14:textId="77777777" w:rsidR="007F6ED4" w:rsidRDefault="00000000">
      <w:pPr>
        <w:pStyle w:val="Heading1"/>
      </w:pPr>
      <w:bookmarkStart w:id="1" w:name="abstract"/>
      <w:bookmarkEnd w:id="0"/>
      <w:r>
        <w:t>Abstract</w:t>
      </w:r>
    </w:p>
    <w:p w14:paraId="657BD644" w14:textId="77777777" w:rsidR="007F6ED4" w:rsidRDefault="00000000">
      <w:pPr>
        <w:pStyle w:val="FirstParagraph"/>
      </w:pPr>
      <w:r>
        <w:t>Anthropogenic climate change is leading to more frequent and extreme heat waves. These 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individual level. We review and demonstrate how existing models in disparate fields can be linked to achieve an increased understanding of how individuals and communities will respond to extreme heat, now and into the future.</w:t>
      </w:r>
    </w:p>
    <w:p w14:paraId="5AD7D5E1" w14:textId="77777777" w:rsidR="007F6ED4" w:rsidRDefault="00000000">
      <w:pPr>
        <w:pStyle w:val="Heading1"/>
      </w:pPr>
      <w:bookmarkStart w:id="2" w:name="X2b97b971c201f11017c10c1d6e4dbfd69043166"/>
      <w:bookmarkEnd w:id="1"/>
      <w:r>
        <w:t>A systems-modelling approach to modelling biotic impacts of heatwaves</w:t>
      </w:r>
    </w:p>
    <w:p w14:paraId="2534F726" w14:textId="77777777" w:rsidR="007F6ED4" w:rsidRDefault="00000000">
      <w:pPr>
        <w:pStyle w:val="FirstParagraph"/>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global declines in pollinator abundance [5] and crop yields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w:t>
      </w:r>
      <w:r>
        <w:lastRenderedPageBreak/>
        <w:t>effects on interactions (both positive and negative) among species [e.g., 12]. Understanding the dynamic interplay between direct and indirect effects of extreme heat, and how these are mediated by environmental factors (e.g., water and food availability, microbes), has been hampered by inadequate coupling of models that predict short-term physiological damage on a given species’ fitness with population and community dynamic models across species [11,13,14]. A systems-thinking approach is now needed to tackle the multifaceted nature with which extreme heat manifests within in a community. This approach will require interdisciplinary collaboration to integrate biophysical, physiological, population and community ecology models so that we can capture the dynamic feedbacks, nonlinearities and interactions between species that drive responses at population and community scales [15,16].</w:t>
      </w:r>
    </w:p>
    <w:p w14:paraId="7BFA418C" w14:textId="77777777" w:rsidR="007F6ED4" w:rsidRDefault="00000000">
      <w:pPr>
        <w:pStyle w:val="BodyText"/>
      </w:pPr>
      <w:r>
        <w:t>Using plants and insects as examples, we review broad classes of models across subfields of ecology and evolution and discuss how they can be linked to effectively model the biotic impacts of heatwaves from individuals to communities (</w:t>
      </w:r>
      <w:hyperlink w:anchor="fig-sys">
        <w:r>
          <w:rPr>
            <w:rStyle w:val="Hyperlink"/>
          </w:rPr>
          <w:t>Figure 1</w:t>
        </w:r>
      </w:hyperlink>
      <w:r>
        <w:t>). We focus on plant and insect communities given the strong interconnections between them, the ease with which they can and have been studied, and their importance to socioecological systems. Physiological models can now be seamlessly integrated with biophysical models to characterize temperatures experienced by organisms and simulate the effects of extreme heat events on the entire life cycle of species within ecological communities [17–20] (</w:t>
      </w:r>
      <w:hyperlink w:anchor="fig-sys">
        <w:r>
          <w:rPr>
            <w:rStyle w:val="Hyperlink"/>
          </w:rPr>
          <w:t>Figure 1</w:t>
        </w:r>
      </w:hyperlink>
      <w:r>
        <w:t>). Physiological models that incorporate estimates of thermal sensitivity across species can capture the delicate balance between damage and repair of physiological systems [10,11,13,21],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 and across whole, complex communities [22,23]. We demonstrate how such a coupling can be made within and across species and highlight the opportunities it presents to develop a greater understanding of the ways in which extreme heat stress manifests across species. We discuss the challenges of coupling models across diverse species in communities, and of capturing the eco-evolutionary feedbacks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7F6ED4" w14:paraId="5EFB3708" w14:textId="77777777">
        <w:tc>
          <w:tcPr>
            <w:tcW w:w="7920" w:type="dxa"/>
          </w:tcPr>
          <w:p w14:paraId="4AB18268" w14:textId="77777777" w:rsidR="007F6ED4" w:rsidRDefault="00000000">
            <w:pPr>
              <w:pStyle w:val="Compact"/>
              <w:jc w:val="center"/>
            </w:pPr>
            <w:bookmarkStart w:id="3" w:name="fig-sys"/>
            <w:r>
              <w:rPr>
                <w:noProof/>
              </w:rPr>
              <w:lastRenderedPageBreak/>
              <w:drawing>
                <wp:inline distT="0" distB="0" distL="0" distR="0" wp14:anchorId="5BE6A6A8" wp14:editId="3A94711E">
                  <wp:extent cx="6096000" cy="48768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ms_files/figure-docx/fig-sys-1.png"/>
                          <pic:cNvPicPr>
                            <a:picLocks noChangeAspect="1" noChangeArrowheads="1"/>
                          </pic:cNvPicPr>
                        </pic:nvPicPr>
                        <pic:blipFill>
                          <a:blip r:embed="rId5"/>
                          <a:stretch>
                            <a:fillRect/>
                          </a:stretch>
                        </pic:blipFill>
                        <pic:spPr bwMode="auto">
                          <a:xfrm>
                            <a:off x="0" y="0"/>
                            <a:ext cx="6096000" cy="4876800"/>
                          </a:xfrm>
                          <a:prstGeom prst="rect">
                            <a:avLst/>
                          </a:prstGeom>
                          <a:noFill/>
                          <a:ln w="9525">
                            <a:noFill/>
                            <a:headEnd/>
                            <a:tailEnd/>
                          </a:ln>
                        </pic:spPr>
                      </pic:pic>
                    </a:graphicData>
                  </a:graphic>
                </wp:inline>
              </w:drawing>
            </w:r>
          </w:p>
          <w:p w14:paraId="16E4B4DD" w14:textId="77777777" w:rsidR="007F6ED4" w:rsidRDefault="00000000">
            <w:pPr>
              <w:pStyle w:val="ImageCaption"/>
              <w:spacing w:before="200"/>
            </w:pPr>
            <w:r>
              <w:t xml:space="preserve">Figure 1- </w:t>
            </w:r>
            <w:r>
              <w:rPr>
                <w:b/>
                <w:bCs/>
              </w:rPr>
              <w:t>A coupled systems modelling framework for predicting the effects of extreme heat on ecological communities</w:t>
            </w:r>
            <w:r>
              <w:t>. The modelling approach we develop here 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(behaviour, growth rate, biomass accumulation, survival and reproduction) from physiological models of individual organisms can then be integrated into (3) population and community ecology models (such as those developed with in the Modern Coexistence Theory Framework – see text)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for quantitative predictions to be made on how extreme heatwaves perturb biological systems and allow for the development and implementation of strategies to enhance biological system resilience to extreme heat. Created with BioRender.com.</w:t>
            </w:r>
          </w:p>
        </w:tc>
        <w:bookmarkEnd w:id="3"/>
      </w:tr>
    </w:tbl>
    <w:p w14:paraId="667B2950" w14:textId="77777777" w:rsidR="007F6ED4" w:rsidRDefault="00000000">
      <w:pPr>
        <w:pStyle w:val="Heading1"/>
      </w:pPr>
      <w:bookmarkStart w:id="4" w:name="X4da05dea4acdb2054c1e59c2f12913febac8a0c"/>
      <w:bookmarkEnd w:id="2"/>
      <w:r>
        <w:lastRenderedPageBreak/>
        <w:t>From weather to microclimates: predicting community wide exposure to extreme heat</w:t>
      </w:r>
    </w:p>
    <w:p w14:paraId="1DECC21F" w14:textId="77777777" w:rsidR="007F6ED4" w:rsidRDefault="00000000">
      <w:pPr>
        <w:pStyle w:val="FirstParagraph"/>
      </w:pPr>
      <w:r>
        <w:t xml:space="preserve">Extreme weather events are predicted by Global Circulation Models (GCMs), typically at large spatial scales (e.g. 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grid cells). Yet, species across communities experience these heatwaves differently because of the varied microhabitats they occupy. For example, while air temperature may be 50°C, an organism a metre below the soil surface may be exposed to temperatures ~20°C cooler (</w:t>
      </w:r>
      <w:hyperlink w:anchor="fig-sys">
        <w:r>
          <w:rPr>
            <w:rStyle w:val="Hyperlink"/>
          </w:rPr>
          <w:t>Figure 1</w:t>
        </w:r>
      </w:hyperlink>
      <w:r>
        <w:t>). Therefore, to understand how extreme heat affects a community of organisms, we must characterize the ‘</w:t>
      </w:r>
      <w:r>
        <w:rPr>
          <w:b/>
          <w:bCs/>
        </w:rPr>
        <w:t>microclimates</w:t>
      </w:r>
      <w:r>
        <w:t>’ experienced by individuals of different species under a given atmospheric event. Microclimate predictions are made by taking the atmospheric conditions as independent forcing variables and combining them with detailed information on terrain (slope, aspect, hill shade), vegetation [plant-area index (PAI), stomatal behaviour, leaf reflectance] and soil hydrothermal properties to predict how radiation, wind speed, air temperature, humidity, soil temperature and soil moisture vary on small spatial scales [24–31]. Capturing the interaction between soil moisture and temperature in microclimate models is critical because the same atmospheric heat wave can have different implications for microclimatic conditions depending on the recent history of rainfall and temperature [32]. Downscaling to microclimate conditions does require additional variables for a given location than typically used in climate models (e.g., % shade, soil characteristics, surface albedo), however, many of the additional variables are readily available. Depending on the organism and question of interest, not all input variables are needed to parameterize a given microclimate calculation, as recent guides to microclimate modelling illustrate [e.g., 33,34,35].</w:t>
      </w:r>
    </w:p>
    <w:p w14:paraId="1EDFF3DC" w14:textId="77777777" w:rsidR="007F6ED4" w:rsidRDefault="00000000">
      <w:pPr>
        <w:pStyle w:val="BodyText"/>
      </w:pPr>
      <w:r>
        <w:t>Beyond parameterization, the benefit of a systems-thinking approach in the context of microclimate modelling is its ability to capture vegetation and soil dynamics which can dramatically shape microclimate conditions within and between species dynamically across time. For example, plant water use dynamics during heatwaves can amplify or reduce high temperatures via effects on photosynthetic capacity, stomatal decoupling, cuticular conductance, leaf damage and plant mortality [19,36]. These impacts are important for the plants themselves and for thermal regimes available to other organisms. Forecasting future thermal regimes is challenging because it involves forecasting future vegetation dynamics, including changes in key vegetation properties such as leaf area index, as a function of plant growth,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[e.g. Agricultural Production Systems sIMulator (APSIM); [37]] up to the dynamic global vegetation models (DGVMs) that simulate vegetation function and distribution at local to global scales [38].</w:t>
      </w:r>
    </w:p>
    <w:p w14:paraId="109AF52C" w14:textId="77777777" w:rsidR="007F6ED4" w:rsidRDefault="00000000">
      <w:pPr>
        <w:pStyle w:val="Heading1"/>
      </w:pPr>
      <w:bookmarkStart w:id="5" w:name="X5a6e6d313f4187bfc77082e5e5979262b26b081"/>
      <w:bookmarkEnd w:id="4"/>
      <w:r>
        <w:t>Translating exposure to organism temperature: biophysics to the rescue!</w:t>
      </w:r>
    </w:p>
    <w:p w14:paraId="23BC5FF2" w14:textId="69B06CAC" w:rsidR="007F6ED4" w:rsidRDefault="00000000">
      <w:pPr>
        <w:pStyle w:val="FirstParagraph"/>
      </w:pPr>
      <w:r>
        <w:t xml:space="preserve">Once microclimates are quantified, it is crucial to estimate the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solar absorptivity) along with how heat energy and water are exchanged with the environment – dependent on the microclimate experienced. Such </w:t>
      </w:r>
      <w:r>
        <w:rPr>
          <w:b/>
          <w:bCs/>
        </w:rPr>
        <w:t>biophysical models</w:t>
      </w:r>
      <w:r>
        <w:t xml:space="preserve"> have a long history[39,40,e.g. 19] but have become more widely applied in ecology in the past 20 years, facilitated by developments in environmental datasets, microclimate modelling, and the emergence of high-level programming languages such as R [20]. Biophysical models of ectothermic animals make use of equations for energy and mass exchange between an organism and its environment and can account for complex radiative heat transfer and the role of evaporative water loss across surfaces [20,24,41]. Equivalent models of leaves incorporate the dynamic role of stomata </w:t>
      </w:r>
      <w:hyperlink r:id="rId6">
        <w:r>
          <w:rPr>
            <w:rStyle w:val="Hyperlink"/>
          </w:rPr>
          <w:t>[42]; [19]</w:t>
        </w:r>
      </w:hyperlink>
      <w:r>
        <w:t xml:space="preserve">. Biophysical models are powerful because, by translating microclimate conditions to organism body temperature and hydric states, simple </w:t>
      </w:r>
      <w:r>
        <w:lastRenderedPageBreak/>
        <w:t>regulatory decision-making models can be used [43,44]. For example, given an understanding of an organism’s thermal activity windows, thermal optima, and critical thermal limits we can determine what microclimates should be chosen to get as close as possible to its target body temperature [e.g., 43,44]. Incorporating such behavioural thermoregulatory decision making is crucial for mitigating the negative impacts of extreme heat and can inherently capture the trade-offs such a strategy entails through reduced foraging time [20,43]. Incorporating stomatal behaviour can mitigate or exacerbate the extreme temperatures leaf tissue experiences while simultaneously shaping the microclimate conditions for other organisms [19,45] (</w:t>
      </w:r>
      <w:r>
        <w:rPr>
          <w:b/>
          <w:bCs/>
        </w:rPr>
        <w:t>Box 1</w:t>
      </w:r>
      <w:r>
        <w:t>). Future developments in biophysical modelling of organismal temperature under extreme heat will involve understanding the nuances of plastic physiological and behavioral responses. For example, lizards may pant when exposed to high temperatures [46], birds may ‘wind surf’ or seek thermal micro-refugia [47], and stomata can enact emergency cooling, departing from the typical responses to vapor pressure and light intensity [36], though this response may depend on prior soil moisture conditions [48]. While biophysical models require many variables for parameterization they can be tailored to the question and organism of interest [20]. Many traits can be safely assumed, or traits of similar species can be used to construct basic models which can be validated and updated.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0CB97AEB" w14:textId="77777777" w:rsidR="007F6ED4" w:rsidRDefault="00000000">
      <w:pPr>
        <w:pStyle w:val="Heading1"/>
      </w:pPr>
      <w:bookmarkStart w:id="6" w:name="X034f8e5698580bf7448238067f484f5e1d792b9"/>
      <w:bookmarkEnd w:id="5"/>
      <w:r>
        <w:t>Capturing both physiological damage and repair to predict multi-species thermal sensitivity</w:t>
      </w:r>
    </w:p>
    <w:p w14:paraId="42AD3F18" w14:textId="77777777" w:rsidR="007F6ED4" w:rsidRDefault="00000000">
      <w:pPr>
        <w:pStyle w:val="FirstParagraph"/>
      </w:pPr>
      <w:r>
        <w:t xml:space="preserve">Translating how heat waves impact plants and animals not only depend on modelling temperature </w:t>
      </w:r>
      <w:r>
        <w:rPr>
          <w:i/>
          <w:iCs/>
        </w:rPr>
        <w:t>exposure</w:t>
      </w:r>
      <w:r>
        <w:t xml:space="preserve"> but also the varying </w:t>
      </w:r>
      <w:r>
        <w:rPr>
          <w:i/>
          <w:iCs/>
        </w:rPr>
        <w:t>sensitivity</w:t>
      </w:r>
      <w:r>
        <w:t xml:space="preserve"> of organisms to extreme heat [21,49]. Sensitivity to extreme heat can be captured by </w:t>
      </w:r>
      <w:r>
        <w:rPr>
          <w:b/>
          <w:bCs/>
        </w:rPr>
        <w:t>thermal load sensitivity (TLS) / thermal death time (TDT)</w:t>
      </w:r>
      <w:r>
        <w:t xml:space="preserve"> models that explicitly account for how heat stress depends on both the body temperature experienced and and its duration [13,21].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 Typically, TLS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[13]. Endpoints are predicted by assuming the effect of time at a given temperature decreases survival and/or fertility exponentially and have been shown to have high predictive power [10,11,21,49]. For example, Ørsted </w:t>
      </w:r>
      <w:r>
        <w:rPr>
          <w:i/>
          <w:iCs/>
        </w:rPr>
        <w:t>et al.</w:t>
      </w:r>
      <w:r>
        <w:t xml:space="preserve"> [11] show that both mortality and fecundity follow a clear exponential relationship with time in the Spotted Wing Drosophila (</w:t>
      </w:r>
      <w:r>
        <w:rPr>
          <w:i/>
          <w:iCs/>
        </w:rPr>
        <w:t>Drosophila suzuki</w:t>
      </w:r>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applies well to photosynthetic function in plants [50,51], highlighting the potential generality of the TLS framework and its capacity to explore plastic responses (e.g., acclimation and priming) of organisms. TLS models are crucial for predicting how heat waves affect organisms because accumulated damage to physiological systems can result in lagged responses to heat stress or exacerbate future stress (i.e., future heat waves / droughts) – a common feature of extreme heat events [13,52].</w:t>
      </w:r>
    </w:p>
    <w:p w14:paraId="0B5A5EA1" w14:textId="77777777" w:rsidR="007F6ED4" w:rsidRDefault="00000000">
      <w:pPr>
        <w:pStyle w:val="BodyText"/>
      </w:pPr>
      <w:r>
        <w:t>Environmental factors known to impact thermal sensitivity, such as water and drought stress [e.g., 53,54] along with nutritional and dietary changes [e.g., 55,56] can be incorporated into systems modelling approaches through their impacts on thermal sensitivity and tolerance [13] (</w:t>
      </w:r>
      <w:hyperlink w:anchor="fig-sys">
        <w:r>
          <w:rPr>
            <w:rStyle w:val="Hyperlink"/>
          </w:rPr>
          <w:t>Figure 1</w:t>
        </w:r>
      </w:hyperlink>
      <w:r>
        <w:t xml:space="preserve">).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enhance growth, defense, and heat tolerance in </w:t>
      </w:r>
      <w:r>
        <w:lastRenderedPageBreak/>
        <w:t>plants [57,58], and gut microbiota can improve heat tolerance in animals [59]. Additionally, modelling the intricate balance between damage and repair for a suite of different species can help identify susceptible species, life stages and tissues that are most at risk from extreme heat events due to direct sensitivity to extreme heat, allowing more accurate predictions of the varying levels of species sensitivity within a community [13].</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F6ED4" w14:paraId="5114313B" w14:textId="77777777">
        <w:trPr>
          <w:cantSplit/>
        </w:trPr>
        <w:tc>
          <w:tcPr>
            <w:tcW w:w="0" w:type="auto"/>
            <w:tcMar>
              <w:left w:w="144" w:type="dxa"/>
            </w:tcMar>
          </w:tcPr>
          <w:p w14:paraId="24ECF0F9" w14:textId="77777777" w:rsidR="007F6ED4" w:rsidRDefault="00000000">
            <w:pPr>
              <w:pStyle w:val="BodyText"/>
              <w:spacing w:before="16" w:after="64"/>
            </w:pPr>
            <w:r>
              <w:rPr>
                <w:b/>
                <w:bCs/>
              </w:rPr>
              <w:lastRenderedPageBreak/>
              <w:t>Box 1: Building a systems modelling approach to capture multi-species exposure to extreme heat</w:t>
            </w:r>
          </w:p>
          <w:p w14:paraId="30E559EC" w14:textId="77777777" w:rsidR="007F6ED4" w:rsidRDefault="00000000">
            <w:pPr>
              <w:pStyle w:val="BodyText"/>
              <w:spacing w:before="16"/>
            </w:pPr>
            <w:r>
              <w:t>Here we outline how a systems-modelling approach can be developed, illustrated with a simple hypothetical community (Figure I). The focus is on how climate, microclimate, and biophysical models can predict the differential exposure to extreme heat events across species, how species can alter each other’s microclimates, and the incorporation of ‘behavioural’ responses of species in response to temperature (e.g., stomatal behaviour, thermoregulation). Predicted organismal temperatures are used from these models to then predict life-cycles for species, incorporate differences in thermal sensitivity, and ultimately estimate vital rates for population and community ecology models (</w:t>
            </w:r>
            <w:r>
              <w:rPr>
                <w:b/>
                <w:bCs/>
              </w:rPr>
              <w:t>Box 2</w:t>
            </w:r>
            <w:r>
              <w:t>).</w:t>
            </w:r>
          </w:p>
          <w:p w14:paraId="69B787ED" w14:textId="77777777" w:rsidR="007F6ED4" w:rsidRDefault="00000000">
            <w:pPr>
              <w:pStyle w:val="BodyText"/>
            </w:pPr>
            <w:r>
              <w:t xml:space="preserve">The context is a heatwave event in January 2018/19 at Renmark, South Australia (Calperum Station). The historical SILO climate dataset (0.05° resolution, 1889 to present) [60] was used as input to the </w:t>
            </w:r>
            <w:r>
              <w:rPr>
                <w:rStyle w:val="VerbatimChar"/>
              </w:rPr>
              <w:t>micro_silo</w:t>
            </w:r>
            <w:r>
              <w:t xml:space="preserve"> function in </w:t>
            </w:r>
            <w:r>
              <w:rPr>
                <w:i/>
                <w:iCs/>
              </w:rPr>
              <w:t>NicheMapR</w:t>
            </w:r>
            <w:r>
              <w:t xml:space="preserve"> [19,61] in conjunction with </w:t>
            </w:r>
            <w:r>
              <w:rPr>
                <w:i/>
                <w:iCs/>
              </w:rPr>
              <w:t>microclima</w:t>
            </w:r>
            <w:r>
              <w:t xml:space="preserve"> [25,26] in the R statistical language to compute microclimates. Microclimates are calculated at various heights above ground (20cm-1.2m, relevant to our plants and insects) and soil depths (for burrowers) with varying levels of shade (we use 40% and 80%). Simulating these varied conditions captured the diversity of microclimates that different species in a community might experience and provided opportunities to build in behavioural plasticity.</w:t>
            </w:r>
          </w:p>
          <w:p w14:paraId="40E67D18" w14:textId="77777777" w:rsidR="007F6ED4" w:rsidRDefault="00000000">
            <w:pPr>
              <w:pStyle w:val="BodyText"/>
            </w:pPr>
            <w:r>
              <w:t xml:space="preserve">With available microclimates predicted, we can compute leaf and body temperatures using biophysical models. However, plant temperatures will impact temperatures experienced by the grasshopper because plant stomata change in response to extreme heat events. Stomatal responses of leaves to their environment can be captured with the help of the </w:t>
            </w:r>
            <w:r>
              <w:rPr>
                <w:i/>
                <w:iCs/>
              </w:rPr>
              <w:t>plantecophys</w:t>
            </w:r>
            <w:r>
              <w:t xml:space="preserve"> package [42] and used in conjunction with the </w:t>
            </w:r>
            <w:r>
              <w:rPr>
                <w:rStyle w:val="VerbatimChar"/>
              </w:rPr>
              <w:t>ectotherm</w:t>
            </w:r>
            <w:r>
              <w:t xml:space="preserve"> function in </w:t>
            </w:r>
            <w:r>
              <w:rPr>
                <w:i/>
                <w:iCs/>
              </w:rPr>
              <w:t>NicheMapR</w:t>
            </w:r>
            <w:r>
              <w:t xml:space="preserve"> to compute realistic leaf temperatures as stoma open and close in response to temperature and vapor pressure deficit (Figure I). The combination of microclimate, leaf traits (e.g., shape, leaf conductance, emissivity) and stomatal behaviour thereby produces realistic leaf temperature estimates during the heatwave event.</w:t>
            </w:r>
          </w:p>
          <w:p w14:paraId="6559CE12" w14:textId="77777777" w:rsidR="007F6ED4" w:rsidRDefault="00000000">
            <w:pPr>
              <w:pStyle w:val="BodyText"/>
            </w:pPr>
            <w:r>
              <w:t xml:space="preserve">Calculated leaf temperature can then become part of the microclimate of the insects (Figure I). The </w:t>
            </w:r>
            <w:r>
              <w:rPr>
                <w:rStyle w:val="VerbatimChar"/>
              </w:rPr>
              <w:t>ectotherm</w:t>
            </w:r>
            <w:r>
              <w:t xml:space="preserve"> function of </w:t>
            </w:r>
            <w:r>
              <w:rPr>
                <w:i/>
                <w:iCs/>
              </w:rPr>
              <w:t>NicheMapR</w:t>
            </w:r>
            <w:r>
              <w:t xml:space="preserve"> can be used to compute insect body temperature, given the microclimate (including plant leaf temperature) and insect traits. The insect temperature calculations incorporate their capacity to thermoregulate behaviourally (Species B moves to cooler parts of plant - Figure I) to minimize thermal stress when possible, given a range of available microclimates and using information on their thermal preferences. 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7F6ED4" w14:paraId="5DAAD8E5" w14:textId="77777777">
              <w:tc>
                <w:tcPr>
                  <w:tcW w:w="0" w:type="auto"/>
                </w:tcPr>
                <w:p w14:paraId="414365E6" w14:textId="77777777" w:rsidR="007F6ED4" w:rsidRDefault="00000000">
                  <w:pPr>
                    <w:pStyle w:val="Compact"/>
                    <w:jc w:val="center"/>
                  </w:pPr>
                  <w:bookmarkStart w:id="7" w:name="fig-box1"/>
                  <w:r>
                    <w:rPr>
                      <w:noProof/>
                    </w:rPr>
                    <w:lastRenderedPageBreak/>
                    <w:drawing>
                      <wp:inline distT="0" distB="0" distL="0" distR="0" wp14:anchorId="6BC46FED" wp14:editId="6A06C3BE">
                        <wp:extent cx="6680200" cy="4141099"/>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ms_files/figure-docx/fig-box1-1.png"/>
                                <pic:cNvPicPr>
                                  <a:picLocks noChangeAspect="1" noChangeArrowheads="1"/>
                                </pic:cNvPicPr>
                              </pic:nvPicPr>
                              <pic:blipFill>
                                <a:blip r:embed="rId7"/>
                                <a:stretch>
                                  <a:fillRect/>
                                </a:stretch>
                              </pic:blipFill>
                              <pic:spPr bwMode="auto">
                                <a:xfrm>
                                  <a:off x="0" y="0"/>
                                  <a:ext cx="6680200" cy="4141099"/>
                                </a:xfrm>
                                <a:prstGeom prst="rect">
                                  <a:avLst/>
                                </a:prstGeom>
                                <a:noFill/>
                                <a:ln w="9525">
                                  <a:noFill/>
                                  <a:headEnd/>
                                  <a:tailEnd/>
                                </a:ln>
                              </pic:spPr>
                            </pic:pic>
                          </a:graphicData>
                        </a:graphic>
                      </wp:inline>
                    </w:drawing>
                  </w:r>
                </w:p>
                <w:p w14:paraId="51A90ED5" w14:textId="77777777" w:rsidR="007F6ED4" w:rsidRDefault="00000000">
                  <w:pPr>
                    <w:pStyle w:val="ImageCaption"/>
                    <w:spacing w:before="200"/>
                  </w:pPr>
                  <w:r>
                    <w:t>Figure 2- Figure I: Predicting and coupling microclimate and biophysical models of plants and insects. Created with BioRender.com.</w:t>
                  </w:r>
                </w:p>
              </w:tc>
              <w:bookmarkEnd w:id="7"/>
            </w:tr>
          </w:tbl>
          <w:p w14:paraId="7E4FA905" w14:textId="77777777" w:rsidR="00000000" w:rsidRDefault="00000000">
            <w:pPr>
              <w:spacing w:after="0"/>
            </w:pPr>
          </w:p>
        </w:tc>
      </w:tr>
    </w:tbl>
    <w:p w14:paraId="0EB18D69" w14:textId="77777777" w:rsidR="007F6ED4"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F6ED4" w14:paraId="36D49C58" w14:textId="77777777">
        <w:trPr>
          <w:cantSplit/>
        </w:trPr>
        <w:tc>
          <w:tcPr>
            <w:tcW w:w="0" w:type="auto"/>
            <w:tcMar>
              <w:left w:w="144" w:type="dxa"/>
            </w:tcMar>
          </w:tcPr>
          <w:p w14:paraId="4C8ABAFA" w14:textId="77777777" w:rsidR="007F6ED4" w:rsidRDefault="00000000">
            <w:pPr>
              <w:pStyle w:val="BodyText"/>
              <w:spacing w:before="16" w:after="64"/>
            </w:pPr>
            <w:r>
              <w:rPr>
                <w:b/>
                <w:bCs/>
              </w:rPr>
              <w:lastRenderedPageBreak/>
              <w:t>Glossary</w:t>
            </w:r>
          </w:p>
          <w:p w14:paraId="0133EDC1" w14:textId="77777777" w:rsidR="007F6ED4" w:rsidRDefault="00000000">
            <w:pPr>
              <w:pStyle w:val="BodyText"/>
              <w:spacing w:before="16"/>
            </w:pPr>
            <w:r>
              <w:rPr>
                <w:b/>
                <w:bCs/>
              </w:rPr>
              <w:t>Coexistence</w:t>
            </w:r>
            <w:r>
              <w:t>: Coexistence occurs when populations of two or more species are able to persist in each other’s presence indefinitely at steady state under constant abiotic conditions.</w:t>
            </w:r>
          </w:p>
          <w:p w14:paraId="4034ABED" w14:textId="77777777" w:rsidR="007F6ED4" w:rsidRDefault="00000000">
            <w:pPr>
              <w:pStyle w:val="BodyText"/>
            </w:pPr>
            <w:r>
              <w:rPr>
                <w:b/>
                <w:bCs/>
              </w:rPr>
              <w:t>Modern Coexistence Theory</w:t>
            </w:r>
            <w:r>
              <w:t>: A theoretical framework derived from population ecology describing the conditions under which species can coexist mathematically. It has resulted in the development of population growth models using criteria based on niche and fitness differences, mutual invasibility and feasibility domains.</w:t>
            </w:r>
          </w:p>
          <w:p w14:paraId="3FB48063" w14:textId="77777777" w:rsidR="007F6ED4"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and hydric environment experienced by organisms.</w:t>
            </w:r>
          </w:p>
          <w:p w14:paraId="0AAE1A61" w14:textId="77777777" w:rsidR="007F6ED4" w:rsidRDefault="00000000">
            <w:pPr>
              <w:pStyle w:val="BodyText"/>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5436A87E" w14:textId="77777777" w:rsidR="007F6ED4" w:rsidRDefault="00000000">
            <w:pPr>
              <w:pStyle w:val="BodyText"/>
            </w:pPr>
            <w:r>
              <w:rPr>
                <w:b/>
                <w:bCs/>
              </w:rPr>
              <w:t>Biophysical models</w:t>
            </w:r>
            <w:r>
              <w:t>: Biophysical models capture the balances of heat, water, and other aspects of energy and mass exchange between organisms and their microclimatic environment to predict how organisms function, survive, and behave in varying environments.</w:t>
            </w:r>
          </w:p>
          <w:p w14:paraId="4FEADEE3" w14:textId="77777777" w:rsidR="007F6ED4" w:rsidRDefault="00000000">
            <w:pPr>
              <w:pStyle w:val="BodyText"/>
            </w:pPr>
            <w:r>
              <w:rPr>
                <w:b/>
                <w:bCs/>
              </w:rPr>
              <w:t>Thermal load sensitivity (TLS) / thermal death time (TDT) models</w:t>
            </w:r>
            <w:r>
              <w:t>: Models that calculate thermal stress load from a time series of body temperatures to quantify lethal and sublethal impacts on tissues, organs and whole organisms.</w:t>
            </w:r>
          </w:p>
          <w:p w14:paraId="007580A3" w14:textId="77777777" w:rsidR="007F6ED4" w:rsidRDefault="00000000">
            <w:pPr>
              <w:pStyle w:val="BodyText"/>
              <w:spacing w:after="16"/>
            </w:pPr>
            <w:r>
              <w:rPr>
                <w:b/>
                <w:bCs/>
              </w:rPr>
              <w:t>Vital rates</w:t>
            </w:r>
            <w:r>
              <w:t>: Demographic parameters that determine how populations change over time. They include measures of birth, death, growth, and reproduction.</w:t>
            </w:r>
          </w:p>
        </w:tc>
      </w:tr>
    </w:tbl>
    <w:p w14:paraId="157EBF7A" w14:textId="77777777" w:rsidR="007F6ED4" w:rsidRDefault="00000000">
      <w:pPr>
        <w:pStyle w:val="Heading1"/>
      </w:pPr>
      <w:bookmarkStart w:id="8" w:name="Xa42fff9f9b55ab8c457a10a6df2c5c7c3edac3c"/>
      <w:bookmarkEnd w:id="6"/>
      <w:r>
        <w:t>Physiological models that capture the effects of extreme heat across life</w:t>
      </w:r>
    </w:p>
    <w:p w14:paraId="3A8472A7" w14:textId="77777777" w:rsidR="007F6ED4" w:rsidRDefault="00000000">
      <w:pPr>
        <w:pStyle w:val="FirstParagraph"/>
      </w:pPr>
      <w:r>
        <w:t>Dynamic Energy Budget (DEB) models are physiologically-explicit life-cycle models of energy and mass uptake and conversion that predict key life-history transitions, growth, reproduction and survival (senescence) through time [17,62]. DEB models consider organisms as a thermodynamic system (fully obeying energy-mass conservation) capturing the exchange of food, water, respiratory gases and metabolic waste throughout the life cycle [20]. DEB models can translate short-term (hours) variation in factors such as temperature, toxins (e.g., toxicants, [63]) and resource availability (nutrients) [64,65] into long-term (days, months, years) effects on development, growth, reproduction and survival [18,20]. DEB theory, when combined with biophysical models more generally, allows the full water budget to be computed to account for heat stress impacts of a hydric nature [20]. Perhaps most importantly, DEB theory calculates the life cycle trajectory of an organism and so can account for the effects of timing of heat wave impacts relative to life stage. Applied to multi-species assemblages, DEB models can capture how different species’ life cycles are affected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are parameter-sparse (one parameter per process), and necessary parameters have been estimated for &gt; 7000 species already (although there are taxonomic biases) [66,67]. New analytical approaches using phylogenetic imputation methods show promise for calculating energy budgets for species without data. Such methods have, for instance, already been used to predict DEB parameters for over 1.3 million animal species [see, 68]. In addition, software packages such as </w:t>
      </w:r>
      <w:r>
        <w:rPr>
          <w:i/>
          <w:iCs/>
        </w:rPr>
        <w:t>NicheMapR</w:t>
      </w:r>
      <w:r>
        <w:t xml:space="preserve"> [24,61] allow for simulations of life-cycles using parameters for diverse species. DEB model outputs, such as body mass and size, reproductive success and timing, and survival, can be used to parameterize vital rates needed for </w:t>
      </w:r>
      <w:r>
        <w:lastRenderedPageBreak/>
        <w:t xml:space="preserve">population and community models, with additional options to incorporate eco-evolutionary feedbacks (see </w:t>
      </w:r>
      <w:r>
        <w:rPr>
          <w:b/>
          <w:bCs/>
        </w:rPr>
        <w:t>Box 3</w:t>
      </w:r>
      <w:r>
        <w:t>).</w:t>
      </w:r>
    </w:p>
    <w:p w14:paraId="062F4784" w14:textId="77777777" w:rsidR="007F6ED4" w:rsidRDefault="00000000">
      <w:pPr>
        <w:pStyle w:val="BodyText"/>
      </w:pPr>
      <w:r>
        <w:t>Analogously, physiology-based vegetation models simulate plant growth over time as a function of carbon, water and nutrient uptake and use, following mass balance principles [69].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[70].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[71]. Direct damage to plant tissue from extreme heat has yet to be represented in such models, but the thermal death time framework outlined above offers a promising way forward.</w:t>
      </w:r>
    </w:p>
    <w:p w14:paraId="5ED73412" w14:textId="77777777" w:rsidR="007F6ED4" w:rsidRDefault="00000000">
      <w:pPr>
        <w:pStyle w:val="Heading1"/>
      </w:pPr>
      <w:bookmarkStart w:id="9" w:name="Xe20b556bb99a49ef81dd5b1307d42fae8e49e0c"/>
      <w:bookmarkEnd w:id="8"/>
      <w:r>
        <w:t>Mechanistic approaches that ‘speak’ to population and community ecology under extreme heat</w:t>
      </w:r>
    </w:p>
    <w:p w14:paraId="00F57B52" w14:textId="77777777" w:rsidR="007F6ED4" w:rsidRDefault="00000000">
      <w:pPr>
        <w:pStyle w:val="FirstParagraph"/>
      </w:pPr>
      <w:r>
        <w:t xml:space="preserve">Modelling tools developed as part of </w:t>
      </w:r>
      <w:r>
        <w:rPr>
          <w:b/>
          <w:bCs/>
        </w:rPr>
        <w:t>Modern Coexistence Theory</w:t>
      </w:r>
      <w:r>
        <w:t xml:space="preserve"> [MCT, 16] offer a promising suite of approaches for combining biophysical, physiological, and population ecology models to predict whole community responses to extreme heat events. Population growth models are core to predicting species </w:t>
      </w:r>
      <w:r>
        <w:rPr>
          <w:b/>
          <w:bCs/>
        </w:rPr>
        <w:t>coexistence</w:t>
      </w:r>
      <w:r>
        <w:t xml:space="preserve"> within this framework. In their most recent applications, these simple pairwise population growth models have been used to underpin horizontal network models that allow one to examine how species in a community interact and create stable communities [15,72]. Other extensions of MCT tools have integrated environmental variation [23], traits [73] and cross-trophic dynamics [74,75] in predicting the outcomes of species interactions in community contexts. Fundamentally, this approach relies on simple two-species individual-based population growth models [76,77] but key extensions involve the use of whole communities as one “species” [78,79] or the grouping species to simplify interaction matrices while accounting for a small number of dominant species [75].</w:t>
      </w:r>
    </w:p>
    <w:p w14:paraId="6488B807" w14:textId="77777777" w:rsidR="007F6ED4" w:rsidRDefault="00000000">
      <w:pPr>
        <w:pStyle w:val="BodyText"/>
      </w:pPr>
      <w:r>
        <w:t>Population dynamic models that are used as part of MCT can calculate the individual fitness effect of interactions in relation to environments experienced by organisms [22,75,80] (</w:t>
      </w:r>
      <w:r>
        <w:rPr>
          <w:b/>
          <w:bCs/>
        </w:rPr>
        <w:t>Box 2</w:t>
      </w:r>
      <w:r>
        <w:t xml:space="preserve">). As these models use the same fitness measures as DEB models, they offer a population modelling framework to add thermal biology to community diversity predictions. This is because population dynamical models can be combined, for example as networks [15] and compared between microsites with different biophysical properties harbouring species with different thermal responses to their microenvironment. For example, Bimler </w:t>
      </w:r>
      <w:r>
        <w:rPr>
          <w:i/>
          <w:iCs/>
        </w:rPr>
        <w:t>et al</w:t>
      </w:r>
      <w:r>
        <w:t xml:space="preserve"> [15] used this approach to determine which species were keystone species under shady and sunny portions of the same plant communities.</w:t>
      </w:r>
    </w:p>
    <w:p w14:paraId="6C08CA12" w14:textId="77777777" w:rsidR="007F6ED4" w:rsidRDefault="00000000">
      <w:pPr>
        <w:pStyle w:val="BodyText"/>
      </w:pPr>
      <w:r>
        <w:t xml:space="preserve">Modified </w:t>
      </w:r>
      <w:r>
        <w:rPr>
          <w:b/>
          <w:bCs/>
        </w:rPr>
        <w:t>vital rate</w:t>
      </w:r>
      <w:r>
        <w:t xml:space="preserve"> functions (which can incorperate any measure of fitness) can be used in population growth models to compare population dynamics for individuals in areas with different biophysical properties and/or thermal tolerances. Indeed, the predicted traits from DEB models could be used to directly parameterise growth rate models or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w:t>
      </w:r>
      <w:r>
        <w:lastRenderedPageBreak/>
        <w:t>by ‘traits’ or shared phylogenetic relationships, which are simplifications shown to be effective at reducing model complexity without sacrificing model accuracy [81].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F6ED4" w14:paraId="65E821CB" w14:textId="77777777">
        <w:trPr>
          <w:cantSplit/>
        </w:trPr>
        <w:tc>
          <w:tcPr>
            <w:tcW w:w="0" w:type="auto"/>
            <w:tcMar>
              <w:left w:w="144" w:type="dxa"/>
            </w:tcMar>
          </w:tcPr>
          <w:p w14:paraId="283CFE90" w14:textId="77777777" w:rsidR="007F6ED4" w:rsidRDefault="00000000">
            <w:pPr>
              <w:pStyle w:val="BodyText"/>
              <w:spacing w:before="16" w:after="64"/>
            </w:pPr>
            <w:r>
              <w:rPr>
                <w:b/>
                <w:bCs/>
              </w:rPr>
              <w:lastRenderedPageBreak/>
              <w:t>Box 2: Scaling up extreme heat effects from impacts on individuals of species to communities</w:t>
            </w:r>
          </w:p>
          <w:p w14:paraId="46FEB50D" w14:textId="77777777" w:rsidR="007F6ED4" w:rsidRDefault="00000000">
            <w:pPr>
              <w:pStyle w:val="BodyText"/>
              <w:spacing w:before="16"/>
            </w:pPr>
            <w:r>
              <w:t>We use predicted organismal temperatures (</w:t>
            </w:r>
            <w:r>
              <w:rPr>
                <w:b/>
                <w:bCs/>
              </w:rPr>
              <w:t>Box 1</w:t>
            </w:r>
            <w:r>
              <w:t>) to take stock of how thermal heat stress accumulation impacts survival probability and simulate life cycles for two interacting grasshopper species under their respective microclimates.</w:t>
            </w:r>
          </w:p>
          <w:p w14:paraId="34748C4A" w14:textId="77777777" w:rsidR="007F6ED4" w:rsidRDefault="00000000">
            <w:pPr>
              <w:pStyle w:val="BodyText"/>
            </w:pPr>
            <w:r>
              <w:t xml:space="preserve">To start, using existing parameters for a dynamic energy budget (DEB) model for a grasshopper [82], we can use the </w:t>
            </w:r>
            <w:r>
              <w:rPr>
                <w:rStyle w:val="VerbatimChar"/>
              </w:rPr>
              <w:t>ectotherm</w:t>
            </w:r>
            <w:r>
              <w:t xml:space="preserve"> function in </w:t>
            </w:r>
            <w:r>
              <w:rPr>
                <w:i/>
                <w:iCs/>
              </w:rPr>
              <w:t>NicheMapR</w:t>
            </w:r>
            <w:r>
              <w:t xml:space="preserve"> can be used to simulate life cycles for each of the two species. We assume that both species have similar DEB parameters but vary in their life-history, thermal physiology, size and reproduction, which we include in our DEB model (see Figure I in Box 1).</w:t>
            </w:r>
          </w:p>
          <w:p w14:paraId="7636C12E" w14:textId="77777777" w:rsidR="007F6ED4" w:rsidRDefault="00000000">
            <w:pPr>
              <w:pStyle w:val="BodyText"/>
            </w:pPr>
            <w:r>
              <w:t>DEB models incorporate a simple Gompertz mortality function to capture senescence, but do not integrate the effects of thermal load accumulation in response to extreme heat events into survival functions. We assume reproduction is not impacted by heat for simplicity, but thermal load on reproduction can also be incorporated in a similar way [11].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during stressful temperatures experienced under realistic conditions for each species by calculating heat injury (HI) accumulated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life (using an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threshold)(</w:t>
            </w:r>
            <w:hyperlink w:anchor="eq-hi">
              <w:r>
                <w:rPr>
                  <w:rStyle w:val="Hyperlink"/>
                </w:rPr>
                <w:t>Equation 1</w:t>
              </w:r>
            </w:hyperlink>
            <w:r>
              <w:t>) (‘red lines’ in Fig IIA) [10,11,13,49].</w:t>
            </w:r>
          </w:p>
          <w:p w14:paraId="2D9DFACC" w14:textId="77777777" w:rsidR="007F6ED4" w:rsidRDefault="00000000">
            <w:pPr>
              <w:pStyle w:val="BodyText"/>
            </w:pPr>
            <w:bookmarkStart w:id="10"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20AB2BF8" w14:textId="77777777" w:rsidR="007F6ED4" w:rsidRDefault="00000000">
            <w:pPr>
              <w:pStyle w:val="FirstParagraph"/>
            </w:pPr>
            <w:r>
              <w:t>After calculating HI accounting for repair [83], and converting to the probability of mortality through time, we can calculate the total probability of survival (i.e., from senescence, thermal stress, and activity-based mortality) for each age/stage class. In combination with the DEB model outputs on total reproduction across life, we can build a simple age/stage-structured population matrix (day of life or developmental stage) (Fig IIB) to estimate population growth rate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 ln(</w:t>
            </w:r>
            <m:oMath>
              <m:r>
                <w:rPr>
                  <w:rFonts w:ascii="Cambria Math" w:hAnsi="Cambria Math"/>
                </w:rPr>
                <m:t>λ</m:t>
              </m:r>
            </m:oMath>
            <w:r>
              <w:t xml:space="preserve">)] for each species under their respective microclimates.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can then be included in a two-species, density dependent Ricker model (a model commonly used as the basis for coexistence modelling in the MCT framework) to predict their population growth under competition (</w:t>
            </w:r>
            <w:hyperlink w:anchor="eq-general">
              <w:r>
                <w:rPr>
                  <w:rStyle w:val="Hyperlink"/>
                </w:rPr>
                <w:t>Equation 2</w:t>
              </w:r>
            </w:hyperlink>
            <w:r>
              <w:t>).</w:t>
            </w:r>
          </w:p>
          <w:bookmarkStart w:id="11" w:name="eq-general"/>
          <w:p w14:paraId="61C283FC" w14:textId="77777777" w:rsidR="007F6ED4"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i</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⋅exp</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max,</m:t>
                        </m:r>
                        <m:r>
                          <w:rPr>
                            <w:rFonts w:ascii="Cambria Math" w:hAnsi="Cambria Math"/>
                          </w:rPr>
                          <m:t>i</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ij</m:t>
                                    </m:r>
                                  </m:sub>
                                </m:sSub>
                              </m:e>
                            </m:nary>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j</m:t>
                                </m:r>
                              </m:sup>
                            </m:sSubSup>
                          </m:num>
                          <m:den>
                            <m:sSub>
                              <m:sSubPr>
                                <m:ctrlPr>
                                  <w:rPr>
                                    <w:rFonts w:ascii="Cambria Math" w:hAnsi="Cambria Math"/>
                                  </w:rPr>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7E4E51E7" w14:textId="77777777" w:rsidR="007F6ED4" w:rsidRDefault="00000000">
            <w:pPr>
              <w:pStyle w:val="FirstParagraph"/>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max</m:t>
                      </m:r>
                    </m:e>
                    <m:sub>
                      <m:r>
                        <w:rPr>
                          <w:rFonts w:ascii="Cambria Math" w:hAnsi="Cambria Math"/>
                        </w:rPr>
                        <m:t>i</m:t>
                      </m:r>
                    </m:sub>
                  </m:sSub>
                </m:sub>
              </m:sSub>
            </m:oMath>
            <w:r>
              <w:t xml:space="preserve"> is the intrinsic growth rate of species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m:t>j</m:t>
              </m:r>
            </m:oMath>
            <w:r>
              <w:t xml:space="preserve"> affects species </w:t>
            </w:r>
            <m:oMath>
              <m:r>
                <w:rPr>
                  <w:rFonts w:ascii="Cambria Math" w:hAnsi="Cambria Math"/>
                </w:rPr>
                <m:t>i</m:t>
              </m:r>
            </m:oMath>
            <w:r>
              <w:t>. Note that, because mechanistic physiological models are used, the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7F6ED4" w14:paraId="4BAE096C" w14:textId="77777777">
              <w:tc>
                <w:tcPr>
                  <w:tcW w:w="0" w:type="auto"/>
                </w:tcPr>
                <w:p w14:paraId="1DA918AF" w14:textId="77777777" w:rsidR="007F6ED4" w:rsidRDefault="00000000">
                  <w:pPr>
                    <w:pStyle w:val="Compact"/>
                    <w:jc w:val="center"/>
                  </w:pPr>
                  <w:bookmarkStart w:id="12" w:name="fig-box2"/>
                  <w:r>
                    <w:rPr>
                      <w:noProof/>
                    </w:rPr>
                    <w:lastRenderedPageBreak/>
                    <w:drawing>
                      <wp:inline distT="0" distB="0" distL="0" distR="0" wp14:anchorId="20903867" wp14:editId="57D07BDE">
                        <wp:extent cx="6096000" cy="48768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ms_files/figure-docx/fig-box2-1.png"/>
                                <pic:cNvPicPr>
                                  <a:picLocks noChangeAspect="1" noChangeArrowheads="1"/>
                                </pic:cNvPicPr>
                              </pic:nvPicPr>
                              <pic:blipFill>
                                <a:blip r:embed="rId8"/>
                                <a:stretch>
                                  <a:fillRect/>
                                </a:stretch>
                              </pic:blipFill>
                              <pic:spPr bwMode="auto">
                                <a:xfrm>
                                  <a:off x="0" y="0"/>
                                  <a:ext cx="6096000" cy="4876800"/>
                                </a:xfrm>
                                <a:prstGeom prst="rect">
                                  <a:avLst/>
                                </a:prstGeom>
                                <a:noFill/>
                                <a:ln w="9525">
                                  <a:noFill/>
                                  <a:headEnd/>
                                  <a:tailEnd/>
                                </a:ln>
                              </pic:spPr>
                            </pic:pic>
                          </a:graphicData>
                        </a:graphic>
                      </wp:inline>
                    </w:drawing>
                  </w:r>
                </w:p>
                <w:p w14:paraId="7B24BE86" w14:textId="77777777" w:rsidR="007F6ED4" w:rsidRDefault="00000000">
                  <w:pPr>
                    <w:pStyle w:val="ImageCaption"/>
                    <w:spacing w:before="200"/>
                  </w:pPr>
                  <w:r>
                    <w:t>Figure 3- Figure II: A systems approach to using mechanistic physiological models to capture life-cycle vital rates and thermal load stress on survival to scale up to multi-species population dynamics. Created with BioRender.com.</w:t>
                  </w:r>
                </w:p>
              </w:tc>
              <w:bookmarkEnd w:id="12"/>
            </w:tr>
          </w:tbl>
          <w:p w14:paraId="6EAC5FE7" w14:textId="77777777" w:rsidR="00000000" w:rsidRDefault="00000000">
            <w:pPr>
              <w:spacing w:after="0"/>
            </w:pPr>
          </w:p>
        </w:tc>
      </w:tr>
    </w:tbl>
    <w:p w14:paraId="156552C6" w14:textId="77777777" w:rsidR="007F6ED4" w:rsidRDefault="00000000">
      <w:pPr>
        <w:pStyle w:val="Heading1"/>
      </w:pPr>
      <w:bookmarkStart w:id="13" w:name="hot-solutions-for-a-changing-world"/>
      <w:bookmarkEnd w:id="9"/>
      <w:r>
        <w:lastRenderedPageBreak/>
        <w:t>‘Hot’ solutions for a changing world</w:t>
      </w:r>
    </w:p>
    <w:p w14:paraId="6B252A3A" w14:textId="77777777" w:rsidR="007F6ED4" w:rsidRDefault="00000000">
      <w:pPr>
        <w:pStyle w:val="FirstParagraph"/>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[84], exacerbating food shortages. A systems-modelling approach can help us develop suitable interventions, predict the varied consequences of such interventions, and allow for adjustments that can improve decision making for mitigating the impacts of extreme heat in real world situations. As a simple example (</w:t>
      </w:r>
      <w:hyperlink w:anchor="fig-2">
        <w:r>
          <w:rPr>
            <w:rStyle w:val="Hyperlink"/>
          </w:rPr>
          <w:t>Figure 4</w:t>
        </w:r>
      </w:hyperlink>
      <w:r>
        <w:t>A), a systems modelling approach can allow for informed predictions about how to mitigate heat stress to crops while also considering the potential for pest outbreaks. In essence, we want to add a minimal amount of water to a system to cool leaves while avoiding depleting limited water supplies and creating microclimate conditions from becoming more optimal for pests. Making use of real weather data to predict microclimates and organism temperatures, we can assess how adding 2, 5, 10, or 20 mm d</w:t>
      </w:r>
      <w:r>
        <w:rPr>
          <w:vertAlign w:val="superscript"/>
        </w:rPr>
        <w:t>-1</w:t>
      </w:r>
      <w:r>
        <w:t xml:space="preserve"> of water to a system affects leaf temperatures and the life-cycle for a grasshopper species that is a known pest (</w:t>
      </w:r>
      <w:hyperlink w:anchor="fig-2">
        <w:r>
          <w:rPr>
            <w:rStyle w:val="Hyperlink"/>
          </w:rPr>
          <w:t>Figure 4</w:t>
        </w:r>
      </w:hyperlink>
      <w:r>
        <w:t>). We can see that adding 2-5 mm d</w:t>
      </w:r>
      <w:r>
        <w:rPr>
          <w:vertAlign w:val="superscript"/>
        </w:rPr>
        <w:t>-1</w:t>
      </w:r>
      <w:r>
        <w:t xml:space="preserve"> of water can result in as much as a 3.87°C decrease in leaf temperature (</w:t>
      </w:r>
      <w:hyperlink w:anchor="fig-2">
        <w:r>
          <w:rPr>
            <w:rStyle w:val="Hyperlink"/>
          </w:rPr>
          <w:t>Figure 4</w:t>
        </w:r>
      </w:hyperlink>
      <w:r>
        <w:t xml:space="preserve">B), but adding more water does not result in significant gains in cooling. In addition, 2-5 mm of water added each day to avoid extreme heat impacts results in grasshopper populations being suppressed over time whereas not </w:t>
      </w:r>
      <w:r>
        <w:lastRenderedPageBreak/>
        <w:t>adding water at all results in grasshopper population growth, leading to potential heatwave associated outbreaks. Here, the optimal solution is adding 2-5 mm d</w:t>
      </w:r>
      <w:r>
        <w:rPr>
          <w:vertAlign w:val="superscript"/>
        </w:rPr>
        <w:t>-1</w:t>
      </w:r>
      <w:r>
        <w:t xml:space="preserve"> of water to both cool plants and protect them from pests. Identifying and/or modifying the thermal suitability of landscapes, such as in our simple example, may dramatically benefit plants and animals under extreme heat and is a promising feature of a systems-thinking approach [20]. Additionally, as our understanding of the mechanisms associated with heat tolerance improve, genetic tools, environmental manipulations (e.g., promoting beneficial microbes) and artificial breeding can be used to enhance thermal tolerance creating more resilience to extreme heat events [e.g., 58]. Systems modelling can 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communities more vulnerable through loss of resources and services [85]. Thermal risks to ecosystems may also precipitate declines in individual wellbeing, and these consequences may accrue differently across regions and peoples [86].</w:t>
      </w:r>
    </w:p>
    <w:tbl>
      <w:tblPr>
        <w:tblStyle w:val="Table"/>
        <w:tblW w:w="5000" w:type="pct"/>
        <w:tblLayout w:type="fixed"/>
        <w:tblLook w:val="0000" w:firstRow="0" w:lastRow="0" w:firstColumn="0" w:lastColumn="0" w:noHBand="0" w:noVBand="0"/>
      </w:tblPr>
      <w:tblGrid>
        <w:gridCol w:w="10538"/>
      </w:tblGrid>
      <w:tr w:rsidR="007F6ED4" w14:paraId="1B429CBC" w14:textId="77777777">
        <w:tc>
          <w:tcPr>
            <w:tcW w:w="7920" w:type="dxa"/>
          </w:tcPr>
          <w:p w14:paraId="0BD1EB09" w14:textId="77777777" w:rsidR="007F6ED4" w:rsidRDefault="00000000">
            <w:pPr>
              <w:pStyle w:val="Compact"/>
              <w:jc w:val="center"/>
            </w:pPr>
            <w:bookmarkStart w:id="14" w:name="fig-2"/>
            <w:r>
              <w:rPr>
                <w:noProof/>
              </w:rPr>
              <w:drawing>
                <wp:inline distT="0" distB="0" distL="0" distR="0" wp14:anchorId="742CD32E" wp14:editId="76AE7C40">
                  <wp:extent cx="6096000" cy="4876800"/>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ms_files/figure-docx/fig-2-1.png"/>
                          <pic:cNvPicPr>
                            <a:picLocks noChangeAspect="1" noChangeArrowheads="1"/>
                          </pic:cNvPicPr>
                        </pic:nvPicPr>
                        <pic:blipFill>
                          <a:blip r:embed="rId9"/>
                          <a:stretch>
                            <a:fillRect/>
                          </a:stretch>
                        </pic:blipFill>
                        <pic:spPr bwMode="auto">
                          <a:xfrm>
                            <a:off x="0" y="0"/>
                            <a:ext cx="6096000" cy="4876800"/>
                          </a:xfrm>
                          <a:prstGeom prst="rect">
                            <a:avLst/>
                          </a:prstGeom>
                          <a:noFill/>
                          <a:ln w="9525">
                            <a:noFill/>
                            <a:headEnd/>
                            <a:tailEnd/>
                          </a:ln>
                        </pic:spPr>
                      </pic:pic>
                    </a:graphicData>
                  </a:graphic>
                </wp:inline>
              </w:drawing>
            </w:r>
          </w:p>
          <w:p w14:paraId="2FABCAD1" w14:textId="77777777" w:rsidR="007F6ED4" w:rsidRDefault="00000000">
            <w:pPr>
              <w:pStyle w:val="ImageCaption"/>
              <w:spacing w:before="200"/>
            </w:pPr>
            <w:r>
              <w:t xml:space="preserve">Figure 4- How a systems modelling approach to extreme heat can be used to inform solutions. Heat stress to crops can result in foliage loss and crop failure but also weaken crops to pests. Using a hypothetical case study of a crop and associated pest, we explore how different watering regimes affect plant temperatures and the flow on effects such regimes have for pest dynamics (A). Using a site near Renmark, South Australia, we use microclimate and biophysical models to estimate leaf temperatures (detailed in Boxes 1 &amp; 2). We see that, compared to original rainfall conditions, certain watering regimes can significantly reduce leaf temperatures by nearly 4°C, providing protection to leaves (B). Modelling how these changed microclimate conditions translate to grasshopper body temperatures, we can then estimate changes to </w:t>
            </w:r>
            <w:r>
              <w:lastRenderedPageBreak/>
              <w:t>grasshopper life cycles and use the vital rates to predict population dynamics, showing, in this case, that even small amounts of water can indirectly supress pest growth through lower body temperatures (C). Created with BioRender.com.</w:t>
            </w:r>
          </w:p>
          <w:p w14:paraId="0F326468" w14:textId="77777777" w:rsidR="0007380D" w:rsidRDefault="0007380D">
            <w:pPr>
              <w:pStyle w:val="ImageCaption"/>
              <w:spacing w:before="200"/>
            </w:pP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F6ED4" w14:paraId="4A83973B" w14:textId="77777777">
        <w:trPr>
          <w:cantSplit/>
        </w:trPr>
        <w:tc>
          <w:tcPr>
            <w:tcW w:w="0" w:type="auto"/>
            <w:tcMar>
              <w:left w:w="144" w:type="dxa"/>
            </w:tcMar>
          </w:tcPr>
          <w:p w14:paraId="65839F8D" w14:textId="77777777" w:rsidR="007F6ED4" w:rsidRDefault="00000000">
            <w:pPr>
              <w:pStyle w:val="BodyText"/>
              <w:spacing w:before="16" w:after="64"/>
            </w:pPr>
            <w:r>
              <w:rPr>
                <w:b/>
                <w:bCs/>
              </w:rPr>
              <w:lastRenderedPageBreak/>
              <w:t>Box 3: An important frontier: integrating eco-evolutionary feedback within a systems-modelling framework</w:t>
            </w:r>
          </w:p>
          <w:p w14:paraId="058CDA77" w14:textId="77777777" w:rsidR="007F6ED4" w:rsidRDefault="00000000">
            <w:pPr>
              <w:pStyle w:val="BodyText"/>
              <w:spacing w:before="16"/>
            </w:pPr>
            <w:r>
              <w:t>Extreme climactic events, such as heatwaves and droughts, are known to result in intense episodes of selection which can lead to rapid evolutionary change when traits are heritable [87]. Given the intensity of selection associated with extreme climatic events, they have the potential to radically alter the phenotypic and genetic variability available to selection in the future [88],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[87].</w:t>
            </w:r>
          </w:p>
          <w:p w14:paraId="07A5AC79" w14:textId="77777777" w:rsidR="007F6ED4" w:rsidRDefault="00000000">
            <w:pPr>
              <w:pStyle w:val="BodyText"/>
            </w:pPr>
            <w:r>
              <w:t>Predicting evolutionary responses also relies on our ability to predict heatwaves and how organisms experience them in the future – a task that is becoming more feasible with new climate models [e.g., 89,90].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[91–93]. Considering various forms of plastic responses (e.g., behavioural, developmental, and physiological plasticity) as environments change through time is also crucial because it can weaken selection and shelter genetic variation while also promoting persistence [94,95]. Many of these processes can now be incorporated into a systems modelling framework (e.g, behavioural plasticity), to capture environment-phenotype feedbacks.</w:t>
            </w:r>
          </w:p>
          <w:p w14:paraId="79D65BFF" w14:textId="77777777" w:rsidR="007F6ED4" w:rsidRDefault="00000000">
            <w:pPr>
              <w:pStyle w:val="BodyText"/>
            </w:pPr>
            <w:r>
              <w:t>A more complete systems modelling approach that captures eco-evolutionary dynamics needs treat ‘traits’ more broadly than is typically done in evolutionary ecology (e.g., body mass). For example, ‘traits’ can include the parameters within models that establish functional traits within a population (e.g., DEB parameters)[96,97], which may provide predictions for suites of resulting traits that emerge from such parameters. Furthermore, it is important to consider the evolution of suites of traits as can be done using the multivariate breeders equation [98]:</w:t>
            </w:r>
          </w:p>
          <w:p w14:paraId="2F942EC3" w14:textId="77777777" w:rsidR="007F6ED4" w:rsidRDefault="00000000">
            <w:pPr>
              <w:pStyle w:val="BodyText"/>
            </w:pPr>
            <w:bookmarkStart w:id="15"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62D2C2AF" w14:textId="77777777" w:rsidR="007F6ED4" w:rsidRDefault="00000000">
            <w:pPr>
              <w:pStyle w:val="FirstParagraph"/>
              <w:spacing w:after="16"/>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[99]). Plasticity can be captured by mapping trait development to the environment and incorporating environmental variability into the breeders equation [see also, 100]. While the multivariate breeders equation can be useful for predicting short term evolutionary responses (i.e., one or a few generations) it likely has limited predictive power over longer timespans because of changes in heritability and selection through time, which is a future challenge [93,99].</w:t>
            </w:r>
          </w:p>
        </w:tc>
      </w:tr>
    </w:tbl>
    <w:p w14:paraId="354D7C3D" w14:textId="77777777" w:rsidR="007F6ED4"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7F6ED4" w14:paraId="00265760" w14:textId="77777777">
        <w:trPr>
          <w:cantSplit/>
        </w:trPr>
        <w:tc>
          <w:tcPr>
            <w:tcW w:w="0" w:type="auto"/>
            <w:tcMar>
              <w:left w:w="144" w:type="dxa"/>
            </w:tcMar>
          </w:tcPr>
          <w:p w14:paraId="78A406C6" w14:textId="77777777" w:rsidR="007F6ED4" w:rsidRDefault="00000000">
            <w:pPr>
              <w:pStyle w:val="BodyText"/>
              <w:spacing w:before="16" w:after="64"/>
            </w:pPr>
            <w:r>
              <w:rPr>
                <w:b/>
                <w:bCs/>
              </w:rPr>
              <w:lastRenderedPageBreak/>
              <w:t>Outstanding Questions</w:t>
            </w:r>
          </w:p>
          <w:p w14:paraId="47A4D93C" w14:textId="77777777" w:rsidR="007F6ED4" w:rsidRDefault="00000000">
            <w:pPr>
              <w:pStyle w:val="Compact"/>
              <w:numPr>
                <w:ilvl w:val="0"/>
                <w:numId w:val="86"/>
              </w:numPr>
            </w:pPr>
            <w:r>
              <w:t>How effective is using parameters of closely related species for predicting the impacts of extreme heat for data deficient species?</w:t>
            </w:r>
          </w:p>
          <w:p w14:paraId="1A2E9DA7" w14:textId="77777777" w:rsidR="007F6ED4" w:rsidRDefault="00000000">
            <w:pPr>
              <w:pStyle w:val="Compact"/>
              <w:numPr>
                <w:ilvl w:val="0"/>
                <w:numId w:val="86"/>
              </w:numPr>
            </w:pPr>
            <w:r>
              <w:t>How can we capture rapid and longer-term evolutionary responses of interacting species to extreme heat in a systems-modelling framework?</w:t>
            </w:r>
          </w:p>
          <w:p w14:paraId="0962D4C1" w14:textId="77777777" w:rsidR="007F6ED4" w:rsidRDefault="00000000">
            <w:pPr>
              <w:pStyle w:val="Compact"/>
              <w:numPr>
                <w:ilvl w:val="0"/>
                <w:numId w:val="86"/>
              </w:numPr>
            </w:pPr>
            <w:r>
              <w:t>Can we use thermal load sensitivity models to describe heat damage to plant tissues?</w:t>
            </w:r>
          </w:p>
          <w:p w14:paraId="2F88B5B9" w14:textId="77777777" w:rsidR="007F6ED4" w:rsidRDefault="00000000">
            <w:pPr>
              <w:pStyle w:val="Compact"/>
              <w:numPr>
                <w:ilvl w:val="0"/>
                <w:numId w:val="86"/>
              </w:numPr>
            </w:pPr>
            <w:r>
              <w:t>Can we build and couple dynamic energy budget models for plant species to predict how extreme heat will impact tissue and life cycle dynamics more accurately?</w:t>
            </w:r>
          </w:p>
          <w:p w14:paraId="2AB04A3B" w14:textId="77777777" w:rsidR="007F6ED4" w:rsidRDefault="00000000">
            <w:pPr>
              <w:pStyle w:val="Compact"/>
              <w:numPr>
                <w:ilvl w:val="0"/>
                <w:numId w:val="86"/>
              </w:numPr>
            </w:pPr>
            <w:r>
              <w:t>How do multiple stressors in anthropogenically modified environments interact with extreme heat to impact organisms, populations and communities?</w:t>
            </w:r>
          </w:p>
          <w:p w14:paraId="481C92F9" w14:textId="77777777" w:rsidR="007F6ED4" w:rsidRDefault="00000000">
            <w:pPr>
              <w:pStyle w:val="Compact"/>
              <w:numPr>
                <w:ilvl w:val="0"/>
                <w:numId w:val="86"/>
              </w:numPr>
            </w:pPr>
            <w:r>
              <w:t>How will extreme heat impact species coexistence and functional trait diversity in natural and agricultural systems?</w:t>
            </w:r>
          </w:p>
          <w:p w14:paraId="0B3F369F" w14:textId="77777777" w:rsidR="007F6ED4" w:rsidRDefault="00000000">
            <w:pPr>
              <w:pStyle w:val="Compact"/>
              <w:numPr>
                <w:ilvl w:val="0"/>
                <w:numId w:val="86"/>
              </w:numPr>
            </w:pPr>
            <w:r>
              <w:t>How can we quantify microhabitat complexity to robustly and accurately capture the heat responses of animal, plants and microbes and their interactions?</w:t>
            </w:r>
          </w:p>
          <w:p w14:paraId="131F3546" w14:textId="77777777" w:rsidR="007F6ED4" w:rsidRDefault="00000000">
            <w:pPr>
              <w:pStyle w:val="Compact"/>
              <w:numPr>
                <w:ilvl w:val="0"/>
                <w:numId w:val="86"/>
              </w:numPr>
            </w:pPr>
            <w:r>
              <w:t>How do we model lagged impacts of extreme heat events on whole communities?</w:t>
            </w:r>
          </w:p>
          <w:p w14:paraId="2F4B8B28" w14:textId="77777777" w:rsidR="007F6ED4" w:rsidRDefault="00000000">
            <w:pPr>
              <w:pStyle w:val="Compact"/>
              <w:numPr>
                <w:ilvl w:val="0"/>
                <w:numId w:val="86"/>
              </w:numPr>
            </w:pPr>
            <w:r>
              <w:t>How will thermal stress to natural ecosystems and food production systems impact people?</w:t>
            </w:r>
          </w:p>
        </w:tc>
      </w:tr>
    </w:tbl>
    <w:p w14:paraId="59F2A92F" w14:textId="77777777" w:rsidR="007F6ED4" w:rsidRDefault="00000000">
      <w:pPr>
        <w:pStyle w:val="Heading1"/>
      </w:pPr>
      <w:bookmarkStart w:id="16" w:name="concluding-remarks"/>
      <w:bookmarkEnd w:id="13"/>
      <w:r>
        <w:t>Concluding Remarks</w:t>
      </w:r>
    </w:p>
    <w:p w14:paraId="4D514977" w14:textId="77777777" w:rsidR="007F6ED4" w:rsidRDefault="00000000">
      <w:pPr>
        <w:pStyle w:val="FirstParagraph"/>
      </w:pPr>
      <w:r>
        <w:t xml:space="preserve">Implementing a systems-modelling approach will no doubt be challenging, particularly for complex communities, and knowledge gaps remain (see </w:t>
      </w:r>
      <w:r>
        <w:rPr>
          <w:b/>
          <w:bCs/>
        </w:rPr>
        <w:t>Outstanding Questions</w:t>
      </w:r>
      <w:r>
        <w:t xml:space="preserve">). But, more than ever, we need mechanistic approaches that encapsulate key biological processes (physiology, behaviour, phenology, species interactions and eco-evolutionary dynamics - </w:t>
      </w:r>
      <w:r>
        <w:rPr>
          <w:b/>
          <w:bCs/>
        </w:rPr>
        <w:t>Box 3</w:t>
      </w:r>
      <w:r>
        <w:t>) to better predict biological responses to extreme heat [52,101]. Coupled mechanistic models within and across species are expected to have improved predictive power when projected to new environmental conditions and can better capture interacting processes [20,101]. Nonetheless, a systems modelling approach will require a solid foundation of species natural history, diverse modelling expertise, and a concerted effort to collect and collate trait and environmental data for model building and validation. There are exciting new tools and data that are helping to overcome these challenges [25], and careful consideration of the key processes important to a system can help alleviate these challenges [20]. For example, large databases of physiological traits for both plants and animals now exist [e.g., 102,103] and advanced missing data approaches can help estimate likely parameters for data deficient species [68,72,104].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 model, validating predictions with empirical data, and then adding complexity as needed can make building systems models more tractable [20]. Even simple models that compare counterfactual scenarios may provide important quantitative insights into the impacts of extreme heat on organisms, populations and communities [105–107]. Such insights can form the basis for prediction-driven solutions to mitigate the impacts of extreme heat on biodiversity. By working collaboratively and integratively we can develop a more quantitative and predictive understanding of the impacts that extreme heat will have on organisms, populations, and communities, and decide how to mitigate these impacts to preserve diverse systems now and into the future.</w:t>
      </w:r>
    </w:p>
    <w:p w14:paraId="427C36D8" w14:textId="77777777" w:rsidR="007F6ED4" w:rsidRDefault="00000000">
      <w:pPr>
        <w:pStyle w:val="Heading1"/>
      </w:pPr>
      <w:bookmarkStart w:id="17" w:name="acknowledgements"/>
      <w:bookmarkEnd w:id="16"/>
      <w:r>
        <w:t>Acknowledgements</w:t>
      </w:r>
    </w:p>
    <w:p w14:paraId="3250C36D" w14:textId="77777777" w:rsidR="007F6ED4" w:rsidRDefault="00000000">
      <w:pPr>
        <w:pStyle w:val="FirstParagraph"/>
      </w:pPr>
      <w:r>
        <w:t xml:space="preserve">We would like to thank Pieter Arnold, Joel Treutlein and Patrice Pottier for helpful comments on previous versions of this manuscript. We would also like to thank the Editor and three anonymous reviewers who provided very constructive feedback on earlier versions of our manuscript. DWAN and S.J.L. are supported </w:t>
      </w:r>
      <w:r>
        <w:lastRenderedPageBreak/>
        <w:t>by an ARC Future Fellowship (FT220100276 to DWAN and FT200100381 to S.J.L.), and M.R.K by an ARC Laureate Fellowship (FL240100088). We would also like to thank The Australian National University, the University of Melbourne and Western Sydney University for funding to support workshops that helped develop this manuscript.</w:t>
      </w:r>
    </w:p>
    <w:p w14:paraId="5F6606F6" w14:textId="77777777" w:rsidR="007F6ED4" w:rsidRDefault="00000000">
      <w:pPr>
        <w:pStyle w:val="Heading1"/>
      </w:pPr>
      <w:bookmarkStart w:id="18" w:name="code"/>
      <w:bookmarkEnd w:id="17"/>
      <w:r>
        <w:t>Code</w:t>
      </w:r>
    </w:p>
    <w:p w14:paraId="6825E774" w14:textId="77777777" w:rsidR="007F6ED4" w:rsidRDefault="00000000">
      <w:pPr>
        <w:pStyle w:val="FirstParagraph"/>
      </w:pPr>
      <w:r>
        <w:t>Link to the code used to for examples in Box 1 and 2 can be found here: https://daniel1noble.github.io/thermal_tol_interactions/ with the full set of files being located on our GitHub repository at https://github.com/daniel1noble/thermal_tol_interactions.</w:t>
      </w:r>
    </w:p>
    <w:p w14:paraId="112D300D" w14:textId="77777777" w:rsidR="007F6ED4" w:rsidRDefault="00000000">
      <w:pPr>
        <w:pStyle w:val="Heading1"/>
      </w:pPr>
      <w:bookmarkStart w:id="19" w:name="references"/>
      <w:bookmarkEnd w:id="18"/>
      <w:r>
        <w:t>References</w:t>
      </w:r>
    </w:p>
    <w:p w14:paraId="0D990D36" w14:textId="77777777" w:rsidR="007F6ED4" w:rsidRDefault="007F6ED4">
      <w:pPr>
        <w:pStyle w:val="FirstParagraph"/>
      </w:pPr>
    </w:p>
    <w:p w14:paraId="439C83B8" w14:textId="77777777" w:rsidR="007F6ED4" w:rsidRDefault="00000000">
      <w:pPr>
        <w:pStyle w:val="Bibliography"/>
      </w:pPr>
      <w:bookmarkStart w:id="20" w:name="ref-Barriopedro2023"/>
      <w:bookmarkStart w:id="21"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6675FF09" w14:textId="77777777" w:rsidR="007F6ED4" w:rsidRDefault="00000000">
      <w:pPr>
        <w:pStyle w:val="Bibliography"/>
      </w:pPr>
      <w:bookmarkStart w:id="22" w:name="ref-Perkins-Kirkpatrick2020"/>
      <w:bookmarkEnd w:id="20"/>
      <w:r>
        <w:t xml:space="preserve">2. </w:t>
      </w:r>
      <w:r>
        <w:tab/>
        <w:t xml:space="preserve">Perkins‐Kirkpatrick, S. and Lewis, S.C. (2020) </w:t>
      </w:r>
      <w:hyperlink r:id="rId10">
        <w:r>
          <w:rPr>
            <w:rStyle w:val="Hyperlink"/>
          </w:rPr>
          <w:t>Increasing trends in regional heatwaves</w:t>
        </w:r>
      </w:hyperlink>
      <w:r>
        <w:t xml:space="preserve">. </w:t>
      </w:r>
      <w:r>
        <w:rPr>
          <w:i/>
          <w:iCs/>
        </w:rPr>
        <w:t>Nat. Commun.</w:t>
      </w:r>
      <w:r>
        <w:t xml:space="preserve"> 11, 3357</w:t>
      </w:r>
    </w:p>
    <w:p w14:paraId="57C5EA43" w14:textId="77777777" w:rsidR="007F6ED4" w:rsidRDefault="00000000">
      <w:pPr>
        <w:pStyle w:val="Bibliography"/>
      </w:pPr>
      <w:bookmarkStart w:id="23" w:name="ref-Evans2025"/>
      <w:bookmarkEnd w:id="22"/>
      <w:r>
        <w:t xml:space="preserve">3. </w:t>
      </w:r>
      <w:r>
        <w:tab/>
        <w:t xml:space="preserve">Evans, M.E.K. </w:t>
      </w:r>
      <w:r>
        <w:rPr>
          <w:i/>
          <w:iCs/>
        </w:rPr>
        <w:t>et al.</w:t>
      </w:r>
      <w:r>
        <w:t xml:space="preserve"> (2025) </w:t>
      </w:r>
      <w:hyperlink r:id="rId11">
        <w:r>
          <w:rPr>
            <w:rStyle w:val="Hyperlink"/>
          </w:rPr>
          <w:t>Scaling plant responses to heat: From molecules to the biosphere</w:t>
        </w:r>
      </w:hyperlink>
      <w:r>
        <w:t xml:space="preserve">. </w:t>
      </w:r>
      <w:r>
        <w:rPr>
          <w:i/>
          <w:iCs/>
        </w:rPr>
        <w:t>Science</w:t>
      </w:r>
      <w:r>
        <w:t xml:space="preserve"> 388, 1167–1173</w:t>
      </w:r>
    </w:p>
    <w:p w14:paraId="5EB8FF0E" w14:textId="77777777" w:rsidR="007F6ED4" w:rsidRDefault="00000000">
      <w:pPr>
        <w:pStyle w:val="Bibliography"/>
      </w:pPr>
      <w:bookmarkStart w:id="24" w:name="ref-Margalef-Marrase2020"/>
      <w:bookmarkEnd w:id="23"/>
      <w:r>
        <w:t xml:space="preserve">4. </w:t>
      </w:r>
      <w:r>
        <w:tab/>
        <w:t xml:space="preserve">Margalef-Marrase, J. </w:t>
      </w:r>
      <w:r>
        <w:rPr>
          <w:i/>
          <w:iCs/>
        </w:rPr>
        <w:t>et al.</w:t>
      </w:r>
      <w:r>
        <w:t xml:space="preserve"> (2020) Relationship between heatwave-induced forest die-off and climatic suitability in multiple tree species. </w:t>
      </w:r>
      <w:r>
        <w:rPr>
          <w:i/>
          <w:iCs/>
        </w:rPr>
        <w:t>Glob. Chang. Biol.</w:t>
      </w:r>
      <w:r>
        <w:t xml:space="preserve"> 26, 3134–3146</w:t>
      </w:r>
    </w:p>
    <w:p w14:paraId="7A1D9972" w14:textId="77777777" w:rsidR="007F6ED4" w:rsidRDefault="00000000">
      <w:pPr>
        <w:pStyle w:val="Bibliography"/>
      </w:pPr>
      <w:bookmarkStart w:id="25" w:name="ref-Kazenel2024"/>
      <w:bookmarkEnd w:id="24"/>
      <w:r>
        <w:t xml:space="preserve">5. </w:t>
      </w:r>
      <w:r>
        <w:tab/>
        <w:t xml:space="preserve">Kazenel, M.R. </w:t>
      </w:r>
      <w:r>
        <w:rPr>
          <w:i/>
          <w:iCs/>
        </w:rPr>
        <w:t>et al.</w:t>
      </w:r>
      <w:r>
        <w:t xml:space="preserve"> (2024) Heat and desiccation tolerances predict bee abundance under climate change. </w:t>
      </w:r>
      <w:r>
        <w:rPr>
          <w:i/>
          <w:iCs/>
        </w:rPr>
        <w:t>Nature</w:t>
      </w:r>
      <w:r>
        <w:t xml:space="preserve"> 628, 342–348</w:t>
      </w:r>
    </w:p>
    <w:p w14:paraId="5C9490B1" w14:textId="77777777" w:rsidR="007F6ED4" w:rsidRDefault="00000000">
      <w:pPr>
        <w:pStyle w:val="Bibliography"/>
      </w:pPr>
      <w:bookmarkStart w:id="26" w:name="ref-Zhao2017"/>
      <w:bookmarkEnd w:id="25"/>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4A7FADE4" w14:textId="77777777" w:rsidR="007F6ED4" w:rsidRDefault="00000000">
      <w:pPr>
        <w:pStyle w:val="Bibliography"/>
      </w:pPr>
      <w:bookmarkStart w:id="27" w:name="ref-Tito2018"/>
      <w:bookmarkEnd w:id="26"/>
      <w:r>
        <w:t xml:space="preserve">7. </w:t>
      </w:r>
      <w:r>
        <w:tab/>
        <w:t xml:space="preserve">Tito, R. </w:t>
      </w:r>
      <w:r>
        <w:rPr>
          <w:i/>
          <w:iCs/>
        </w:rPr>
        <w:t>et al.</w:t>
      </w:r>
      <w:r>
        <w:t xml:space="preserve"> (2018) Global climate change increases risk of crop yield losses and food insecurity in the tropical andes. </w:t>
      </w:r>
      <w:r>
        <w:rPr>
          <w:i/>
          <w:iCs/>
        </w:rPr>
        <w:t>Glob. Chang. Biol.</w:t>
      </w:r>
      <w:r>
        <w:t xml:space="preserve"> 24, e592–e602</w:t>
      </w:r>
    </w:p>
    <w:p w14:paraId="1F3EEAA2" w14:textId="77777777" w:rsidR="007F6ED4" w:rsidRDefault="00000000">
      <w:pPr>
        <w:pStyle w:val="Bibliography"/>
      </w:pPr>
      <w:bookmarkStart w:id="28" w:name="ref-Bernacchi2025"/>
      <w:bookmarkEnd w:id="27"/>
      <w:r>
        <w:t xml:space="preserve">8. </w:t>
      </w:r>
      <w:r>
        <w:tab/>
        <w:t xml:space="preserve">Bernacchi, C.J. </w:t>
      </w:r>
      <w:r>
        <w:rPr>
          <w:i/>
          <w:iCs/>
        </w:rPr>
        <w:t>et al.</w:t>
      </w:r>
      <w:r>
        <w:t xml:space="preserve"> (2025) </w:t>
      </w:r>
      <w:hyperlink r:id="rId12">
        <w:r>
          <w:rPr>
            <w:rStyle w:val="Hyperlink"/>
          </w:rPr>
          <w:t>Safeguarding crop photosynthesis in a rapidly warming world</w:t>
        </w:r>
      </w:hyperlink>
      <w:r>
        <w:t xml:space="preserve">. </w:t>
      </w:r>
      <w:r>
        <w:rPr>
          <w:i/>
          <w:iCs/>
        </w:rPr>
        <w:t>Science</w:t>
      </w:r>
      <w:r>
        <w:t xml:space="preserve"> 388, 1153–1160</w:t>
      </w:r>
    </w:p>
    <w:p w14:paraId="4BBC046B" w14:textId="77777777" w:rsidR="007F6ED4" w:rsidRDefault="00000000">
      <w:pPr>
        <w:pStyle w:val="Bibliography"/>
      </w:pPr>
      <w:bookmarkStart w:id="29" w:name="ref-Martinez2023"/>
      <w:bookmarkEnd w:id="28"/>
      <w:r>
        <w:t xml:space="preserve">9. </w:t>
      </w:r>
      <w:r>
        <w:tab/>
        <w:t xml:space="preserve">Martinez, L.D. </w:t>
      </w:r>
      <w:r>
        <w:rPr>
          <w:i/>
          <w:iCs/>
        </w:rPr>
        <w:t>et al.</w:t>
      </w:r>
      <w:r>
        <w:t xml:space="preserve"> (2023) </w:t>
      </w:r>
      <w:hyperlink r:id="rId13">
        <w:r>
          <w:rPr>
            <w:rStyle w:val="Hyperlink"/>
          </w:rPr>
          <w:t>Effect of simulated heat waves on the behaviour of two mirid predators</w:t>
        </w:r>
      </w:hyperlink>
      <w:r>
        <w:t xml:space="preserve">. </w:t>
      </w:r>
      <w:r>
        <w:rPr>
          <w:i/>
          <w:iCs/>
        </w:rPr>
        <w:t>J. Appl. Entomol.</w:t>
      </w:r>
      <w:r>
        <w:t xml:space="preserve"> 147, 486–498</w:t>
      </w:r>
    </w:p>
    <w:p w14:paraId="07026639" w14:textId="77777777" w:rsidR="007F6ED4" w:rsidRDefault="00000000">
      <w:pPr>
        <w:pStyle w:val="Bibliography"/>
      </w:pPr>
      <w:bookmarkStart w:id="30" w:name="ref-Rezende2020"/>
      <w:bookmarkEnd w:id="29"/>
      <w:r>
        <w:t xml:space="preserve">10. </w:t>
      </w:r>
      <w:r>
        <w:tab/>
        <w:t xml:space="preserve">Rezende, E.L. </w:t>
      </w:r>
      <w:r>
        <w:rPr>
          <w:i/>
          <w:iCs/>
        </w:rPr>
        <w:t>et al.</w:t>
      </w:r>
      <w:r>
        <w:t xml:space="preserve"> (2020) </w:t>
      </w:r>
      <w:hyperlink r:id="rId14">
        <w:r>
          <w:rPr>
            <w:rStyle w:val="Hyperlink"/>
          </w:rPr>
          <w:t>Predicting temperature mortality and selection in natural drosophila populations</w:t>
        </w:r>
      </w:hyperlink>
      <w:r>
        <w:t xml:space="preserve">. </w:t>
      </w:r>
      <w:r>
        <w:rPr>
          <w:i/>
          <w:iCs/>
        </w:rPr>
        <w:t>Science</w:t>
      </w:r>
      <w:r>
        <w:t xml:space="preserve"> 369, 1242–1245</w:t>
      </w:r>
    </w:p>
    <w:p w14:paraId="02185B06" w14:textId="77777777" w:rsidR="007F6ED4" w:rsidRDefault="00000000">
      <w:pPr>
        <w:pStyle w:val="Bibliography"/>
      </w:pPr>
      <w:bookmarkStart w:id="31" w:name="ref-Orsted2024"/>
      <w:bookmarkEnd w:id="30"/>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7B689F23" w14:textId="77777777" w:rsidR="007F6ED4" w:rsidRDefault="00000000">
      <w:pPr>
        <w:pStyle w:val="Bibliography"/>
      </w:pPr>
      <w:bookmarkStart w:id="32" w:name="ref-Lopez-Goldar2024"/>
      <w:bookmarkEnd w:id="31"/>
      <w:r>
        <w:t xml:space="preserve">12. </w:t>
      </w:r>
      <w:r>
        <w:tab/>
        <w:t xml:space="preserve">López-Goldar, X. </w:t>
      </w:r>
      <w:r>
        <w:rPr>
          <w:i/>
          <w:iCs/>
        </w:rPr>
        <w:t>et al.</w:t>
      </w:r>
      <w:r>
        <w:t xml:space="preserve"> (2024) </w:t>
      </w:r>
      <w:hyperlink r:id="rId15">
        <w:r>
          <w:rPr>
            <w:rStyle w:val="Hyperlink"/>
          </w:rPr>
          <w:t>Heat waves induce milkweed resistance to a specialist herbivore via increased toxicity and reduced nutrient content</w:t>
        </w:r>
      </w:hyperlink>
      <w:r>
        <w:t xml:space="preserve">. </w:t>
      </w:r>
      <w:r>
        <w:rPr>
          <w:i/>
          <w:iCs/>
        </w:rPr>
        <w:t>Plant Cell Environ.</w:t>
      </w:r>
      <w:r>
        <w:t xml:space="preserve"> 47, 4530–4542</w:t>
      </w:r>
    </w:p>
    <w:p w14:paraId="77ADF720" w14:textId="77777777" w:rsidR="007F6ED4" w:rsidRDefault="00000000">
      <w:pPr>
        <w:pStyle w:val="Bibliography"/>
      </w:pPr>
      <w:bookmarkStart w:id="33" w:name="ref-Arnold2025a"/>
      <w:bookmarkEnd w:id="32"/>
      <w:r>
        <w:t xml:space="preserve">13. </w:t>
      </w:r>
      <w:r>
        <w:tab/>
        <w:t xml:space="preserve">Arnold, P.A. </w:t>
      </w:r>
      <w:r>
        <w:rPr>
          <w:i/>
          <w:iCs/>
        </w:rPr>
        <w:t>et al.</w:t>
      </w:r>
      <w:r>
        <w:t xml:space="preserve"> (2025) </w:t>
      </w:r>
      <w:hyperlink r:id="rId16">
        <w:r>
          <w:rPr>
            <w:rStyle w:val="Hyperlink"/>
          </w:rPr>
          <w:t>A framework for modelling thermal load sensitivity across life</w:t>
        </w:r>
      </w:hyperlink>
      <w:r>
        <w:t xml:space="preserve">. </w:t>
      </w:r>
      <w:r>
        <w:rPr>
          <w:i/>
          <w:iCs/>
        </w:rPr>
        <w:t>Glob. Chang. Biol.</w:t>
      </w:r>
      <w:r>
        <w:t xml:space="preserve"> 31, e70315</w:t>
      </w:r>
    </w:p>
    <w:p w14:paraId="67EE8FAB" w14:textId="77777777" w:rsidR="007F6ED4" w:rsidRDefault="00000000">
      <w:pPr>
        <w:pStyle w:val="Bibliography"/>
      </w:pPr>
      <w:bookmarkStart w:id="34" w:name="ref-Trivedi2022"/>
      <w:bookmarkEnd w:id="33"/>
      <w:r>
        <w:lastRenderedPageBreak/>
        <w:t xml:space="preserve">14.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460A7580" w14:textId="77777777" w:rsidR="007F6ED4" w:rsidRDefault="00000000">
      <w:pPr>
        <w:pStyle w:val="Bibliography"/>
      </w:pPr>
      <w:bookmarkStart w:id="35" w:name="ref-Bimler2024"/>
      <w:bookmarkEnd w:id="34"/>
      <w:r>
        <w:t xml:space="preserve">15. </w:t>
      </w:r>
      <w:r>
        <w:tab/>
        <w:t xml:space="preserve">Bimler, M.D. </w:t>
      </w:r>
      <w:r>
        <w:rPr>
          <w:i/>
          <w:iCs/>
        </w:rPr>
        <w:t>et al.</w:t>
      </w:r>
      <w:r>
        <w:t xml:space="preserve"> (2024) </w:t>
      </w:r>
      <w:hyperlink r:id="rId17">
        <w:r>
          <w:rPr>
            <w:rStyle w:val="Hyperlink"/>
          </w:rPr>
          <w:t>Plant interaction networks reveal the limits of our understanding of diversity maintenance</w:t>
        </w:r>
      </w:hyperlink>
      <w:r>
        <w:t xml:space="preserve">. </w:t>
      </w:r>
      <w:r>
        <w:rPr>
          <w:i/>
          <w:iCs/>
        </w:rPr>
        <w:t>Ecol. Lett.</w:t>
      </w:r>
      <w:r>
        <w:t xml:space="preserve"> 27, e14376</w:t>
      </w:r>
    </w:p>
    <w:p w14:paraId="1A4A9C4C" w14:textId="77777777" w:rsidR="007F6ED4" w:rsidRDefault="00000000">
      <w:pPr>
        <w:pStyle w:val="Bibliography"/>
      </w:pPr>
      <w:bookmarkStart w:id="36" w:name="ref-Chesson2000"/>
      <w:bookmarkEnd w:id="35"/>
      <w:r>
        <w:t xml:space="preserve">16. </w:t>
      </w:r>
      <w:r>
        <w:tab/>
        <w:t xml:space="preserve">Chesson, P. (2000) </w:t>
      </w:r>
      <w:hyperlink r:id="rId18">
        <w:r>
          <w:rPr>
            <w:rStyle w:val="Hyperlink"/>
          </w:rPr>
          <w:t>General theory of competitive coexistence in spatially-varying environments</w:t>
        </w:r>
      </w:hyperlink>
      <w:r>
        <w:t xml:space="preserve">. </w:t>
      </w:r>
      <w:r>
        <w:rPr>
          <w:i/>
          <w:iCs/>
        </w:rPr>
        <w:t>Theor. Popul. Biol.</w:t>
      </w:r>
      <w:r>
        <w:t xml:space="preserve"> 58, 211–237</w:t>
      </w:r>
    </w:p>
    <w:p w14:paraId="3B5ADF8F" w14:textId="77777777" w:rsidR="007F6ED4" w:rsidRDefault="00000000">
      <w:pPr>
        <w:pStyle w:val="Bibliography"/>
      </w:pPr>
      <w:bookmarkStart w:id="37" w:name="ref-Kooijman2010"/>
      <w:bookmarkEnd w:id="36"/>
      <w:r>
        <w:t xml:space="preserve">17. </w:t>
      </w:r>
      <w:r>
        <w:tab/>
        <w:t xml:space="preserve">Kooijman, S.A.L.M. (2010) </w:t>
      </w:r>
      <w:r>
        <w:rPr>
          <w:i/>
          <w:iCs/>
        </w:rPr>
        <w:t>Dynamic energy budget theory for metabolic organisation</w:t>
      </w:r>
      <w:r>
        <w:t>, Cambridge university press</w:t>
      </w:r>
    </w:p>
    <w:p w14:paraId="283F4386" w14:textId="77777777" w:rsidR="007F6ED4" w:rsidRDefault="00000000">
      <w:pPr>
        <w:pStyle w:val="Bibliography"/>
      </w:pPr>
      <w:bookmarkStart w:id="38" w:name="ref-Kearney2009b"/>
      <w:bookmarkEnd w:id="37"/>
      <w:r>
        <w:t xml:space="preserve">18. </w:t>
      </w:r>
      <w:r>
        <w:tab/>
        <w:t xml:space="preserve">Kearney, M. and Porter, W. (2009) Mechanistic niche modelling: Combining physiological and spatial data to predict species’ ranges. </w:t>
      </w:r>
      <w:r>
        <w:rPr>
          <w:i/>
          <w:iCs/>
        </w:rPr>
        <w:t>Ecol. Lett.</w:t>
      </w:r>
      <w:r>
        <w:t xml:space="preserve"> 12, 334–350</w:t>
      </w:r>
    </w:p>
    <w:p w14:paraId="1E0E259A" w14:textId="77777777" w:rsidR="007F6ED4" w:rsidRDefault="00000000">
      <w:pPr>
        <w:pStyle w:val="Bibliography"/>
      </w:pPr>
      <w:bookmarkStart w:id="39" w:name="ref-Kearney2024"/>
      <w:bookmarkEnd w:id="38"/>
      <w:r>
        <w:t xml:space="preserve">19. </w:t>
      </w:r>
      <w:r>
        <w:tab/>
        <w:t xml:space="preserve">Kearney, M.R. and Leigh, A. (2024) </w:t>
      </w:r>
      <w:hyperlink r:id="rId19">
        <w:r>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1FC54815" w14:textId="77777777" w:rsidR="007F6ED4" w:rsidRDefault="00000000">
      <w:pPr>
        <w:pStyle w:val="Bibliography"/>
      </w:pPr>
      <w:bookmarkStart w:id="40" w:name="ref-Briscoe2023"/>
      <w:bookmarkEnd w:id="39"/>
      <w:r>
        <w:t xml:space="preserve">20. </w:t>
      </w:r>
      <w:r>
        <w:tab/>
        <w:t xml:space="preserve">Briscoe, N.J. </w:t>
      </w:r>
      <w:r>
        <w:rPr>
          <w:i/>
          <w:iCs/>
        </w:rPr>
        <w:t>et al.</w:t>
      </w:r>
      <w:r>
        <w:t xml:space="preserve"> (2023) Mechanistic forecasts of species responses to climate change: The promise of biophysical ecology. </w:t>
      </w:r>
      <w:r>
        <w:rPr>
          <w:i/>
          <w:iCs/>
        </w:rPr>
        <w:t>Glob. Chang. Biol.</w:t>
      </w:r>
      <w:r>
        <w:t xml:space="preserve"> 29, 1451–1470</w:t>
      </w:r>
    </w:p>
    <w:p w14:paraId="6E6B1DE0" w14:textId="77777777" w:rsidR="007F6ED4" w:rsidRDefault="00000000">
      <w:pPr>
        <w:pStyle w:val="Bibliography"/>
      </w:pPr>
      <w:bookmarkStart w:id="41" w:name="ref-Rezende2014"/>
      <w:bookmarkEnd w:id="40"/>
      <w:r>
        <w:t xml:space="preserve">21. </w:t>
      </w:r>
      <w:r>
        <w:tab/>
        <w:t xml:space="preserve">Rezende, E.L. </w:t>
      </w:r>
      <w:r>
        <w:rPr>
          <w:i/>
          <w:iCs/>
        </w:rPr>
        <w:t>et al.</w:t>
      </w:r>
      <w:r>
        <w:t xml:space="preserve"> (2014) </w:t>
      </w:r>
      <w:hyperlink r:id="rId20">
        <w:r>
          <w:rPr>
            <w:rStyle w:val="Hyperlink"/>
          </w:rPr>
          <w:t>Tolerance landscapes in thermal ecology</w:t>
        </w:r>
      </w:hyperlink>
      <w:r>
        <w:t xml:space="preserve">. </w:t>
      </w:r>
      <w:r>
        <w:rPr>
          <w:i/>
          <w:iCs/>
        </w:rPr>
        <w:t>Funct. Ecol.</w:t>
      </w:r>
      <w:r>
        <w:t xml:space="preserve"> 28, 799–809</w:t>
      </w:r>
    </w:p>
    <w:p w14:paraId="1E6608D2" w14:textId="77777777" w:rsidR="007F6ED4" w:rsidRDefault="00000000">
      <w:pPr>
        <w:pStyle w:val="Bibliography"/>
      </w:pPr>
      <w:bookmarkStart w:id="42" w:name="ref-Bimler2018"/>
      <w:bookmarkEnd w:id="41"/>
      <w:r>
        <w:t xml:space="preserve">22. </w:t>
      </w:r>
      <w:r>
        <w:tab/>
        <w:t xml:space="preserve">Bimler, M.D. </w:t>
      </w:r>
      <w:r>
        <w:rPr>
          <w:i/>
          <w:iCs/>
        </w:rPr>
        <w:t>et al.</w:t>
      </w:r>
      <w:r>
        <w:t xml:space="preserve"> (2018) </w:t>
      </w:r>
      <w:hyperlink r:id="rId21">
        <w:r>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4B6D3016" w14:textId="77777777" w:rsidR="007F6ED4" w:rsidRDefault="00000000">
      <w:pPr>
        <w:pStyle w:val="Bibliography"/>
      </w:pPr>
      <w:bookmarkStart w:id="43" w:name="ref-Bowler2022"/>
      <w:bookmarkEnd w:id="42"/>
      <w:r>
        <w:t xml:space="preserve">23. </w:t>
      </w:r>
      <w:r>
        <w:tab/>
        <w:t xml:space="preserve">Bowler, C.H. </w:t>
      </w:r>
      <w:r>
        <w:rPr>
          <w:i/>
          <w:iCs/>
        </w:rPr>
        <w:t>et al.</w:t>
      </w:r>
      <w:r>
        <w:t xml:space="preserve"> (2022) </w:t>
      </w:r>
      <w:hyperlink r:id="rId22">
        <w:r>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36DAA6FE" w14:textId="77777777" w:rsidR="007F6ED4" w:rsidRDefault="00000000">
      <w:pPr>
        <w:pStyle w:val="Bibliography"/>
      </w:pPr>
      <w:bookmarkStart w:id="44" w:name="ref-Kearney2017"/>
      <w:bookmarkEnd w:id="43"/>
      <w:r>
        <w:t xml:space="preserve">24. </w:t>
      </w:r>
      <w:r>
        <w:tab/>
        <w:t xml:space="preserve">Kearney, M.R. and Porter, W.P. (2017) </w:t>
      </w:r>
      <w:hyperlink r:id="rId23">
        <w:r>
          <w:rPr>
            <w:rStyle w:val="Hyperlink"/>
          </w:rPr>
          <w:t>NicheMapR – an R package for biophysical modelling: The microclimate model</w:t>
        </w:r>
      </w:hyperlink>
      <w:r>
        <w:t xml:space="preserve">. </w:t>
      </w:r>
      <w:r>
        <w:rPr>
          <w:i/>
          <w:iCs/>
        </w:rPr>
        <w:t>Ecography (Cop.)</w:t>
      </w:r>
      <w:r>
        <w:t xml:space="preserve"> 40, 664–674</w:t>
      </w:r>
    </w:p>
    <w:p w14:paraId="7D45206F" w14:textId="77777777" w:rsidR="007F6ED4" w:rsidRDefault="00000000">
      <w:pPr>
        <w:pStyle w:val="Bibliography"/>
      </w:pPr>
      <w:bookmarkStart w:id="45" w:name="ref-Maclean2019"/>
      <w:bookmarkEnd w:id="44"/>
      <w:r>
        <w:t xml:space="preserve">25. </w:t>
      </w:r>
      <w:r>
        <w:tab/>
        <w:t xml:space="preserve">Maclean, I.M.D. </w:t>
      </w:r>
      <w:r>
        <w:rPr>
          <w:i/>
          <w:iCs/>
        </w:rPr>
        <w:t>et al.</w:t>
      </w:r>
      <w:r>
        <w:t xml:space="preserve"> (2019) </w:t>
      </w:r>
      <w:hyperlink r:id="rId24">
        <w:r>
          <w:rPr>
            <w:rStyle w:val="Hyperlink"/>
          </w:rPr>
          <w:t>Microclima: An R package for modelling meso‐ and microclimate</w:t>
        </w:r>
      </w:hyperlink>
      <w:r>
        <w:t xml:space="preserve">. </w:t>
      </w:r>
      <w:r>
        <w:rPr>
          <w:i/>
          <w:iCs/>
        </w:rPr>
        <w:t>Methods Ecol. Evol.</w:t>
      </w:r>
      <w:r>
        <w:t xml:space="preserve"> 10, 280–290</w:t>
      </w:r>
    </w:p>
    <w:p w14:paraId="5FFA2B13" w14:textId="77777777" w:rsidR="007F6ED4" w:rsidRDefault="00000000">
      <w:pPr>
        <w:pStyle w:val="Bibliography"/>
      </w:pPr>
      <w:bookmarkStart w:id="46" w:name="ref-Kearney2020"/>
      <w:bookmarkEnd w:id="45"/>
      <w:r>
        <w:t xml:space="preserve">26. </w:t>
      </w:r>
      <w:r>
        <w:tab/>
        <w:t xml:space="preserve">Kearney, M.R. </w:t>
      </w:r>
      <w:r>
        <w:rPr>
          <w:i/>
          <w:iCs/>
        </w:rPr>
        <w:t>et al.</w:t>
      </w:r>
      <w:r>
        <w:t xml:space="preserve"> (2020) </w:t>
      </w:r>
      <w:hyperlink r:id="rId25">
        <w:r>
          <w:rPr>
            <w:rStyle w:val="Hyperlink"/>
          </w:rPr>
          <w:t>A method for computing hourly, historical, terrain‐corrected microclimate anywhere on earth</w:t>
        </w:r>
      </w:hyperlink>
      <w:r>
        <w:t xml:space="preserve">. </w:t>
      </w:r>
      <w:r>
        <w:rPr>
          <w:i/>
          <w:iCs/>
        </w:rPr>
        <w:t>Methods Ecol. Evol.</w:t>
      </w:r>
      <w:r>
        <w:t xml:space="preserve"> 11, 38–43</w:t>
      </w:r>
    </w:p>
    <w:p w14:paraId="1B534F32" w14:textId="77777777" w:rsidR="007F6ED4" w:rsidRDefault="00000000">
      <w:pPr>
        <w:pStyle w:val="Bibliography"/>
      </w:pPr>
      <w:bookmarkStart w:id="47" w:name="ref-Maclean2021"/>
      <w:bookmarkEnd w:id="46"/>
      <w:r>
        <w:t xml:space="preserve">27. </w:t>
      </w:r>
      <w:r>
        <w:tab/>
        <w:t xml:space="preserve">Maclean, I.M.D. </w:t>
      </w:r>
      <w:r>
        <w:rPr>
          <w:i/>
          <w:iCs/>
        </w:rPr>
        <w:t>et al.</w:t>
      </w:r>
      <w:r>
        <w:t xml:space="preserve"> (2021) </w:t>
      </w:r>
      <w:hyperlink r:id="rId26">
        <w:r>
          <w:rPr>
            <w:rStyle w:val="Hyperlink"/>
          </w:rPr>
          <w:t>On the measurement of microclimate</w:t>
        </w:r>
      </w:hyperlink>
      <w:r>
        <w:t xml:space="preserve">. </w:t>
      </w:r>
      <w:r>
        <w:rPr>
          <w:i/>
          <w:iCs/>
        </w:rPr>
        <w:t>Methods Ecol. Evol.</w:t>
      </w:r>
      <w:r>
        <w:t xml:space="preserve"> 12, 1397–1410</w:t>
      </w:r>
    </w:p>
    <w:p w14:paraId="6611FC17" w14:textId="77777777" w:rsidR="007F6ED4" w:rsidRDefault="00000000">
      <w:pPr>
        <w:pStyle w:val="Bibliography"/>
      </w:pPr>
      <w:bookmarkStart w:id="48" w:name="ref-Buckley2023"/>
      <w:bookmarkEnd w:id="47"/>
      <w:r>
        <w:t xml:space="preserve">28. </w:t>
      </w:r>
      <w:r>
        <w:tab/>
        <w:t xml:space="preserve">Buckley, L.B. </w:t>
      </w:r>
      <w:r>
        <w:rPr>
          <w:i/>
          <w:iCs/>
        </w:rPr>
        <w:t>et al.</w:t>
      </w:r>
      <w:r>
        <w:t xml:space="preserve"> (2023) </w:t>
      </w:r>
      <w:hyperlink r:id="rId27">
        <w:r>
          <w:rPr>
            <w:rStyle w:val="Hyperlink"/>
          </w:rPr>
          <w:t>TrenchR: An R package for modular and accessible microclimate and biophysical ecology</w:t>
        </w:r>
      </w:hyperlink>
      <w:r>
        <w:t xml:space="preserve">. </w:t>
      </w:r>
      <w:r>
        <w:rPr>
          <w:i/>
          <w:iCs/>
        </w:rPr>
        <w:t>PLOS Clim</w:t>
      </w:r>
      <w:r>
        <w:t xml:space="preserve"> 2, e0000139</w:t>
      </w:r>
    </w:p>
    <w:p w14:paraId="5B00F0C5" w14:textId="77777777" w:rsidR="007F6ED4" w:rsidRDefault="00000000">
      <w:pPr>
        <w:pStyle w:val="Bibliography"/>
      </w:pPr>
      <w:bookmarkStart w:id="49" w:name="ref-Bramer2018"/>
      <w:bookmarkEnd w:id="48"/>
      <w:r>
        <w:t xml:space="preserve">29. </w:t>
      </w:r>
      <w:r>
        <w:tab/>
        <w:t xml:space="preserve">Bramer, I. </w:t>
      </w:r>
      <w:r>
        <w:rPr>
          <w:i/>
          <w:iCs/>
        </w:rPr>
        <w:t>et al.</w:t>
      </w:r>
      <w:r>
        <w:t xml:space="preserve"> (2018) Advances in monitoring and modelling climate at ecologically relevant scales. </w:t>
      </w:r>
      <w:r>
        <w:rPr>
          <w:i/>
          <w:iCs/>
        </w:rPr>
        <w:t>Advances in Ecological Research</w:t>
      </w:r>
      <w:r>
        <w:t xml:space="preserve"> 58, 101–161</w:t>
      </w:r>
    </w:p>
    <w:p w14:paraId="4E219D6B" w14:textId="77777777" w:rsidR="007F6ED4" w:rsidRDefault="00000000">
      <w:pPr>
        <w:pStyle w:val="Bibliography"/>
      </w:pPr>
      <w:bookmarkStart w:id="50" w:name="ref-Levy2016"/>
      <w:bookmarkEnd w:id="49"/>
      <w:r>
        <w:t xml:space="preserve">30. </w:t>
      </w:r>
      <w:r>
        <w:tab/>
        <w:t xml:space="preserve">Levy, O. </w:t>
      </w:r>
      <w:r>
        <w:rPr>
          <w:i/>
          <w:iCs/>
        </w:rPr>
        <w:t>et al.</w:t>
      </w:r>
      <w:r>
        <w:t xml:space="preserve"> (2016) </w:t>
      </w:r>
      <w:hyperlink r:id="rId28">
        <w:r>
          <w:rPr>
            <w:rStyle w:val="Hyperlink"/>
          </w:rPr>
          <w:t>A dynamically downscaled projection of past and future microclimates</w:t>
        </w:r>
      </w:hyperlink>
      <w:r>
        <w:t xml:space="preserve">. </w:t>
      </w:r>
      <w:r>
        <w:rPr>
          <w:i/>
          <w:iCs/>
        </w:rPr>
        <w:t>Ecology</w:t>
      </w:r>
      <w:r>
        <w:t xml:space="preserve"> 97, 1888–1888</w:t>
      </w:r>
    </w:p>
    <w:p w14:paraId="7AA0E244" w14:textId="77777777" w:rsidR="007F6ED4" w:rsidRDefault="00000000">
      <w:pPr>
        <w:pStyle w:val="Bibliography"/>
      </w:pPr>
      <w:bookmarkStart w:id="51" w:name="ref-Choi2019"/>
      <w:bookmarkEnd w:id="50"/>
      <w:r>
        <w:t xml:space="preserve">31. </w:t>
      </w:r>
      <w:r>
        <w:tab/>
        <w:t xml:space="preserve">Choi, F. </w:t>
      </w:r>
      <w:r>
        <w:rPr>
          <w:i/>
          <w:iCs/>
        </w:rPr>
        <w:t>et al.</w:t>
      </w:r>
      <w:r>
        <w:t xml:space="preserve"> (2019) </w:t>
      </w:r>
      <w:hyperlink r:id="rId29">
        <w:r>
          <w:rPr>
            <w:rStyle w:val="Hyperlink"/>
          </w:rPr>
          <w:t>Mapping physiology: Biophysical mechanisms define scales of climate change impacts</w:t>
        </w:r>
      </w:hyperlink>
      <w:r>
        <w:t xml:space="preserve">. </w:t>
      </w:r>
      <w:r>
        <w:rPr>
          <w:i/>
          <w:iCs/>
        </w:rPr>
        <w:t>Conserv. Physiol.</w:t>
      </w:r>
      <w:r>
        <w:t xml:space="preserve"> 7, coz028</w:t>
      </w:r>
    </w:p>
    <w:p w14:paraId="09154716" w14:textId="77777777" w:rsidR="007F6ED4" w:rsidRDefault="00000000">
      <w:pPr>
        <w:pStyle w:val="Bibliography"/>
      </w:pPr>
      <w:bookmarkStart w:id="52" w:name="ref-Lorenz2010"/>
      <w:bookmarkEnd w:id="51"/>
      <w:r>
        <w:t xml:space="preserve">32. </w:t>
      </w:r>
      <w:r>
        <w:tab/>
        <w:t xml:space="preserve">Lorenz, R. </w:t>
      </w:r>
      <w:r>
        <w:rPr>
          <w:i/>
          <w:iCs/>
        </w:rPr>
        <w:t>et al.</w:t>
      </w:r>
      <w:r>
        <w:t xml:space="preserve"> (2010) </w:t>
      </w:r>
      <w:hyperlink r:id="rId30">
        <w:r>
          <w:rPr>
            <w:rStyle w:val="Hyperlink"/>
          </w:rPr>
          <w:t>Persistence of heat waves and its link to soil moisture memory</w:t>
        </w:r>
      </w:hyperlink>
      <w:r>
        <w:t xml:space="preserve">. </w:t>
      </w:r>
      <w:r>
        <w:rPr>
          <w:i/>
          <w:iCs/>
        </w:rPr>
        <w:t>Geophys. Res. Lett.</w:t>
      </w:r>
      <w:r>
        <w:t xml:space="preserve"> 37</w:t>
      </w:r>
    </w:p>
    <w:p w14:paraId="1054DE8D" w14:textId="77777777" w:rsidR="007F6ED4" w:rsidRDefault="00000000">
      <w:pPr>
        <w:pStyle w:val="Bibliography"/>
      </w:pPr>
      <w:bookmarkStart w:id="53" w:name="ref-De_Frenne2024"/>
      <w:bookmarkEnd w:id="52"/>
      <w:r>
        <w:lastRenderedPageBreak/>
        <w:t xml:space="preserve">33. </w:t>
      </w:r>
      <w:r>
        <w:tab/>
        <w:t xml:space="preserve">De Frenne, P. </w:t>
      </w:r>
      <w:r>
        <w:rPr>
          <w:i/>
          <w:iCs/>
        </w:rPr>
        <w:t>et al.</w:t>
      </w:r>
      <w:r>
        <w:t xml:space="preserve"> (2024) Ten practical guidelines for microclimate research in terrestrial ecosystems. </w:t>
      </w:r>
      <w:r>
        <w:rPr>
          <w:i/>
          <w:iCs/>
        </w:rPr>
        <w:t>Methods Ecol. Evol.</w:t>
      </w:r>
      <w:r>
        <w:t xml:space="preserve"> DOI: </w:t>
      </w:r>
      <w:hyperlink r:id="rId31">
        <w:r>
          <w:rPr>
            <w:rStyle w:val="Hyperlink"/>
          </w:rPr>
          <w:t>10.1111/2041-210x.14476</w:t>
        </w:r>
      </w:hyperlink>
    </w:p>
    <w:p w14:paraId="22EA8C9C" w14:textId="77777777" w:rsidR="007F6ED4" w:rsidRDefault="00000000">
      <w:pPr>
        <w:pStyle w:val="Bibliography"/>
      </w:pPr>
      <w:bookmarkStart w:id="54" w:name="ref-Meyer2023"/>
      <w:bookmarkEnd w:id="53"/>
      <w:r>
        <w:t xml:space="preserve">34. </w:t>
      </w:r>
      <w:r>
        <w:tab/>
        <w:t xml:space="preserve">Meyer, A.V. </w:t>
      </w:r>
      <w:r>
        <w:rPr>
          <w:i/>
          <w:iCs/>
        </w:rPr>
        <w:t>et al.</w:t>
      </w:r>
      <w:r>
        <w:t xml:space="preserve"> (2023) </w:t>
      </w:r>
      <w:hyperlink r:id="rId32">
        <w:r>
          <w:rPr>
            <w:rStyle w:val="Hyperlink"/>
          </w:rPr>
          <w:t>A guide and tools for selecting and accessing microclimate data for mechanistic niche modeling</w:t>
        </w:r>
      </w:hyperlink>
      <w:r>
        <w:t xml:space="preserve">. </w:t>
      </w:r>
      <w:r>
        <w:rPr>
          <w:i/>
          <w:iCs/>
        </w:rPr>
        <w:t>Ecosphere</w:t>
      </w:r>
      <w:r>
        <w:t xml:space="preserve"> 14, e4506</w:t>
      </w:r>
    </w:p>
    <w:p w14:paraId="1B20F7CB" w14:textId="77777777" w:rsidR="007F6ED4" w:rsidRDefault="00000000">
      <w:pPr>
        <w:pStyle w:val="Bibliography"/>
      </w:pPr>
      <w:bookmarkStart w:id="55" w:name="ref-Klinges2025"/>
      <w:bookmarkEnd w:id="54"/>
      <w:r>
        <w:t xml:space="preserve">35. </w:t>
      </w:r>
      <w:r>
        <w:tab/>
        <w:t xml:space="preserve">Klinges, D.H. </w:t>
      </w:r>
      <w:r>
        <w:rPr>
          <w:i/>
          <w:iCs/>
        </w:rPr>
        <w:t>et al.</w:t>
      </w:r>
      <w:r>
        <w:t xml:space="preserve"> (2025) Matching climate to biological scales. </w:t>
      </w:r>
      <w:r>
        <w:rPr>
          <w:i/>
          <w:iCs/>
        </w:rPr>
        <w:t>Trends Ecol. Evol.</w:t>
      </w:r>
      <w:r>
        <w:t xml:space="preserve"> in press</w:t>
      </w:r>
    </w:p>
    <w:p w14:paraId="5ACEE649" w14:textId="77777777" w:rsidR="007F6ED4" w:rsidRDefault="00000000">
      <w:pPr>
        <w:pStyle w:val="Bibliography"/>
      </w:pPr>
      <w:bookmarkStart w:id="56" w:name="ref-Drake2018"/>
      <w:bookmarkEnd w:id="55"/>
      <w:r>
        <w:t xml:space="preserve">36. </w:t>
      </w:r>
      <w:r>
        <w:tab/>
        <w:t xml:space="preserve">Drake, J.E. </w:t>
      </w:r>
      <w:r>
        <w:rPr>
          <w:i/>
          <w:iCs/>
        </w:rPr>
        <w:t>et al.</w:t>
      </w:r>
      <w:r>
        <w:t xml:space="preserve"> (2018) </w:t>
      </w:r>
      <w:hyperlink r:id="rId33">
        <w:r>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4E65598F" w14:textId="77777777" w:rsidR="007F6ED4" w:rsidRDefault="00000000">
      <w:pPr>
        <w:pStyle w:val="Bibliography"/>
      </w:pPr>
      <w:bookmarkStart w:id="57" w:name="ref-Holzworth2018"/>
      <w:bookmarkEnd w:id="56"/>
      <w:r>
        <w:t xml:space="preserve">37. </w:t>
      </w:r>
      <w:r>
        <w:tab/>
        <w:t xml:space="preserve">Holzworth, D. </w:t>
      </w:r>
      <w:r>
        <w:rPr>
          <w:i/>
          <w:iCs/>
        </w:rPr>
        <w:t>et al.</w:t>
      </w:r>
      <w:r>
        <w:t xml:space="preserve"> (2018) </w:t>
      </w:r>
      <w:hyperlink r:id="rId34">
        <w:r>
          <w:rPr>
            <w:rStyle w:val="Hyperlink"/>
          </w:rPr>
          <w:t>APSIM next generation: Overcoming challenges in modernising a farming systems model</w:t>
        </w:r>
      </w:hyperlink>
      <w:r>
        <w:t xml:space="preserve">. </w:t>
      </w:r>
      <w:r>
        <w:rPr>
          <w:i/>
          <w:iCs/>
        </w:rPr>
        <w:t>Environ. Model. Softw.</w:t>
      </w:r>
      <w:r>
        <w:t xml:space="preserve"> 103, 43–51</w:t>
      </w:r>
    </w:p>
    <w:p w14:paraId="21299107" w14:textId="77777777" w:rsidR="007F6ED4" w:rsidRDefault="00000000">
      <w:pPr>
        <w:pStyle w:val="Bibliography"/>
      </w:pPr>
      <w:bookmarkStart w:id="58" w:name="ref-Medlyn2011"/>
      <w:bookmarkEnd w:id="57"/>
      <w:r>
        <w:t xml:space="preserve">38. </w:t>
      </w:r>
      <w:r>
        <w:tab/>
        <w:t xml:space="preserve">Medlyn, B.E. </w:t>
      </w:r>
      <w:r>
        <w:rPr>
          <w:i/>
          <w:iCs/>
        </w:rPr>
        <w:t>et al.</w:t>
      </w:r>
      <w:r>
        <w:t xml:space="preserve"> (2011) </w:t>
      </w:r>
      <w:hyperlink r:id="rId35">
        <w:r>
          <w:rPr>
            <w:rStyle w:val="Hyperlink"/>
          </w:rPr>
          <w:t>Reconciling the optimal and empirical approaches to modelling stomatal conductance</w:t>
        </w:r>
      </w:hyperlink>
      <w:r>
        <w:t xml:space="preserve">. </w:t>
      </w:r>
      <w:r>
        <w:rPr>
          <w:i/>
          <w:iCs/>
        </w:rPr>
        <w:t>Glob. Chang. Biol.</w:t>
      </w:r>
      <w:r>
        <w:t xml:space="preserve"> 17, 2134–2144</w:t>
      </w:r>
    </w:p>
    <w:p w14:paraId="52AD775C" w14:textId="77777777" w:rsidR="007F6ED4" w:rsidRDefault="00000000">
      <w:pPr>
        <w:pStyle w:val="Bibliography"/>
      </w:pPr>
      <w:bookmarkStart w:id="59" w:name="ref-Porter1973"/>
      <w:bookmarkEnd w:id="58"/>
      <w:r>
        <w:t xml:space="preserve">39. </w:t>
      </w:r>
      <w:r>
        <w:tab/>
        <w:t xml:space="preserve">Porter, W.P. </w:t>
      </w:r>
      <w:r>
        <w:rPr>
          <w:i/>
          <w:iCs/>
        </w:rPr>
        <w:t>et al.</w:t>
      </w:r>
      <w:r>
        <w:t xml:space="preserve"> (1973) </w:t>
      </w:r>
      <w:hyperlink r:id="rId36">
        <w:r>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63C8D8A4" w14:textId="77777777" w:rsidR="007F6ED4" w:rsidRDefault="00000000">
      <w:pPr>
        <w:pStyle w:val="Bibliography"/>
      </w:pPr>
      <w:bookmarkStart w:id="60" w:name="ref-Porter1969"/>
      <w:bookmarkEnd w:id="59"/>
      <w:r>
        <w:t xml:space="preserve">40. </w:t>
      </w:r>
      <w:r>
        <w:tab/>
        <w:t xml:space="preserve">Porter, W.P. and Gates, D.M. (1969) </w:t>
      </w:r>
      <w:hyperlink r:id="rId37">
        <w:r>
          <w:rPr>
            <w:rStyle w:val="Hyperlink"/>
          </w:rPr>
          <w:t>Thermodynamic equilibria of animals with environment</w:t>
        </w:r>
      </w:hyperlink>
      <w:r>
        <w:t xml:space="preserve">. </w:t>
      </w:r>
      <w:r>
        <w:rPr>
          <w:i/>
          <w:iCs/>
        </w:rPr>
        <w:t>Ecol. Monogr.</w:t>
      </w:r>
      <w:r>
        <w:t xml:space="preserve"> 39, 227–244</w:t>
      </w:r>
    </w:p>
    <w:p w14:paraId="2B2BEBB6" w14:textId="77777777" w:rsidR="007F6ED4" w:rsidRDefault="00000000">
      <w:pPr>
        <w:pStyle w:val="Bibliography"/>
      </w:pPr>
      <w:bookmarkStart w:id="61" w:name="ref-Riddell2017"/>
      <w:bookmarkEnd w:id="60"/>
      <w:r>
        <w:t xml:space="preserve">41. </w:t>
      </w:r>
      <w:r>
        <w:tab/>
        <w:t xml:space="preserve">Riddell, E.A. </w:t>
      </w:r>
      <w:r>
        <w:rPr>
          <w:i/>
          <w:iCs/>
        </w:rPr>
        <w:t>et al.</w:t>
      </w:r>
      <w:r>
        <w:t xml:space="preserve"> (2017) </w:t>
      </w:r>
      <w:hyperlink r:id="rId38">
        <w:r>
          <w:rPr>
            <w:rStyle w:val="Hyperlink"/>
          </w:rPr>
          <w:t>Physical calculations of resistance to water loss improve predictions of species range models</w:t>
        </w:r>
      </w:hyperlink>
      <w:r>
        <w:t xml:space="preserve">. </w:t>
      </w:r>
      <w:r>
        <w:rPr>
          <w:i/>
          <w:iCs/>
        </w:rPr>
        <w:t>Ecol. Monogr.</w:t>
      </w:r>
      <w:r>
        <w:t xml:space="preserve"> 87, 21–33</w:t>
      </w:r>
    </w:p>
    <w:p w14:paraId="4EFE80AE" w14:textId="77777777" w:rsidR="007F6ED4" w:rsidRDefault="00000000">
      <w:pPr>
        <w:pStyle w:val="Bibliography"/>
      </w:pPr>
      <w:bookmarkStart w:id="62" w:name="ref-Duursma2015"/>
      <w:bookmarkEnd w:id="61"/>
      <w:r>
        <w:t xml:space="preserve">42. </w:t>
      </w:r>
      <w:r>
        <w:tab/>
        <w:t xml:space="preserve">Duursma, R.A. (2015) </w:t>
      </w:r>
      <w:hyperlink r:id="rId39">
        <w:r>
          <w:rPr>
            <w:rStyle w:val="Hyperlink"/>
          </w:rPr>
          <w:t>Plantecophys–an R package for analysing and modelling leaf gas exchange data</w:t>
        </w:r>
      </w:hyperlink>
      <w:r>
        <w:t xml:space="preserve">. </w:t>
      </w:r>
      <w:r>
        <w:rPr>
          <w:i/>
          <w:iCs/>
        </w:rPr>
        <w:t>PLoS One</w:t>
      </w:r>
      <w:r>
        <w:t xml:space="preserve"> 10, e0143346</w:t>
      </w:r>
    </w:p>
    <w:p w14:paraId="149B6BB4" w14:textId="77777777" w:rsidR="007F6ED4" w:rsidRDefault="00000000">
      <w:pPr>
        <w:pStyle w:val="Bibliography"/>
      </w:pPr>
      <w:bookmarkStart w:id="63" w:name="ref-Wild2025"/>
      <w:bookmarkEnd w:id="62"/>
      <w:r>
        <w:t xml:space="preserve">43. </w:t>
      </w:r>
      <w:r>
        <w:tab/>
        <w:t xml:space="preserve">Wild, K.H. </w:t>
      </w:r>
      <w:r>
        <w:rPr>
          <w:i/>
          <w:iCs/>
        </w:rPr>
        <w:t>et al.</w:t>
      </w:r>
      <w:r>
        <w:t xml:space="preserve"> (2025) </w:t>
      </w:r>
      <w:hyperlink r:id="rId40">
        <w:r>
          <w:rPr>
            <w:rStyle w:val="Hyperlink"/>
          </w:rPr>
          <w:t>Climate change and the cost-of-living squeeze in desert lizards</w:t>
        </w:r>
      </w:hyperlink>
      <w:r>
        <w:t xml:space="preserve">. </w:t>
      </w:r>
      <w:r>
        <w:rPr>
          <w:i/>
          <w:iCs/>
        </w:rPr>
        <w:t>Science</w:t>
      </w:r>
      <w:r>
        <w:t xml:space="preserve"> 387, 303–309</w:t>
      </w:r>
    </w:p>
    <w:p w14:paraId="297F9FB9" w14:textId="77777777" w:rsidR="007F6ED4" w:rsidRDefault="00000000">
      <w:pPr>
        <w:pStyle w:val="Bibliography"/>
      </w:pPr>
      <w:bookmarkStart w:id="64" w:name="ref-Briscoe2022"/>
      <w:bookmarkEnd w:id="63"/>
      <w:r>
        <w:t xml:space="preserve">44. </w:t>
      </w:r>
      <w:r>
        <w:tab/>
        <w:t xml:space="preserve">Briscoe, N.J. </w:t>
      </w:r>
      <w:r>
        <w:rPr>
          <w:i/>
          <w:iCs/>
        </w:rPr>
        <w:t>et al.</w:t>
      </w:r>
      <w:r>
        <w:t xml:space="preserve"> (2022) </w:t>
      </w:r>
      <w:hyperlink r:id="rId41">
        <w:r>
          <w:rPr>
            <w:rStyle w:val="Hyperlink"/>
          </w:rPr>
          <w:t>Too hot to hunt: Mechanistic predictions of thermal refuge from cat predation risk</w:t>
        </w:r>
      </w:hyperlink>
      <w:r>
        <w:t xml:space="preserve">. </w:t>
      </w:r>
      <w:r>
        <w:rPr>
          <w:i/>
          <w:iCs/>
        </w:rPr>
        <w:t>Conserv. Lett.</w:t>
      </w:r>
      <w:r>
        <w:t xml:space="preserve"> 15, e12906</w:t>
      </w:r>
    </w:p>
    <w:p w14:paraId="201F530D" w14:textId="77777777" w:rsidR="007F6ED4" w:rsidRDefault="00000000">
      <w:pPr>
        <w:pStyle w:val="Bibliography"/>
      </w:pPr>
      <w:bookmarkStart w:id="65" w:name="ref-Duursma2019"/>
      <w:bookmarkEnd w:id="64"/>
      <w:r>
        <w:t xml:space="preserve">45. </w:t>
      </w:r>
      <w:r>
        <w:tab/>
        <w:t xml:space="preserve">Duursma, R.A. </w:t>
      </w:r>
      <w:r>
        <w:rPr>
          <w:i/>
          <w:iCs/>
        </w:rPr>
        <w:t>et al.</w:t>
      </w:r>
      <w:r>
        <w:t xml:space="preserve"> (2019) </w:t>
      </w:r>
      <w:hyperlink r:id="rId42">
        <w:r>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6CC1E134" w14:textId="77777777" w:rsidR="007F6ED4" w:rsidRDefault="00000000">
      <w:pPr>
        <w:pStyle w:val="Bibliography"/>
      </w:pPr>
      <w:bookmarkStart w:id="66" w:name="ref-Loughran2020"/>
      <w:bookmarkEnd w:id="65"/>
      <w:r>
        <w:t xml:space="preserve">46. </w:t>
      </w:r>
      <w:r>
        <w:tab/>
        <w:t xml:space="preserve">Loughran, C.L. and Wolf, B.O. (2020) </w:t>
      </w:r>
      <w:hyperlink r:id="rId43">
        <w:r>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64E96CAB" w14:textId="77777777" w:rsidR="007F6ED4" w:rsidRDefault="00000000">
      <w:pPr>
        <w:pStyle w:val="Bibliography"/>
      </w:pPr>
      <w:bookmarkStart w:id="67" w:name="ref-Sharpe2022"/>
      <w:bookmarkEnd w:id="66"/>
      <w:r>
        <w:t xml:space="preserve">47. </w:t>
      </w:r>
      <w:r>
        <w:tab/>
        <w:t xml:space="preserve">Sharpe, L.L. </w:t>
      </w:r>
      <w:r>
        <w:rPr>
          <w:i/>
          <w:iCs/>
        </w:rPr>
        <w:t>et al.</w:t>
      </w:r>
      <w:r>
        <w:t xml:space="preserve"> (2022) </w:t>
      </w:r>
      <w:hyperlink r:id="rId44">
        <w:r>
          <w:rPr>
            <w:rStyle w:val="Hyperlink"/>
          </w:rPr>
          <w:t>In the hot seat: Behavioral change and old-growth trees underpin an australian songbird’s response to extreme heat</w:t>
        </w:r>
      </w:hyperlink>
      <w:r>
        <w:t xml:space="preserve">. </w:t>
      </w:r>
      <w:r>
        <w:rPr>
          <w:i/>
          <w:iCs/>
        </w:rPr>
        <w:t>Front. Ecol. Evol.</w:t>
      </w:r>
      <w:r>
        <w:t xml:space="preserve"> 10</w:t>
      </w:r>
    </w:p>
    <w:p w14:paraId="69FAC1CC" w14:textId="77777777" w:rsidR="007F6ED4" w:rsidRDefault="00000000">
      <w:pPr>
        <w:pStyle w:val="Bibliography"/>
      </w:pPr>
      <w:bookmarkStart w:id="68" w:name="ref-Posch2024"/>
      <w:bookmarkEnd w:id="67"/>
      <w:r>
        <w:t xml:space="preserve">48. </w:t>
      </w:r>
      <w:r>
        <w:tab/>
        <w:t xml:space="preserve">Posch, B.C. </w:t>
      </w:r>
      <w:r>
        <w:rPr>
          <w:i/>
          <w:iCs/>
        </w:rPr>
        <w:t>et al.</w:t>
      </w:r>
      <w:r>
        <w:t xml:space="preserve"> (2024) </w:t>
      </w:r>
      <w:hyperlink r:id="rId45">
        <w:r>
          <w:rPr>
            <w:rStyle w:val="Hyperlink"/>
          </w:rPr>
          <w:t>Intensive leaf cooling promotes tree survival during a record heatwave</w:t>
        </w:r>
      </w:hyperlink>
      <w:r>
        <w:t xml:space="preserve">. </w:t>
      </w:r>
      <w:r>
        <w:rPr>
          <w:i/>
          <w:iCs/>
        </w:rPr>
        <w:t>Proc. Natl. Acad. Sci. U. S. A.</w:t>
      </w:r>
      <w:r>
        <w:t xml:space="preserve"> 121, e2408583121</w:t>
      </w:r>
    </w:p>
    <w:p w14:paraId="53E99B9B" w14:textId="77777777" w:rsidR="007F6ED4" w:rsidRDefault="00000000">
      <w:pPr>
        <w:pStyle w:val="Bibliography"/>
      </w:pPr>
      <w:bookmarkStart w:id="69" w:name="ref-Orsted2022"/>
      <w:bookmarkEnd w:id="68"/>
      <w:r>
        <w:t xml:space="preserve">49.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440363BF" w14:textId="77777777" w:rsidR="007F6ED4" w:rsidRDefault="00000000">
      <w:pPr>
        <w:pStyle w:val="Bibliography"/>
      </w:pPr>
      <w:bookmarkStart w:id="70" w:name="ref-Jagadish2021"/>
      <w:bookmarkEnd w:id="69"/>
      <w:r>
        <w:t xml:space="preserve">50. </w:t>
      </w:r>
      <w:r>
        <w:tab/>
        <w:t xml:space="preserve">Jagadish, S.V.K. </w:t>
      </w:r>
      <w:r>
        <w:rPr>
          <w:i/>
          <w:iCs/>
        </w:rPr>
        <w:t>et al.</w:t>
      </w:r>
      <w:r>
        <w:t xml:space="preserve"> (2021) </w:t>
      </w:r>
      <w:hyperlink r:id="rId46">
        <w:r>
          <w:rPr>
            <w:rStyle w:val="Hyperlink"/>
          </w:rPr>
          <w:t>Plant heat stress: Concepts directing future research</w:t>
        </w:r>
      </w:hyperlink>
      <w:r>
        <w:t xml:space="preserve">. </w:t>
      </w:r>
      <w:r>
        <w:rPr>
          <w:i/>
          <w:iCs/>
        </w:rPr>
        <w:t>Plant Cell Environ.</w:t>
      </w:r>
      <w:r>
        <w:t xml:space="preserve"> 44, 1992–2005</w:t>
      </w:r>
    </w:p>
    <w:p w14:paraId="51167971" w14:textId="77777777" w:rsidR="007F6ED4" w:rsidRDefault="00000000">
      <w:pPr>
        <w:pStyle w:val="Bibliography"/>
      </w:pPr>
      <w:bookmarkStart w:id="71" w:name="ref-Faber2024"/>
      <w:bookmarkEnd w:id="70"/>
      <w:r>
        <w:t xml:space="preserve">51. </w:t>
      </w:r>
      <w:r>
        <w:tab/>
        <w:t xml:space="preserve">Faber, A.H. </w:t>
      </w:r>
      <w:r>
        <w:rPr>
          <w:i/>
          <w:iCs/>
        </w:rPr>
        <w:t>et al.</w:t>
      </w:r>
      <w:r>
        <w:t xml:space="preserve"> (2024) </w:t>
      </w:r>
      <w:hyperlink r:id="rId47">
        <w:r>
          <w:rPr>
            <w:rStyle w:val="Hyperlink"/>
          </w:rPr>
          <w:t>Application of the thermal death time model in predicting thermal damage accumulation in plants</w:t>
        </w:r>
      </w:hyperlink>
      <w:r>
        <w:t xml:space="preserve">. </w:t>
      </w:r>
      <w:r>
        <w:rPr>
          <w:i/>
          <w:iCs/>
        </w:rPr>
        <w:t>J. Exp. Bot.</w:t>
      </w:r>
      <w:r>
        <w:t xml:space="preserve"> 75, 3467–3482</w:t>
      </w:r>
    </w:p>
    <w:p w14:paraId="663DC2D5" w14:textId="77777777" w:rsidR="007F6ED4" w:rsidRDefault="00000000">
      <w:pPr>
        <w:pStyle w:val="Bibliography"/>
      </w:pPr>
      <w:bookmarkStart w:id="72" w:name="ref-Martinez-De_Leon2024"/>
      <w:bookmarkEnd w:id="71"/>
      <w:r>
        <w:lastRenderedPageBreak/>
        <w:t xml:space="preserve">52. </w:t>
      </w:r>
      <w:r>
        <w:tab/>
        <w:t xml:space="preserve">Martínez-De León, G. and Thakur, M.P. (2024) Ecological debts induced by heat extremes. </w:t>
      </w:r>
      <w:r>
        <w:rPr>
          <w:i/>
          <w:iCs/>
        </w:rPr>
        <w:t>Trends Ecol. Evol.</w:t>
      </w:r>
      <w:r>
        <w:t xml:space="preserve"> 39, 1024–1034</w:t>
      </w:r>
    </w:p>
    <w:p w14:paraId="6A685CF6" w14:textId="77777777" w:rsidR="007F6ED4" w:rsidRDefault="00000000">
      <w:pPr>
        <w:pStyle w:val="Bibliography"/>
      </w:pPr>
      <w:bookmarkStart w:id="73" w:name="ref-Marchin2022"/>
      <w:bookmarkEnd w:id="72"/>
      <w:r>
        <w:t xml:space="preserve">53. </w:t>
      </w:r>
      <w:r>
        <w:tab/>
        <w:t xml:space="preserve">Marchin, R.M. </w:t>
      </w:r>
      <w:r>
        <w:rPr>
          <w:i/>
          <w:iCs/>
        </w:rPr>
        <w:t>et al.</w:t>
      </w:r>
      <w:r>
        <w:t xml:space="preserve"> (2022) </w:t>
      </w:r>
      <w:hyperlink r:id="rId48">
        <w:r>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40C345AC" w14:textId="77777777" w:rsidR="007F6ED4" w:rsidRDefault="00000000">
      <w:pPr>
        <w:pStyle w:val="Bibliography"/>
      </w:pPr>
      <w:bookmarkStart w:id="74" w:name="ref-Youngblood2025"/>
      <w:bookmarkEnd w:id="73"/>
      <w:r>
        <w:t xml:space="preserve">54.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DOI: </w:t>
      </w:r>
      <w:hyperlink r:id="rId49">
        <w:r>
          <w:rPr>
            <w:rStyle w:val="Hyperlink"/>
          </w:rPr>
          <w:t>10.1111/1365-2435.70038</w:t>
        </w:r>
      </w:hyperlink>
    </w:p>
    <w:p w14:paraId="1E54BE70" w14:textId="77777777" w:rsidR="007F6ED4" w:rsidRDefault="00000000">
      <w:pPr>
        <w:pStyle w:val="Bibliography"/>
      </w:pPr>
      <w:bookmarkStart w:id="75" w:name="ref-Mengutay2013"/>
      <w:bookmarkEnd w:id="74"/>
      <w:r>
        <w:t xml:space="preserve">55. </w:t>
      </w:r>
      <w:r>
        <w:tab/>
        <w:t xml:space="preserve">Mengutay, M. </w:t>
      </w:r>
      <w:r>
        <w:rPr>
          <w:i/>
          <w:iCs/>
        </w:rPr>
        <w:t>et al.</w:t>
      </w:r>
      <w:r>
        <w:t xml:space="preserve"> (2013) </w:t>
      </w:r>
      <w:hyperlink r:id="rId50">
        <w:r>
          <w:rPr>
            <w:rStyle w:val="Hyperlink"/>
          </w:rPr>
          <w:t>Adequate magnesium nutrition mitigates adverse effects of heat stress on maize and wheat</w:t>
        </w:r>
      </w:hyperlink>
      <w:r>
        <w:t xml:space="preserve">. </w:t>
      </w:r>
      <w:r>
        <w:rPr>
          <w:i/>
          <w:iCs/>
        </w:rPr>
        <w:t>Plant Soil</w:t>
      </w:r>
      <w:r>
        <w:t xml:space="preserve"> 368, 57–72</w:t>
      </w:r>
    </w:p>
    <w:p w14:paraId="341A9831" w14:textId="77777777" w:rsidR="007F6ED4" w:rsidRDefault="00000000">
      <w:pPr>
        <w:pStyle w:val="Bibliography"/>
      </w:pPr>
      <w:bookmarkStart w:id="76" w:name="ref-Andersen2010"/>
      <w:bookmarkEnd w:id="75"/>
      <w:r>
        <w:t xml:space="preserve">56. </w:t>
      </w:r>
      <w:r>
        <w:tab/>
        <w:t xml:space="preserve">Andersen, L.H. </w:t>
      </w:r>
      <w:r>
        <w:rPr>
          <w:i/>
          <w:iCs/>
        </w:rPr>
        <w:t>et al.</w:t>
      </w:r>
      <w:r>
        <w:t xml:space="preserve"> (2010) </w:t>
      </w:r>
      <w:hyperlink r:id="rId51">
        <w:r>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7B4D70E8" w14:textId="77777777" w:rsidR="007F6ED4" w:rsidRDefault="00000000">
      <w:pPr>
        <w:pStyle w:val="Bibliography"/>
      </w:pPr>
      <w:bookmarkStart w:id="77" w:name="ref-Chouhan2023"/>
      <w:bookmarkEnd w:id="76"/>
      <w:r>
        <w:t xml:space="preserve">57. </w:t>
      </w:r>
      <w:r>
        <w:tab/>
        <w:t xml:space="preserve">Chouhan, D. </w:t>
      </w:r>
      <w:r>
        <w:rPr>
          <w:i/>
          <w:iCs/>
        </w:rPr>
        <w:t>et al.</w:t>
      </w:r>
      <w:r>
        <w:t xml:space="preserve"> (2023) </w:t>
      </w:r>
      <w:hyperlink r:id="rId52">
        <w:r>
          <w:rPr>
            <w:rStyle w:val="Hyperlink"/>
          </w:rPr>
          <w:t>Plant-microbe interaction and their role in mitigation of heat stress</w:t>
        </w:r>
      </w:hyperlink>
      <w:r>
        <w:t xml:space="preserve">. In </w:t>
      </w:r>
      <w:r>
        <w:rPr>
          <w:i/>
          <w:iCs/>
        </w:rPr>
        <w:t>Rhizosphere biology</w:t>
      </w:r>
      <w:r>
        <w:t>, pp. 127–147, Springer Nature Singapore</w:t>
      </w:r>
    </w:p>
    <w:p w14:paraId="64F15DB4" w14:textId="77777777" w:rsidR="007F6ED4" w:rsidRDefault="00000000">
      <w:pPr>
        <w:pStyle w:val="Bibliography"/>
      </w:pPr>
      <w:bookmarkStart w:id="78" w:name="ref-Marquez2007"/>
      <w:bookmarkEnd w:id="77"/>
      <w:r>
        <w:t xml:space="preserve">58.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AA4B21C" w14:textId="77777777" w:rsidR="007F6ED4" w:rsidRDefault="00000000">
      <w:pPr>
        <w:pStyle w:val="Bibliography"/>
      </w:pPr>
      <w:bookmarkStart w:id="79" w:name="ref-Hoang2019"/>
      <w:bookmarkEnd w:id="78"/>
      <w:r>
        <w:t xml:space="preserve">59. </w:t>
      </w:r>
      <w:r>
        <w:tab/>
        <w:t xml:space="preserve">Hoang, K.L. </w:t>
      </w:r>
      <w:r>
        <w:rPr>
          <w:i/>
          <w:iCs/>
        </w:rPr>
        <w:t>et al.</w:t>
      </w:r>
      <w:r>
        <w:t xml:space="preserve"> (2019) </w:t>
      </w:r>
      <w:hyperlink r:id="rId53">
        <w:r>
          <w:rPr>
            <w:rStyle w:val="Hyperlink"/>
          </w:rPr>
          <w:t>The effects of bacillus subtilis on caenorhabditis elegans fitness after heat stress</w:t>
        </w:r>
      </w:hyperlink>
      <w:r>
        <w:t xml:space="preserve">. </w:t>
      </w:r>
      <w:r>
        <w:rPr>
          <w:i/>
          <w:iCs/>
        </w:rPr>
        <w:t>Ecol. Evol.</w:t>
      </w:r>
      <w:r>
        <w:t xml:space="preserve"> 9, 3491–3499</w:t>
      </w:r>
    </w:p>
    <w:p w14:paraId="3B51AF58" w14:textId="77777777" w:rsidR="007F6ED4" w:rsidRDefault="00000000">
      <w:pPr>
        <w:pStyle w:val="Bibliography"/>
      </w:pPr>
      <w:bookmarkStart w:id="80" w:name="ref-Jeffrey2001"/>
      <w:bookmarkEnd w:id="79"/>
      <w:r>
        <w:t xml:space="preserve">60. </w:t>
      </w:r>
      <w:r>
        <w:tab/>
        <w:t xml:space="preserve">Jeffrey, S.J. </w:t>
      </w:r>
      <w:r>
        <w:rPr>
          <w:i/>
          <w:iCs/>
        </w:rPr>
        <w:t>et al.</w:t>
      </w:r>
      <w:r>
        <w:t xml:space="preserve"> (2001) </w:t>
      </w:r>
      <w:hyperlink r:id="rId54">
        <w:r>
          <w:rPr>
            <w:rStyle w:val="Hyperlink"/>
          </w:rPr>
          <w:t>Using spatial interpolation to construct a comprehensive archive of australian climate data</w:t>
        </w:r>
      </w:hyperlink>
      <w:r>
        <w:t xml:space="preserve">. </w:t>
      </w:r>
      <w:r>
        <w:rPr>
          <w:i/>
          <w:iCs/>
        </w:rPr>
        <w:t>Environ. Model. Softw.</w:t>
      </w:r>
      <w:r>
        <w:t xml:space="preserve"> 16, 309–330</w:t>
      </w:r>
    </w:p>
    <w:p w14:paraId="47C08E46" w14:textId="77777777" w:rsidR="007F6ED4" w:rsidRDefault="00000000">
      <w:pPr>
        <w:pStyle w:val="Bibliography"/>
      </w:pPr>
      <w:bookmarkStart w:id="81" w:name="ref-Kearney2020a"/>
      <w:bookmarkEnd w:id="80"/>
      <w:r>
        <w:t xml:space="preserve">61. </w:t>
      </w:r>
      <w:r>
        <w:tab/>
        <w:t xml:space="preserve">Kearney, M.R. and Porter, W.P. (2020) </w:t>
      </w:r>
      <w:hyperlink r:id="rId55">
        <w:r>
          <w:rPr>
            <w:rStyle w:val="Hyperlink"/>
          </w:rPr>
          <w:t>NicheMapR – an R package for biophysical modelling: The ectotherm and dynamic energy budget models</w:t>
        </w:r>
      </w:hyperlink>
      <w:r>
        <w:t xml:space="preserve">. </w:t>
      </w:r>
      <w:r>
        <w:rPr>
          <w:i/>
          <w:iCs/>
        </w:rPr>
        <w:t>Ecography (Cop.)</w:t>
      </w:r>
      <w:r>
        <w:t xml:space="preserve"> 43, 85–96</w:t>
      </w:r>
    </w:p>
    <w:p w14:paraId="411EDBF6" w14:textId="77777777" w:rsidR="007F6ED4" w:rsidRDefault="00000000">
      <w:pPr>
        <w:pStyle w:val="Bibliography"/>
      </w:pPr>
      <w:bookmarkStart w:id="82" w:name="ref-Nisbet2000"/>
      <w:bookmarkEnd w:id="81"/>
      <w:r>
        <w:t xml:space="preserve">62. </w:t>
      </w:r>
      <w:r>
        <w:tab/>
        <w:t xml:space="preserve">Nisbet, R. </w:t>
      </w:r>
      <w:r>
        <w:rPr>
          <w:i/>
          <w:iCs/>
        </w:rPr>
        <w:t>et al.</w:t>
      </w:r>
      <w:r>
        <w:t xml:space="preserve"> (2000) </w:t>
      </w:r>
      <w:hyperlink r:id="rId56">
        <w:r>
          <w:rPr>
            <w:rStyle w:val="Hyperlink"/>
          </w:rPr>
          <w:t>From molecules to ecosystems through dynamic energy budget models</w:t>
        </w:r>
      </w:hyperlink>
      <w:r>
        <w:t xml:space="preserve">. </w:t>
      </w:r>
      <w:r>
        <w:rPr>
          <w:i/>
          <w:iCs/>
        </w:rPr>
        <w:t>Journal of Animal Ecology</w:t>
      </w:r>
      <w:r>
        <w:t xml:space="preserve"> 69, 913–926</w:t>
      </w:r>
    </w:p>
    <w:p w14:paraId="57E93F9D" w14:textId="77777777" w:rsidR="007F6ED4" w:rsidRDefault="00000000">
      <w:pPr>
        <w:pStyle w:val="Bibliography"/>
      </w:pPr>
      <w:bookmarkStart w:id="83" w:name="ref-Jager2020"/>
      <w:bookmarkEnd w:id="82"/>
      <w:r>
        <w:t xml:space="preserve">63. </w:t>
      </w:r>
      <w:r>
        <w:tab/>
        <w:t xml:space="preserve">Jager, T. (2020) </w:t>
      </w:r>
      <w:hyperlink r:id="rId57">
        <w:r>
          <w:rPr>
            <w:rStyle w:val="Hyperlink"/>
          </w:rPr>
          <w:t>Revisiting simplified DEBtox models for analysing ecotoxicity data</w:t>
        </w:r>
      </w:hyperlink>
      <w:r>
        <w:t xml:space="preserve">. </w:t>
      </w:r>
      <w:r>
        <w:rPr>
          <w:i/>
          <w:iCs/>
        </w:rPr>
        <w:t>Ecol. Modell.</w:t>
      </w:r>
      <w:r>
        <w:t xml:space="preserve"> 416, 108904</w:t>
      </w:r>
    </w:p>
    <w:p w14:paraId="2A3A3C4F" w14:textId="77777777" w:rsidR="007F6ED4" w:rsidRDefault="00000000">
      <w:pPr>
        <w:pStyle w:val="Bibliography"/>
      </w:pPr>
      <w:bookmarkStart w:id="84" w:name="ref-Kearney2013"/>
      <w:bookmarkEnd w:id="83"/>
      <w:r>
        <w:t xml:space="preserve">64.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1728671D" w14:textId="77777777" w:rsidR="007F6ED4" w:rsidRDefault="00000000">
      <w:pPr>
        <w:pStyle w:val="Bibliography"/>
      </w:pPr>
      <w:bookmarkStart w:id="85" w:name="ref-Kearney2010"/>
      <w:bookmarkEnd w:id="84"/>
      <w:r>
        <w:t xml:space="preserve">65. </w:t>
      </w:r>
      <w:r>
        <w:tab/>
        <w:t xml:space="preserve">Kearney, M. </w:t>
      </w:r>
      <w:r>
        <w:rPr>
          <w:i/>
          <w:iCs/>
        </w:rPr>
        <w:t>et al.</w:t>
      </w:r>
      <w:r>
        <w:t xml:space="preserve"> (2010) </w:t>
      </w:r>
      <w:hyperlink r:id="rId58">
        <w:r>
          <w:rPr>
            <w:rStyle w:val="Hyperlink"/>
          </w:rPr>
          <w:t>Modelling the ecological niche from functional traits</w:t>
        </w:r>
      </w:hyperlink>
      <w:r>
        <w:t xml:space="preserve">. </w:t>
      </w:r>
      <w:r>
        <w:rPr>
          <w:i/>
          <w:iCs/>
        </w:rPr>
        <w:t>Philos. Trans. R. Soc. Lond. B Biol. Sci.</w:t>
      </w:r>
      <w:r>
        <w:t xml:space="preserve"> 365, 3469–3483</w:t>
      </w:r>
    </w:p>
    <w:p w14:paraId="040870CC" w14:textId="77777777" w:rsidR="007F6ED4" w:rsidRDefault="00000000">
      <w:pPr>
        <w:pStyle w:val="Bibliography"/>
      </w:pPr>
      <w:bookmarkStart w:id="86" w:name="ref-Marques2018"/>
      <w:bookmarkEnd w:id="85"/>
      <w:r>
        <w:t xml:space="preserve">66. </w:t>
      </w:r>
      <w:r>
        <w:tab/>
        <w:t xml:space="preserve">Marques, G.M. </w:t>
      </w:r>
      <w:r>
        <w:rPr>
          <w:i/>
          <w:iCs/>
        </w:rPr>
        <w:t>et al.</w:t>
      </w:r>
      <w:r>
        <w:t xml:space="preserve"> (2018) </w:t>
      </w:r>
      <w:hyperlink r:id="rId59">
        <w:r>
          <w:rPr>
            <w:rStyle w:val="Hyperlink"/>
          </w:rPr>
          <w:t>The AmP project: Comparing species on the basis of dynamic energy budget parameters</w:t>
        </w:r>
      </w:hyperlink>
      <w:r>
        <w:t xml:space="preserve">. </w:t>
      </w:r>
      <w:r>
        <w:rPr>
          <w:i/>
          <w:iCs/>
        </w:rPr>
        <w:t>PLoS Comput. Biol.</w:t>
      </w:r>
      <w:r>
        <w:t xml:space="preserve"> 14, e1006100</w:t>
      </w:r>
    </w:p>
    <w:p w14:paraId="52DBEA7F" w14:textId="77777777" w:rsidR="007F6ED4" w:rsidRDefault="00000000">
      <w:pPr>
        <w:pStyle w:val="Bibliography"/>
      </w:pPr>
      <w:bookmarkStart w:id="87" w:name="ref-Kooijman2021"/>
      <w:bookmarkEnd w:id="86"/>
      <w:r>
        <w:t xml:space="preserve">67. </w:t>
      </w:r>
      <w:r>
        <w:tab/>
        <w:t xml:space="preserve">Kooijman, S.A.L.M. </w:t>
      </w:r>
      <w:r>
        <w:rPr>
          <w:i/>
          <w:iCs/>
        </w:rPr>
        <w:t>et al.</w:t>
      </w:r>
      <w:r>
        <w:t xml:space="preserve"> (2021) </w:t>
      </w:r>
      <w:hyperlink r:id="rId60">
        <w:r>
          <w:rPr>
            <w:rStyle w:val="Hyperlink"/>
          </w:rPr>
          <w:t>Multidimensional scaling for animal traits in the context of dynamic energy budget theory</w:t>
        </w:r>
      </w:hyperlink>
      <w:r>
        <w:t xml:space="preserve">. </w:t>
      </w:r>
      <w:r>
        <w:rPr>
          <w:i/>
          <w:iCs/>
        </w:rPr>
        <w:t>Conserv. Physiol.</w:t>
      </w:r>
      <w:r>
        <w:t xml:space="preserve"> 9, coab086</w:t>
      </w:r>
    </w:p>
    <w:p w14:paraId="59BFE04E" w14:textId="77777777" w:rsidR="007F6ED4" w:rsidRDefault="00000000">
      <w:pPr>
        <w:pStyle w:val="Bibliography"/>
      </w:pPr>
      <w:bookmarkStart w:id="88" w:name="ref-Bruggeman2009"/>
      <w:bookmarkEnd w:id="87"/>
      <w:r>
        <w:t xml:space="preserve">68. </w:t>
      </w:r>
      <w:r>
        <w:tab/>
        <w:t xml:space="preserve">Bruggeman, J. </w:t>
      </w:r>
      <w:r>
        <w:rPr>
          <w:i/>
          <w:iCs/>
        </w:rPr>
        <w:t>et al.</w:t>
      </w:r>
      <w:r>
        <w:t xml:space="preserve"> (2009) </w:t>
      </w:r>
      <w:hyperlink r:id="rId61">
        <w:r>
          <w:rPr>
            <w:rStyle w:val="Hyperlink"/>
          </w:rPr>
          <w:t>PhyloPars: Estimation of missing parameter values using phylogeny</w:t>
        </w:r>
      </w:hyperlink>
      <w:r>
        <w:t xml:space="preserve">. </w:t>
      </w:r>
      <w:r>
        <w:rPr>
          <w:i/>
          <w:iCs/>
        </w:rPr>
        <w:t>Nucleic Acids Research</w:t>
      </w:r>
      <w:r>
        <w:t xml:space="preserve"> 37, W179–W184</w:t>
      </w:r>
    </w:p>
    <w:p w14:paraId="310CE5D5" w14:textId="77777777" w:rsidR="007F6ED4" w:rsidRDefault="00000000">
      <w:pPr>
        <w:pStyle w:val="Bibliography"/>
      </w:pPr>
      <w:bookmarkStart w:id="89" w:name="ref-Bonan2019"/>
      <w:bookmarkEnd w:id="88"/>
      <w:r>
        <w:t xml:space="preserve">69. </w:t>
      </w:r>
      <w:r>
        <w:tab/>
        <w:t xml:space="preserve">Bonan, G. (2019) </w:t>
      </w:r>
      <w:r>
        <w:rPr>
          <w:i/>
          <w:iCs/>
        </w:rPr>
        <w:t>Climate change and terrestrial ecosystem modeling</w:t>
      </w:r>
      <w:r>
        <w:t>, Cambridge University Press</w:t>
      </w:r>
    </w:p>
    <w:p w14:paraId="56D9D985" w14:textId="77777777" w:rsidR="007F6ED4" w:rsidRDefault="00000000">
      <w:pPr>
        <w:pStyle w:val="Bibliography"/>
      </w:pPr>
      <w:bookmarkStart w:id="90" w:name="ref-Kumarathunge2019"/>
      <w:bookmarkEnd w:id="89"/>
      <w:r>
        <w:t xml:space="preserve">70. </w:t>
      </w:r>
      <w:r>
        <w:tab/>
        <w:t xml:space="preserve">Kumarathunge, D.P. </w:t>
      </w:r>
      <w:r>
        <w:rPr>
          <w:i/>
          <w:iCs/>
        </w:rPr>
        <w:t>et al.</w:t>
      </w:r>
      <w:r>
        <w:t xml:space="preserve"> (2019) </w:t>
      </w:r>
      <w:hyperlink r:id="rId62">
        <w:r>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7E7AA58B" w14:textId="77777777" w:rsidR="007F6ED4" w:rsidRDefault="00000000">
      <w:pPr>
        <w:pStyle w:val="Bibliography"/>
      </w:pPr>
      <w:bookmarkStart w:id="91" w:name="ref-De_Kauwe2020"/>
      <w:bookmarkEnd w:id="90"/>
      <w:r>
        <w:lastRenderedPageBreak/>
        <w:t xml:space="preserve">71. </w:t>
      </w:r>
      <w:r>
        <w:tab/>
        <w:t xml:space="preserve">De Kauwe, M.G. </w:t>
      </w:r>
      <w:r>
        <w:rPr>
          <w:i/>
          <w:iCs/>
        </w:rPr>
        <w:t>et al.</w:t>
      </w:r>
      <w:r>
        <w:t xml:space="preserve"> (2020) </w:t>
      </w:r>
      <w:hyperlink r:id="rId63">
        <w:r>
          <w:rPr>
            <w:rStyle w:val="Hyperlink"/>
          </w:rPr>
          <w:t>Identifying areas at risk of drought-induced tree mortality across south-eastern australia</w:t>
        </w:r>
      </w:hyperlink>
      <w:r>
        <w:t xml:space="preserve">. </w:t>
      </w:r>
      <w:r>
        <w:rPr>
          <w:i/>
          <w:iCs/>
        </w:rPr>
        <w:t>Glob. Chang. Biol.</w:t>
      </w:r>
      <w:r>
        <w:t xml:space="preserve"> 26, 5716–5733</w:t>
      </w:r>
    </w:p>
    <w:p w14:paraId="422DCAB8" w14:textId="77777777" w:rsidR="007F6ED4" w:rsidRDefault="00000000">
      <w:pPr>
        <w:pStyle w:val="Bibliography"/>
      </w:pPr>
      <w:bookmarkStart w:id="92" w:name="ref-Bimler2023"/>
      <w:bookmarkEnd w:id="91"/>
      <w:r>
        <w:t xml:space="preserve">72. </w:t>
      </w:r>
      <w:r>
        <w:tab/>
        <w:t xml:space="preserve">Bimler, M.D. </w:t>
      </w:r>
      <w:r>
        <w:rPr>
          <w:i/>
          <w:iCs/>
        </w:rPr>
        <w:t>et al.</w:t>
      </w:r>
      <w:r>
        <w:t xml:space="preserve"> (2023) </w:t>
      </w:r>
      <w:hyperlink r:id="rId64">
        <w:r>
          <w:rPr>
            <w:rStyle w:val="Hyperlink"/>
          </w:rPr>
          <w:t>Estimating interaction strengths for diverse horizontal systems using performance data</w:t>
        </w:r>
      </w:hyperlink>
      <w:r>
        <w:t xml:space="preserve">. </w:t>
      </w:r>
      <w:r>
        <w:rPr>
          <w:i/>
          <w:iCs/>
        </w:rPr>
        <w:t>Methods Ecol. Evol.</w:t>
      </w:r>
      <w:r>
        <w:t xml:space="preserve"> 14, 968–980</w:t>
      </w:r>
    </w:p>
    <w:p w14:paraId="71C6CD08" w14:textId="77777777" w:rsidR="007F6ED4" w:rsidRDefault="00000000">
      <w:pPr>
        <w:pStyle w:val="Bibliography"/>
      </w:pPr>
      <w:bookmarkStart w:id="93" w:name="ref-Kraft2015"/>
      <w:bookmarkEnd w:id="92"/>
      <w:r>
        <w:t xml:space="preserve">73. </w:t>
      </w:r>
      <w:r>
        <w:tab/>
        <w:t xml:space="preserve">Kraft, N.J.B. </w:t>
      </w:r>
      <w:r>
        <w:rPr>
          <w:i/>
          <w:iCs/>
        </w:rPr>
        <w:t>et al.</w:t>
      </w:r>
      <w:r>
        <w:t xml:space="preserve"> (2015) </w:t>
      </w:r>
      <w:hyperlink r:id="rId65">
        <w:r>
          <w:rPr>
            <w:rStyle w:val="Hyperlink"/>
          </w:rPr>
          <w:t>Plant functional traits and the multidimensional nature of species coexistence</w:t>
        </w:r>
      </w:hyperlink>
      <w:r>
        <w:t xml:space="preserve">. </w:t>
      </w:r>
      <w:r>
        <w:rPr>
          <w:i/>
          <w:iCs/>
        </w:rPr>
        <w:t>Proc. Natl. Acad. Sci. U. S. A.</w:t>
      </w:r>
      <w:r>
        <w:t xml:space="preserve"> 112, 797–802</w:t>
      </w:r>
    </w:p>
    <w:p w14:paraId="72B4A417" w14:textId="77777777" w:rsidR="007F6ED4" w:rsidRDefault="00000000">
      <w:pPr>
        <w:pStyle w:val="Bibliography"/>
      </w:pPr>
      <w:bookmarkStart w:id="94" w:name="ref-Buche2024"/>
      <w:bookmarkEnd w:id="93"/>
      <w:r>
        <w:t xml:space="preserve">74. </w:t>
      </w:r>
      <w:r>
        <w:tab/>
        <w:t xml:space="preserve">Buche, L. </w:t>
      </w:r>
      <w:r>
        <w:rPr>
          <w:i/>
          <w:iCs/>
        </w:rPr>
        <w:t>et al.</w:t>
      </w:r>
      <w:r>
        <w:t xml:space="preserve"> (2024) </w:t>
      </w:r>
      <w:hyperlink r:id="rId66">
        <w:r>
          <w:rPr>
            <w:rStyle w:val="Hyperlink"/>
          </w:rPr>
          <w:t>Multitrophic higher-order interactions modulate species persistence</w:t>
        </w:r>
      </w:hyperlink>
      <w:r>
        <w:t xml:space="preserve">. </w:t>
      </w:r>
      <w:r>
        <w:rPr>
          <w:i/>
          <w:iCs/>
        </w:rPr>
        <w:t>Am. Nat.</w:t>
      </w:r>
      <w:r>
        <w:t xml:space="preserve"> 203, 458–472</w:t>
      </w:r>
    </w:p>
    <w:p w14:paraId="1707EDAF" w14:textId="77777777" w:rsidR="007F6ED4" w:rsidRDefault="00000000">
      <w:pPr>
        <w:pStyle w:val="Bibliography"/>
      </w:pPr>
      <w:bookmarkStart w:id="95" w:name="ref-Buche2025"/>
      <w:bookmarkEnd w:id="94"/>
      <w:r>
        <w:t xml:space="preserve">75. </w:t>
      </w:r>
      <w:r>
        <w:tab/>
        <w:t xml:space="preserve">Buche, L. </w:t>
      </w:r>
      <w:r>
        <w:rPr>
          <w:i/>
          <w:iCs/>
        </w:rPr>
        <w:t>et al.</w:t>
      </w:r>
      <w:r>
        <w:t xml:space="preserve"> (2025) </w:t>
      </w:r>
      <w:hyperlink r:id="rId67">
        <w:r>
          <w:rPr>
            <w:rStyle w:val="Hyperlink"/>
          </w:rPr>
          <w:t>A continuum from positive to negative interactions drives plant species’ performance in a diverse community</w:t>
        </w:r>
      </w:hyperlink>
      <w:r>
        <w:t xml:space="preserve">. </w:t>
      </w:r>
      <w:r>
        <w:rPr>
          <w:i/>
          <w:iCs/>
        </w:rPr>
        <w:t>Ecol. Lett.</w:t>
      </w:r>
      <w:r>
        <w:t xml:space="preserve"> 28, e70059</w:t>
      </w:r>
    </w:p>
    <w:p w14:paraId="263618A2" w14:textId="77777777" w:rsidR="007F6ED4" w:rsidRDefault="00000000">
      <w:pPr>
        <w:pStyle w:val="Bibliography"/>
      </w:pPr>
      <w:bookmarkStart w:id="96" w:name="ref-Ricker1954a"/>
      <w:bookmarkEnd w:id="95"/>
      <w:r>
        <w:t xml:space="preserve">76. </w:t>
      </w:r>
      <w:r>
        <w:tab/>
        <w:t xml:space="preserve">Ricker, W.E. (1954) </w:t>
      </w:r>
      <w:hyperlink r:id="rId68">
        <w:r>
          <w:rPr>
            <w:rStyle w:val="Hyperlink"/>
          </w:rPr>
          <w:t>Stock and recruitment</w:t>
        </w:r>
      </w:hyperlink>
      <w:r>
        <w:t xml:space="preserve">. </w:t>
      </w:r>
      <w:r>
        <w:rPr>
          <w:i/>
          <w:iCs/>
        </w:rPr>
        <w:t>J. Fish. Res. Board Can.</w:t>
      </w:r>
      <w:r>
        <w:t xml:space="preserve"> 11, 559–623</w:t>
      </w:r>
    </w:p>
    <w:p w14:paraId="045BD253" w14:textId="77777777" w:rsidR="007F6ED4" w:rsidRDefault="00000000">
      <w:pPr>
        <w:pStyle w:val="Bibliography"/>
      </w:pPr>
      <w:bookmarkStart w:id="97" w:name="ref-Beverton2012"/>
      <w:bookmarkEnd w:id="96"/>
      <w:r>
        <w:t xml:space="preserve">77. </w:t>
      </w:r>
      <w:r>
        <w:tab/>
        <w:t xml:space="preserve">Beverton, R.J.H. and Holt, S. (2012) </w:t>
      </w:r>
      <w:hyperlink r:id="rId69">
        <w:r>
          <w:rPr>
            <w:rStyle w:val="Hyperlink"/>
            <w:i/>
            <w:iCs/>
          </w:rPr>
          <w:t>On the dynamics of exploited fish populations</w:t>
        </w:r>
      </w:hyperlink>
      <w:r>
        <w:t>, Springer</w:t>
      </w:r>
    </w:p>
    <w:p w14:paraId="51A07AF7" w14:textId="77777777" w:rsidR="007F6ED4" w:rsidRDefault="00000000">
      <w:pPr>
        <w:pStyle w:val="Bibliography"/>
      </w:pPr>
      <w:bookmarkStart w:id="98" w:name="ref-Levine2009"/>
      <w:bookmarkEnd w:id="97"/>
      <w:r>
        <w:t xml:space="preserve">78. </w:t>
      </w:r>
      <w:r>
        <w:tab/>
        <w:t xml:space="preserve">Levine, J.M. and HilleRisLambers, J. (2009) </w:t>
      </w:r>
      <w:hyperlink r:id="rId70">
        <w:r>
          <w:rPr>
            <w:rStyle w:val="Hyperlink"/>
          </w:rPr>
          <w:t>The importance of niches for the maintenance of species diversity</w:t>
        </w:r>
      </w:hyperlink>
      <w:r>
        <w:t xml:space="preserve">. </w:t>
      </w:r>
      <w:r>
        <w:rPr>
          <w:i/>
          <w:iCs/>
        </w:rPr>
        <w:t>Nature</w:t>
      </w:r>
      <w:r>
        <w:t xml:space="preserve"> 461, 254–257</w:t>
      </w:r>
    </w:p>
    <w:p w14:paraId="149A3425" w14:textId="77777777" w:rsidR="007F6ED4" w:rsidRDefault="00000000">
      <w:pPr>
        <w:pStyle w:val="Bibliography"/>
      </w:pPr>
      <w:bookmarkStart w:id="99" w:name="ref-Wainwright2019"/>
      <w:bookmarkEnd w:id="98"/>
      <w:r>
        <w:t xml:space="preserve">79. </w:t>
      </w:r>
      <w:r>
        <w:tab/>
        <w:t xml:space="preserve">Wainwright, C.E. </w:t>
      </w:r>
      <w:r>
        <w:rPr>
          <w:i/>
          <w:iCs/>
        </w:rPr>
        <w:t>et al.</w:t>
      </w:r>
      <w:r>
        <w:t xml:space="preserve"> (2019) </w:t>
      </w:r>
      <w:hyperlink r:id="rId71">
        <w:r>
          <w:rPr>
            <w:rStyle w:val="Hyperlink"/>
          </w:rPr>
          <w:t>Distinct responses of niche and fitness differences to water availability underlie variable coexistence outcomes in semi‐arid annual plant communities</w:t>
        </w:r>
      </w:hyperlink>
      <w:r>
        <w:t xml:space="preserve">. </w:t>
      </w:r>
      <w:r>
        <w:rPr>
          <w:i/>
          <w:iCs/>
        </w:rPr>
        <w:t>J. Ecol.</w:t>
      </w:r>
      <w:r>
        <w:t xml:space="preserve"> 107, 293–306</w:t>
      </w:r>
    </w:p>
    <w:p w14:paraId="7ACF1DD2" w14:textId="77777777" w:rsidR="007F6ED4" w:rsidRDefault="00000000">
      <w:pPr>
        <w:pStyle w:val="Bibliography"/>
      </w:pPr>
      <w:bookmarkStart w:id="100" w:name="ref-Mayfield2017"/>
      <w:bookmarkEnd w:id="99"/>
      <w:r>
        <w:t xml:space="preserve">80. </w:t>
      </w:r>
      <w:r>
        <w:tab/>
        <w:t xml:space="preserve">Mayfield, M. and Stouffer, D.B. (2017) </w:t>
      </w:r>
      <w:hyperlink r:id="rId72">
        <w:r>
          <w:rPr>
            <w:rStyle w:val="Hyperlink"/>
          </w:rPr>
          <w:t>Higher-order interactions capture unexplained complexity in diverse communities</w:t>
        </w:r>
      </w:hyperlink>
      <w:r>
        <w:t xml:space="preserve">. </w:t>
      </w:r>
      <w:r>
        <w:rPr>
          <w:i/>
          <w:iCs/>
        </w:rPr>
        <w:t>Nat. Ecol. Evol.</w:t>
      </w:r>
      <w:r>
        <w:t xml:space="preserve"> 1, 0062</w:t>
      </w:r>
    </w:p>
    <w:p w14:paraId="76B7EBD6" w14:textId="77777777" w:rsidR="007F6ED4" w:rsidRDefault="00000000">
      <w:pPr>
        <w:pStyle w:val="Bibliography"/>
      </w:pPr>
      <w:bookmarkStart w:id="101" w:name="ref-Martyn2021"/>
      <w:bookmarkEnd w:id="100"/>
      <w:r>
        <w:t xml:space="preserve">81. </w:t>
      </w:r>
      <w:r>
        <w:tab/>
        <w:t xml:space="preserve">Martyn, T.E. </w:t>
      </w:r>
      <w:r>
        <w:rPr>
          <w:i/>
          <w:iCs/>
        </w:rPr>
        <w:t>et al.</w:t>
      </w:r>
      <w:r>
        <w:t xml:space="preserve"> (2021) </w:t>
      </w:r>
      <w:hyperlink r:id="rId73">
        <w:r>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08DF55D3" w14:textId="77777777" w:rsidR="007F6ED4" w:rsidRDefault="00000000">
      <w:pPr>
        <w:pStyle w:val="Bibliography"/>
      </w:pPr>
      <w:bookmarkStart w:id="102" w:name="ref-Llandres2015"/>
      <w:bookmarkEnd w:id="101"/>
      <w:r>
        <w:t xml:space="preserve">82. </w:t>
      </w:r>
      <w:r>
        <w:tab/>
        <w:t xml:space="preserve">Llandres, A.L. </w:t>
      </w:r>
      <w:r>
        <w:rPr>
          <w:i/>
          <w:iCs/>
        </w:rPr>
        <w:t>et al.</w:t>
      </w:r>
      <w:r>
        <w:t xml:space="preserve"> (2015) </w:t>
      </w:r>
      <w:hyperlink r:id="rId74">
        <w:r>
          <w:rPr>
            <w:rStyle w:val="Hyperlink"/>
          </w:rPr>
          <w:t>A dynamic energy budget for the whole life-cycle of holometabolous insects</w:t>
        </w:r>
      </w:hyperlink>
      <w:r>
        <w:t xml:space="preserve">. </w:t>
      </w:r>
      <w:r>
        <w:rPr>
          <w:i/>
          <w:iCs/>
        </w:rPr>
        <w:t>Ecol. Monogr.</w:t>
      </w:r>
      <w:r>
        <w:t xml:space="preserve"> 85, 353–371</w:t>
      </w:r>
    </w:p>
    <w:p w14:paraId="7AEC3479" w14:textId="77777777" w:rsidR="007F6ED4" w:rsidRDefault="00000000">
      <w:pPr>
        <w:pStyle w:val="Bibliography"/>
      </w:pPr>
      <w:bookmarkStart w:id="103" w:name="ref-Arnold2019a"/>
      <w:bookmarkEnd w:id="102"/>
      <w:r>
        <w:t xml:space="preserve">83. </w:t>
      </w:r>
      <w:r>
        <w:tab/>
        <w:t xml:space="preserve">Arnold, P.A. </w:t>
      </w:r>
      <w:r>
        <w:rPr>
          <w:i/>
          <w:iCs/>
        </w:rPr>
        <w:t>et al.</w:t>
      </w:r>
      <w:r>
        <w:t xml:space="preserve"> (2019) </w:t>
      </w:r>
      <w:hyperlink r:id="rId75">
        <w:r>
          <w:rPr>
            <w:rStyle w:val="Hyperlink"/>
          </w:rPr>
          <w:t>Sparse evidence for selection on phenotypic plasticity in response to temperature</w:t>
        </w:r>
      </w:hyperlink>
      <w:r>
        <w:t xml:space="preserve">. </w:t>
      </w:r>
      <w:r>
        <w:rPr>
          <w:i/>
          <w:iCs/>
        </w:rPr>
        <w:t>Philos. Trans. R. Soc. Lond. B Biol. Sci.</w:t>
      </w:r>
      <w:r>
        <w:t xml:space="preserve"> 374, 20180185</w:t>
      </w:r>
    </w:p>
    <w:p w14:paraId="52A60855" w14:textId="77777777" w:rsidR="007F6ED4" w:rsidRDefault="00000000">
      <w:pPr>
        <w:pStyle w:val="Bibliography"/>
      </w:pPr>
      <w:bookmarkStart w:id="104" w:name="ref-Shekhawat2022"/>
      <w:bookmarkEnd w:id="103"/>
      <w:r>
        <w:t xml:space="preserve">84. </w:t>
      </w:r>
      <w:r>
        <w:tab/>
        <w:t xml:space="preserve">Shekhawat, K. </w:t>
      </w:r>
      <w:r>
        <w:rPr>
          <w:i/>
          <w:iCs/>
        </w:rPr>
        <w:t>et al.</w:t>
      </w:r>
      <w:r>
        <w:t xml:space="preserve"> (2022) </w:t>
      </w:r>
      <w:hyperlink r:id="rId76">
        <w:r>
          <w:rPr>
            <w:rStyle w:val="Hyperlink"/>
          </w:rPr>
          <w:t>Beat the heat: Plant- and microbe-mediated strategies for crop thermotolerance</w:t>
        </w:r>
      </w:hyperlink>
      <w:r>
        <w:t xml:space="preserve">. </w:t>
      </w:r>
      <w:r>
        <w:rPr>
          <w:i/>
          <w:iCs/>
        </w:rPr>
        <w:t>Trends Plant Sci.</w:t>
      </w:r>
      <w:r>
        <w:t xml:space="preserve"> 27, 802–813</w:t>
      </w:r>
    </w:p>
    <w:p w14:paraId="469A80D1" w14:textId="77777777" w:rsidR="007F6ED4" w:rsidRDefault="00000000">
      <w:pPr>
        <w:pStyle w:val="Bibliography"/>
      </w:pPr>
      <w:bookmarkStart w:id="105" w:name="ref-Dandy2019"/>
      <w:bookmarkEnd w:id="104"/>
      <w:r>
        <w:t xml:space="preserve">85. </w:t>
      </w:r>
      <w:r>
        <w:tab/>
        <w:t xml:space="preserve">Dandy, J. </w:t>
      </w:r>
      <w:r>
        <w:rPr>
          <w:i/>
          <w:iCs/>
        </w:rPr>
        <w:t>et al.</w:t>
      </w:r>
      <w:r>
        <w:t xml:space="preserve"> (2019) </w:t>
      </w:r>
      <w:hyperlink r:id="rId77">
        <w:r>
          <w:rPr>
            <w:rStyle w:val="Hyperlink"/>
          </w:rPr>
          <w:t>Leaving home: Place attachment and decisions to move in the face of environmental change</w:t>
        </w:r>
      </w:hyperlink>
      <w:r>
        <w:t xml:space="preserve">. </w:t>
      </w:r>
      <w:r>
        <w:rPr>
          <w:i/>
          <w:iCs/>
        </w:rPr>
        <w:t>Reg. Environ. Change</w:t>
      </w:r>
      <w:r>
        <w:t xml:space="preserve"> 19, 615–620</w:t>
      </w:r>
    </w:p>
    <w:p w14:paraId="304CA6E5" w14:textId="77777777" w:rsidR="007F6ED4" w:rsidRDefault="00000000">
      <w:pPr>
        <w:pStyle w:val="Bibliography"/>
      </w:pPr>
      <w:bookmarkStart w:id="106" w:name="ref-Leviston2018"/>
      <w:bookmarkEnd w:id="105"/>
      <w:r>
        <w:t xml:space="preserve">86. </w:t>
      </w:r>
      <w:r>
        <w:tab/>
        <w:t xml:space="preserve">Leviston, Z. </w:t>
      </w:r>
      <w:r>
        <w:rPr>
          <w:i/>
          <w:iCs/>
        </w:rPr>
        <w:t>et al.</w:t>
      </w:r>
      <w:r>
        <w:t xml:space="preserve"> (2018) </w:t>
      </w:r>
      <w:hyperlink r:id="rId78">
        <w:r>
          <w:rPr>
            <w:rStyle w:val="Hyperlink"/>
          </w:rPr>
          <w:t>Linkages between ecosystem services and human wellbeing: A nexus webs approach</w:t>
        </w:r>
      </w:hyperlink>
      <w:r>
        <w:t xml:space="preserve">. </w:t>
      </w:r>
      <w:r>
        <w:rPr>
          <w:i/>
          <w:iCs/>
        </w:rPr>
        <w:t>Ecol. Indic.</w:t>
      </w:r>
      <w:r>
        <w:t xml:space="preserve"> 93, 658–668</w:t>
      </w:r>
    </w:p>
    <w:p w14:paraId="07AB7849" w14:textId="77777777" w:rsidR="007F6ED4" w:rsidRDefault="00000000">
      <w:pPr>
        <w:pStyle w:val="Bibliography"/>
      </w:pPr>
      <w:bookmarkStart w:id="107" w:name="ref-Baeckens2025"/>
      <w:bookmarkEnd w:id="106"/>
      <w:r>
        <w:t xml:space="preserve">87. </w:t>
      </w:r>
      <w:r>
        <w:tab/>
        <w:t xml:space="preserve">Baeckens, S. and Donihue, C.M. (2025) Evolutionary consequences of extreme climate events. </w:t>
      </w:r>
      <w:r>
        <w:rPr>
          <w:i/>
          <w:iCs/>
        </w:rPr>
        <w:t>Curr. Biol.</w:t>
      </w:r>
      <w:r>
        <w:t xml:space="preserve"> 35, R850–R864</w:t>
      </w:r>
    </w:p>
    <w:p w14:paraId="58323ADF" w14:textId="77777777" w:rsidR="007F6ED4" w:rsidRDefault="00000000">
      <w:pPr>
        <w:pStyle w:val="Bibliography"/>
      </w:pPr>
      <w:bookmarkStart w:id="108" w:name="ref-Urban2024"/>
      <w:bookmarkEnd w:id="107"/>
      <w:r>
        <w:t xml:space="preserve">88. </w:t>
      </w:r>
      <w:r>
        <w:tab/>
        <w:t xml:space="preserve">Urban, M.C. (2024) </w:t>
      </w:r>
      <w:hyperlink r:id="rId79">
        <w:r>
          <w:rPr>
            <w:rStyle w:val="Hyperlink"/>
          </w:rPr>
          <w:t>Climate change extinctions</w:t>
        </w:r>
      </w:hyperlink>
      <w:r>
        <w:t xml:space="preserve">. </w:t>
      </w:r>
      <w:r>
        <w:rPr>
          <w:i/>
          <w:iCs/>
        </w:rPr>
        <w:t>Science</w:t>
      </w:r>
      <w:r>
        <w:t xml:space="preserve"> 386, 1123–1128</w:t>
      </w:r>
    </w:p>
    <w:p w14:paraId="1A095940" w14:textId="77777777" w:rsidR="007F6ED4" w:rsidRDefault="00000000">
      <w:pPr>
        <w:pStyle w:val="Bibliography"/>
      </w:pPr>
      <w:bookmarkStart w:id="109" w:name="ref-Munoz-Sabater2021"/>
      <w:bookmarkEnd w:id="108"/>
      <w:r>
        <w:t xml:space="preserve">89. </w:t>
      </w:r>
      <w:r>
        <w:tab/>
        <w:t xml:space="preserve">Muñoz-Sabater, J. </w:t>
      </w:r>
      <w:r>
        <w:rPr>
          <w:i/>
          <w:iCs/>
        </w:rPr>
        <w:t>et al.</w:t>
      </w:r>
      <w:r>
        <w:t xml:space="preserve"> (2021) ERA5-land: A state-of-the-art global reanalysis dataset for land applications. </w:t>
      </w:r>
      <w:r>
        <w:rPr>
          <w:i/>
          <w:iCs/>
        </w:rPr>
        <w:t>Earth Syst. Sci. Data</w:t>
      </w:r>
      <w:r>
        <w:t xml:space="preserve"> 13, 4349–4383</w:t>
      </w:r>
    </w:p>
    <w:p w14:paraId="73B1B6BA" w14:textId="77777777" w:rsidR="007F6ED4" w:rsidRDefault="00000000">
      <w:pPr>
        <w:pStyle w:val="Bibliography"/>
      </w:pPr>
      <w:bookmarkStart w:id="110" w:name="ref-Eyring2016"/>
      <w:bookmarkEnd w:id="109"/>
      <w:r>
        <w:t xml:space="preserve">90. </w:t>
      </w:r>
      <w:r>
        <w:tab/>
        <w:t xml:space="preserve">Eyring, V. </w:t>
      </w:r>
      <w:r>
        <w:rPr>
          <w:i/>
          <w:iCs/>
        </w:rPr>
        <w:t>et al.</w:t>
      </w:r>
      <w:r>
        <w:t xml:space="preserve"> (2016) </w:t>
      </w:r>
      <w:hyperlink r:id="rId80">
        <w:r>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03BBEC8B" w14:textId="77777777" w:rsidR="007F6ED4" w:rsidRDefault="00000000">
      <w:pPr>
        <w:pStyle w:val="Bibliography"/>
      </w:pPr>
      <w:bookmarkStart w:id="111" w:name="ref-Chevin2017"/>
      <w:bookmarkEnd w:id="110"/>
      <w:r>
        <w:lastRenderedPageBreak/>
        <w:t xml:space="preserve">91. </w:t>
      </w:r>
      <w:r>
        <w:tab/>
        <w:t xml:space="preserve">Chevin, L.-M. and Hoffmann, A.A. (2017) </w:t>
      </w:r>
      <w:hyperlink r:id="rId81">
        <w:r>
          <w:rPr>
            <w:rStyle w:val="Hyperlink"/>
          </w:rPr>
          <w:t>Evolution of phenotypic plasticity in extreme environments</w:t>
        </w:r>
      </w:hyperlink>
      <w:r>
        <w:t xml:space="preserve">. </w:t>
      </w:r>
      <w:r>
        <w:rPr>
          <w:i/>
          <w:iCs/>
        </w:rPr>
        <w:t>Philos. Trans. R. Soc. Lond. B Biol. Sci.</w:t>
      </w:r>
      <w:r>
        <w:t xml:space="preserve"> 372, 20160138</w:t>
      </w:r>
    </w:p>
    <w:p w14:paraId="5B6E446C" w14:textId="77777777" w:rsidR="007F6ED4" w:rsidRDefault="00000000">
      <w:pPr>
        <w:pStyle w:val="Bibliography"/>
      </w:pPr>
      <w:bookmarkStart w:id="112" w:name="ref-Hoffmann2022"/>
      <w:bookmarkEnd w:id="111"/>
      <w:r>
        <w:t xml:space="preserve">92. </w:t>
      </w:r>
      <w:r>
        <w:tab/>
        <w:t xml:space="preserve">Hoffmann, A.A. and Bridle, J. (2022) </w:t>
      </w:r>
      <w:hyperlink r:id="rId82">
        <w:r>
          <w:rPr>
            <w:rStyle w:val="Hyperlink"/>
          </w:rPr>
          <w:t>The dangers of irreversibility in an age of increased uncertainty: Revisiting plasticity in invertebrates</w:t>
        </w:r>
      </w:hyperlink>
      <w:r>
        <w:t xml:space="preserve">. </w:t>
      </w:r>
      <w:r>
        <w:rPr>
          <w:i/>
          <w:iCs/>
        </w:rPr>
        <w:t>Oikos</w:t>
      </w:r>
      <w:r>
        <w:t xml:space="preserve"> 2022, e08715</w:t>
      </w:r>
    </w:p>
    <w:p w14:paraId="3043B85B" w14:textId="77777777" w:rsidR="007F6ED4" w:rsidRDefault="00000000">
      <w:pPr>
        <w:pStyle w:val="Bibliography"/>
      </w:pPr>
      <w:bookmarkStart w:id="113" w:name="ref-Hoffmann2011"/>
      <w:bookmarkEnd w:id="112"/>
      <w:r>
        <w:t xml:space="preserve">93. </w:t>
      </w:r>
      <w:r>
        <w:tab/>
        <w:t>Hoffmann, A.A. and Sgrò, C.M. (2011) Climate change and evolutionary adaptation. 470, 479–485</w:t>
      </w:r>
    </w:p>
    <w:p w14:paraId="31043BB9" w14:textId="77777777" w:rsidR="007F6ED4" w:rsidRDefault="00000000">
      <w:pPr>
        <w:pStyle w:val="Bibliography"/>
      </w:pPr>
      <w:bookmarkStart w:id="114" w:name="ref-Catullo2019"/>
      <w:bookmarkEnd w:id="113"/>
      <w:r>
        <w:t xml:space="preserve">94. </w:t>
      </w:r>
      <w:r>
        <w:tab/>
        <w:t xml:space="preserve">Catullo, R.A. </w:t>
      </w:r>
      <w:r>
        <w:rPr>
          <w:i/>
          <w:iCs/>
        </w:rPr>
        <w:t>et al.</w:t>
      </w:r>
      <w:r>
        <w:t xml:space="preserve"> (2019) The potential for rapid evolution under anthropogenic climate change. </w:t>
      </w:r>
      <w:r>
        <w:rPr>
          <w:i/>
          <w:iCs/>
        </w:rPr>
        <w:t>Curr. Biol.</w:t>
      </w:r>
      <w:r>
        <w:t xml:space="preserve"> 29, R996–R1007</w:t>
      </w:r>
    </w:p>
    <w:p w14:paraId="0A73F8AF" w14:textId="77777777" w:rsidR="007F6ED4" w:rsidRDefault="00000000">
      <w:pPr>
        <w:pStyle w:val="Bibliography"/>
      </w:pPr>
      <w:bookmarkStart w:id="115" w:name="ref-Ghalambor2015"/>
      <w:bookmarkEnd w:id="114"/>
      <w:r>
        <w:t xml:space="preserve">95. </w:t>
      </w:r>
      <w:r>
        <w:tab/>
        <w:t xml:space="preserve">Ghalambor, C. </w:t>
      </w:r>
      <w:r>
        <w:rPr>
          <w:i/>
          <w:iCs/>
        </w:rPr>
        <w:t>et al.</w:t>
      </w:r>
      <w:r>
        <w:t xml:space="preserve"> (2015) </w:t>
      </w:r>
      <w:hyperlink r:id="rId83">
        <w:r>
          <w:rPr>
            <w:rStyle w:val="Hyperlink"/>
          </w:rPr>
          <w:t>Non-adaptive plasticity potentiates rapid adaptive evolution of gene expression in nature</w:t>
        </w:r>
      </w:hyperlink>
      <w:r>
        <w:t xml:space="preserve">. </w:t>
      </w:r>
      <w:r>
        <w:rPr>
          <w:i/>
          <w:iCs/>
        </w:rPr>
        <w:t>Nature</w:t>
      </w:r>
      <w:r>
        <w:t xml:space="preserve"> 525, 372–375</w:t>
      </w:r>
    </w:p>
    <w:p w14:paraId="1E180833" w14:textId="77777777" w:rsidR="007F6ED4" w:rsidRDefault="00000000">
      <w:pPr>
        <w:pStyle w:val="Bibliography"/>
      </w:pPr>
      <w:bookmarkStart w:id="116" w:name="ref-Sousa2010"/>
      <w:bookmarkEnd w:id="115"/>
      <w:r>
        <w:t xml:space="preserve">96. </w:t>
      </w:r>
      <w:r>
        <w:tab/>
        <w:t xml:space="preserve">Sousa, T. </w:t>
      </w:r>
      <w:r>
        <w:rPr>
          <w:i/>
          <w:iCs/>
        </w:rPr>
        <w:t>et al.</w:t>
      </w:r>
      <w:r>
        <w:t xml:space="preserve"> (2010) </w:t>
      </w:r>
      <w:hyperlink r:id="rId84">
        <w:r>
          <w:rPr>
            <w:rStyle w:val="Hyperlink"/>
          </w:rPr>
          <w:t>Dynamic energy budget theory restores coherence in biology</w:t>
        </w:r>
      </w:hyperlink>
      <w:r>
        <w:t xml:space="preserve">. </w:t>
      </w:r>
      <w:r>
        <w:rPr>
          <w:i/>
          <w:iCs/>
        </w:rPr>
        <w:t>Philos. Trans. R. Soc. Lond. B Biol. Sci.</w:t>
      </w:r>
      <w:r>
        <w:t xml:space="preserve"> 365, 3413–3428</w:t>
      </w:r>
    </w:p>
    <w:p w14:paraId="1AFF4FF7" w14:textId="77777777" w:rsidR="007F6ED4" w:rsidRDefault="00000000">
      <w:pPr>
        <w:pStyle w:val="Bibliography"/>
      </w:pPr>
      <w:bookmarkStart w:id="117" w:name="ref-Kearney2009a"/>
      <w:bookmarkEnd w:id="116"/>
      <w:r>
        <w:t xml:space="preserve">97.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4FAB7C7D" w14:textId="77777777" w:rsidR="007F6ED4" w:rsidRDefault="00000000">
      <w:pPr>
        <w:pStyle w:val="Bibliography"/>
      </w:pPr>
      <w:bookmarkStart w:id="118" w:name="ref-Lande1979"/>
      <w:bookmarkEnd w:id="117"/>
      <w:r>
        <w:t xml:space="preserve">98. </w:t>
      </w:r>
      <w:r>
        <w:tab/>
        <w:t xml:space="preserve">Lande, R. (1979) </w:t>
      </w:r>
      <w:hyperlink r:id="rId85">
        <w:r>
          <w:rPr>
            <w:rStyle w:val="Hyperlink"/>
          </w:rPr>
          <w:t>Quantitative genetic analysis of multivariate evolution, applied to brain:body size allometry</w:t>
        </w:r>
      </w:hyperlink>
      <w:r>
        <w:t xml:space="preserve">. </w:t>
      </w:r>
      <w:r>
        <w:rPr>
          <w:i/>
          <w:iCs/>
        </w:rPr>
        <w:t>Evolution</w:t>
      </w:r>
      <w:r>
        <w:t xml:space="preserve"> 33, 402–416</w:t>
      </w:r>
    </w:p>
    <w:p w14:paraId="00D3A560" w14:textId="77777777" w:rsidR="007F6ED4" w:rsidRDefault="00000000">
      <w:pPr>
        <w:pStyle w:val="Bibliography"/>
      </w:pPr>
      <w:bookmarkStart w:id="119" w:name="ref-Walsh2018"/>
      <w:bookmarkEnd w:id="118"/>
      <w:r>
        <w:t xml:space="preserve">99. </w:t>
      </w:r>
      <w:r>
        <w:tab/>
        <w:t xml:space="preserve">Walsh, B. and Lynch, M. (2018) </w:t>
      </w:r>
      <w:hyperlink r:id="rId86">
        <w:r>
          <w:rPr>
            <w:rStyle w:val="Hyperlink"/>
            <w:i/>
            <w:iCs/>
          </w:rPr>
          <w:t>Evolution and selection of quantitative traits</w:t>
        </w:r>
      </w:hyperlink>
      <w:r>
        <w:t>, Oxford University Press</w:t>
      </w:r>
    </w:p>
    <w:p w14:paraId="527BFECF" w14:textId="77777777" w:rsidR="007F6ED4" w:rsidRDefault="00000000">
      <w:pPr>
        <w:pStyle w:val="Bibliography"/>
      </w:pPr>
      <w:bookmarkStart w:id="120" w:name="ref-McGlothlin2014a"/>
      <w:bookmarkEnd w:id="119"/>
      <w:r>
        <w:t xml:space="preserve">100. </w:t>
      </w:r>
      <w:r>
        <w:tab/>
        <w:t xml:space="preserve">McGlothlin, J. and Galloway, L. (2014) </w:t>
      </w:r>
      <w:hyperlink r:id="rId87">
        <w:r>
          <w:rPr>
            <w:rStyle w:val="Hyperlink"/>
          </w:rPr>
          <w:t>The contribution of maternal effects to selection response: An empirical test of competing models</w:t>
        </w:r>
      </w:hyperlink>
      <w:r>
        <w:t xml:space="preserve">. </w:t>
      </w:r>
      <w:r>
        <w:rPr>
          <w:i/>
          <w:iCs/>
        </w:rPr>
        <w:t>Evolution</w:t>
      </w:r>
      <w:r>
        <w:t xml:space="preserve"> 68, 549–558</w:t>
      </w:r>
    </w:p>
    <w:p w14:paraId="79EB281C" w14:textId="77777777" w:rsidR="007F6ED4" w:rsidRDefault="00000000">
      <w:pPr>
        <w:pStyle w:val="Bibliography"/>
      </w:pPr>
      <w:bookmarkStart w:id="121" w:name="ref-Urban2016"/>
      <w:bookmarkEnd w:id="120"/>
      <w:r>
        <w:t xml:space="preserve">101. </w:t>
      </w:r>
      <w:r>
        <w:tab/>
        <w:t xml:space="preserve">Urban, M.C. </w:t>
      </w:r>
      <w:r>
        <w:rPr>
          <w:i/>
          <w:iCs/>
        </w:rPr>
        <w:t>et al.</w:t>
      </w:r>
      <w:r>
        <w:t xml:space="preserve"> (2016) </w:t>
      </w:r>
      <w:hyperlink r:id="rId88">
        <w:r>
          <w:rPr>
            <w:rStyle w:val="Hyperlink"/>
          </w:rPr>
          <w:t>Improving the forecast for biodiversity under climate change</w:t>
        </w:r>
      </w:hyperlink>
      <w:r>
        <w:t xml:space="preserve">. </w:t>
      </w:r>
      <w:r>
        <w:rPr>
          <w:i/>
          <w:iCs/>
        </w:rPr>
        <w:t>Science</w:t>
      </w:r>
      <w:r>
        <w:t xml:space="preserve"> 353, aad8466–aad8466</w:t>
      </w:r>
    </w:p>
    <w:p w14:paraId="4D6EA877" w14:textId="77777777" w:rsidR="007F6ED4" w:rsidRDefault="00000000">
      <w:pPr>
        <w:pStyle w:val="Bibliography"/>
      </w:pPr>
      <w:bookmarkStart w:id="122" w:name="ref-Kattge2020"/>
      <w:bookmarkEnd w:id="121"/>
      <w:r>
        <w:t xml:space="preserve">102. </w:t>
      </w:r>
      <w:r>
        <w:tab/>
        <w:t xml:space="preserve">Kattge, J. </w:t>
      </w:r>
      <w:r>
        <w:rPr>
          <w:i/>
          <w:iCs/>
        </w:rPr>
        <w:t>et al.</w:t>
      </w:r>
      <w:r>
        <w:t xml:space="preserve"> (2020) </w:t>
      </w:r>
      <w:hyperlink r:id="rId89">
        <w:r>
          <w:rPr>
            <w:rStyle w:val="Hyperlink"/>
          </w:rPr>
          <w:t>TRY plant trait database - enhanced coverage and open access</w:t>
        </w:r>
      </w:hyperlink>
      <w:r>
        <w:t xml:space="preserve">. </w:t>
      </w:r>
      <w:r>
        <w:rPr>
          <w:i/>
          <w:iCs/>
        </w:rPr>
        <w:t>Glob. Chang. Biol.</w:t>
      </w:r>
      <w:r>
        <w:t xml:space="preserve"> 26, 119–188</w:t>
      </w:r>
    </w:p>
    <w:p w14:paraId="2941C575" w14:textId="77777777" w:rsidR="007F6ED4" w:rsidRDefault="00000000">
      <w:pPr>
        <w:pStyle w:val="Bibliography"/>
      </w:pPr>
      <w:bookmarkStart w:id="123" w:name="ref-Leiva2025"/>
      <w:bookmarkEnd w:id="122"/>
      <w:r>
        <w:t xml:space="preserve">103. </w:t>
      </w:r>
      <w:r>
        <w:tab/>
        <w:t xml:space="preserve">Leiva, F.P. </w:t>
      </w:r>
      <w:r>
        <w:rPr>
          <w:i/>
          <w:iCs/>
        </w:rPr>
        <w:t>et al.</w:t>
      </w:r>
      <w:r>
        <w:t xml:space="preserve"> (2025) ShareTrait: Towards interoperable and reusable individual trait‐based data in ectotherms. </w:t>
      </w:r>
      <w:r>
        <w:rPr>
          <w:i/>
          <w:iCs/>
        </w:rPr>
        <w:t>Funct. Ecol.</w:t>
      </w:r>
      <w:r>
        <w:t xml:space="preserve"> DOI: </w:t>
      </w:r>
      <w:hyperlink r:id="rId90">
        <w:r>
          <w:rPr>
            <w:rStyle w:val="Hyperlink"/>
          </w:rPr>
          <w:t>10.1111/1365-2435.70147</w:t>
        </w:r>
      </w:hyperlink>
    </w:p>
    <w:p w14:paraId="5B40E661" w14:textId="77777777" w:rsidR="007F6ED4" w:rsidRDefault="00000000">
      <w:pPr>
        <w:pStyle w:val="Bibliography"/>
      </w:pPr>
      <w:bookmarkStart w:id="124" w:name="ref-Weiss-Lehman2022"/>
      <w:bookmarkEnd w:id="123"/>
      <w:r>
        <w:t xml:space="preserve">104. </w:t>
      </w:r>
      <w:r>
        <w:tab/>
        <w:t xml:space="preserve">Weiss-Lehman, C.P. </w:t>
      </w:r>
      <w:r>
        <w:rPr>
          <w:i/>
          <w:iCs/>
        </w:rPr>
        <w:t>et al.</w:t>
      </w:r>
      <w:r>
        <w:t xml:space="preserve"> (2022) Disentangling key species interactions in diverse and heterogeneous communities: A bayesian sparse modelling approach. </w:t>
      </w:r>
      <w:r>
        <w:rPr>
          <w:i/>
          <w:iCs/>
        </w:rPr>
        <w:t>Ecol. Lett.</w:t>
      </w:r>
      <w:r>
        <w:t xml:space="preserve"> 25, 1263–1276</w:t>
      </w:r>
    </w:p>
    <w:p w14:paraId="63D2FF03" w14:textId="77777777" w:rsidR="007F6ED4" w:rsidRDefault="00000000">
      <w:pPr>
        <w:pStyle w:val="Bibliography"/>
      </w:pPr>
      <w:bookmarkStart w:id="125" w:name="ref-Dudney2025"/>
      <w:bookmarkEnd w:id="124"/>
      <w:r>
        <w:t xml:space="preserve">105. </w:t>
      </w:r>
      <w:r>
        <w:tab/>
        <w:t xml:space="preserve">Dudney, J. </w:t>
      </w:r>
      <w:r>
        <w:rPr>
          <w:i/>
          <w:iCs/>
        </w:rPr>
        <w:t>et al.</w:t>
      </w:r>
      <w:r>
        <w:t xml:space="preserve"> (2025) </w:t>
      </w:r>
      <w:hyperlink r:id="rId91">
        <w:r>
          <w:rPr>
            <w:rStyle w:val="Hyperlink"/>
          </w:rPr>
          <w:t>A causal inference framework for climate change attribution in ecology</w:t>
        </w:r>
      </w:hyperlink>
      <w:r>
        <w:t xml:space="preserve">. </w:t>
      </w:r>
      <w:r>
        <w:rPr>
          <w:i/>
          <w:iCs/>
        </w:rPr>
        <w:t>Ecol. Lett.</w:t>
      </w:r>
      <w:r>
        <w:t xml:space="preserve"> 28, e70192</w:t>
      </w:r>
    </w:p>
    <w:p w14:paraId="308E05E2" w14:textId="77777777" w:rsidR="007F6ED4" w:rsidRDefault="00000000">
      <w:pPr>
        <w:pStyle w:val="Bibliography"/>
      </w:pPr>
      <w:bookmarkStart w:id="126" w:name="ref-Carroll2023"/>
      <w:bookmarkEnd w:id="125"/>
      <w:r>
        <w:t xml:space="preserve">106. </w:t>
      </w:r>
      <w:r>
        <w:tab/>
        <w:t xml:space="preserve">Carroll, T. </w:t>
      </w:r>
      <w:r>
        <w:rPr>
          <w:i/>
          <w:iCs/>
        </w:rPr>
        <w:t>et al.</w:t>
      </w:r>
      <w:r>
        <w:t xml:space="preserve"> (2023) </w:t>
      </w:r>
      <w:hyperlink r:id="rId92">
        <w:r>
          <w:rPr>
            <w:rStyle w:val="Hyperlink"/>
          </w:rPr>
          <w:t>Biodiversity change under adaptive community dynamics</w:t>
        </w:r>
      </w:hyperlink>
      <w:r>
        <w:t xml:space="preserve">. </w:t>
      </w:r>
      <w:r>
        <w:rPr>
          <w:i/>
          <w:iCs/>
        </w:rPr>
        <w:t>Glob. Chang. Biol.</w:t>
      </w:r>
      <w:r>
        <w:t xml:space="preserve"> 29, 3525–3538</w:t>
      </w:r>
    </w:p>
    <w:p w14:paraId="5384893D" w14:textId="77777777" w:rsidR="007F6ED4" w:rsidRDefault="00000000">
      <w:pPr>
        <w:pStyle w:val="Bibliography"/>
      </w:pPr>
      <w:bookmarkStart w:id="127" w:name="ref-Dornhaus2022"/>
      <w:bookmarkEnd w:id="126"/>
      <w:r>
        <w:t xml:space="preserve">107. </w:t>
      </w:r>
      <w:r>
        <w:tab/>
        <w:t xml:space="preserve">Dornhaus, A. </w:t>
      </w:r>
      <w:r>
        <w:rPr>
          <w:i/>
          <w:iCs/>
        </w:rPr>
        <w:t>et al.</w:t>
      </w:r>
      <w:r>
        <w:t xml:space="preserve"> (2022) </w:t>
      </w:r>
      <w:hyperlink r:id="rId93">
        <w:r>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19"/>
    <w:bookmarkEnd w:id="21"/>
    <w:bookmarkEnd w:id="127"/>
    <w:p w14:paraId="1E91D6B5" w14:textId="77777777" w:rsidR="007F6ED4" w:rsidRDefault="007F6ED4">
      <w:pPr>
        <w:pStyle w:val="BodyText"/>
      </w:pPr>
    </w:p>
    <w:sectPr w:rsidR="007F6ED4"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2AFC62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2125034160">
    <w:abstractNumId w:val="10"/>
  </w:num>
  <w:num w:numId="86" w16cid:durableId="8306615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7380D"/>
    <w:rsid w:val="00533CC1"/>
    <w:rsid w:val="00553B80"/>
    <w:rsid w:val="005A5007"/>
    <w:rsid w:val="00676013"/>
    <w:rsid w:val="006A2A8B"/>
    <w:rsid w:val="007F6ED4"/>
    <w:rsid w:val="008F43C3"/>
    <w:rsid w:val="00951576"/>
    <w:rsid w:val="00A557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564482"/>
  <w15:docId w15:val="{CD9D0895-FB86-6143-8ABB-60C2D95E2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2041-210x.13627" TargetMode="External"/><Relationship Id="rId21" Type="http://schemas.openxmlformats.org/officeDocument/2006/relationships/hyperlink" Target="https://doi.org/10.1111/1365-2745.13030" TargetMode="External"/><Relationship Id="rId42" Type="http://schemas.openxmlformats.org/officeDocument/2006/relationships/hyperlink" Target="https://doi.org/10.1111/nph.15395" TargetMode="External"/><Relationship Id="rId47" Type="http://schemas.openxmlformats.org/officeDocument/2006/relationships/hyperlink" Target="https://doi.org/10.1093/jxb/erae096" TargetMode="External"/><Relationship Id="rId63" Type="http://schemas.openxmlformats.org/officeDocument/2006/relationships/hyperlink" Target="https://doi.org/10.1111/gcb.15215" TargetMode="External"/><Relationship Id="rId68" Type="http://schemas.openxmlformats.org/officeDocument/2006/relationships/hyperlink" Target="https://doi.org/10.1139/f54-039" TargetMode="External"/><Relationship Id="rId84" Type="http://schemas.openxmlformats.org/officeDocument/2006/relationships/hyperlink" Target="https://doi.org/10.1098/rstb.2010.0166" TargetMode="External"/><Relationship Id="rId89" Type="http://schemas.openxmlformats.org/officeDocument/2006/relationships/hyperlink" Target="https://doi.org/10.1111/gcb.14904" TargetMode="External"/><Relationship Id="rId16" Type="http://schemas.openxmlformats.org/officeDocument/2006/relationships/hyperlink" Target="https://doi.org/10.1111/gcb.70315" TargetMode="External"/><Relationship Id="rId11" Type="http://schemas.openxmlformats.org/officeDocument/2006/relationships/hyperlink" Target="https://doi.org/10.1126/science.adv7597" TargetMode="External"/><Relationship Id="rId32" Type="http://schemas.openxmlformats.org/officeDocument/2006/relationships/hyperlink" Target="https://doi.org/10.1002/ecs2.4506" TargetMode="External"/><Relationship Id="rId37" Type="http://schemas.openxmlformats.org/officeDocument/2006/relationships/hyperlink" Target="https://doi.org/10.2307/1948545" TargetMode="External"/><Relationship Id="rId53" Type="http://schemas.openxmlformats.org/officeDocument/2006/relationships/hyperlink" Target="https://doi.org/10.1002/ece3.4983" TargetMode="External"/><Relationship Id="rId58" Type="http://schemas.openxmlformats.org/officeDocument/2006/relationships/hyperlink" Target="https://doi.org/10.1098/rstb.2010.0034" TargetMode="External"/><Relationship Id="rId74" Type="http://schemas.openxmlformats.org/officeDocument/2006/relationships/hyperlink" Target="https://doi.org/10.1890/14-0976.1" TargetMode="External"/><Relationship Id="rId79" Type="http://schemas.openxmlformats.org/officeDocument/2006/relationships/hyperlink" Target="https://doi.org/10.1126/science.adp4461" TargetMode="External"/><Relationship Id="rId5" Type="http://schemas.openxmlformats.org/officeDocument/2006/relationships/image" Target="media/image1.png"/><Relationship Id="rId90" Type="http://schemas.openxmlformats.org/officeDocument/2006/relationships/hyperlink" Target="https://doi.org/10.1111/1365-2435.70147" TargetMode="External"/><Relationship Id="rId95" Type="http://schemas.openxmlformats.org/officeDocument/2006/relationships/theme" Target="theme/theme1.xml"/><Relationship Id="rId22" Type="http://schemas.openxmlformats.org/officeDocument/2006/relationships/hyperlink" Target="https://doi.org/10.1111/ele.14011" TargetMode="External"/><Relationship Id="rId27" Type="http://schemas.openxmlformats.org/officeDocument/2006/relationships/hyperlink" Target="https://doi.org/10.1371/journal.pclm.0000139" TargetMode="External"/><Relationship Id="rId43" Type="http://schemas.openxmlformats.org/officeDocument/2006/relationships/hyperlink" Target="https://doi.org/10.1242/jeb.224139" TargetMode="External"/><Relationship Id="rId48" Type="http://schemas.openxmlformats.org/officeDocument/2006/relationships/hyperlink" Target="https://doi.org/10.1111/gcb.15976" TargetMode="External"/><Relationship Id="rId64" Type="http://schemas.openxmlformats.org/officeDocument/2006/relationships/hyperlink" Target="https://doi.org/10.1111/2041-210x.14068" TargetMode="External"/><Relationship Id="rId69" Type="http://schemas.openxmlformats.org/officeDocument/2006/relationships/hyperlink" Target="https://doi.org/10.1007/978-94-011-2106-4" TargetMode="External"/><Relationship Id="rId8" Type="http://schemas.openxmlformats.org/officeDocument/2006/relationships/image" Target="media/image3.png"/><Relationship Id="rId51" Type="http://schemas.openxmlformats.org/officeDocument/2006/relationships/hyperlink" Target="https://doi.org/10.1016/j.jinsphys.2009.11.006" TargetMode="External"/><Relationship Id="rId72" Type="http://schemas.openxmlformats.org/officeDocument/2006/relationships/hyperlink" Target="https://doi.org/10.1038/s41559-016-0062" TargetMode="External"/><Relationship Id="rId80" Type="http://schemas.openxmlformats.org/officeDocument/2006/relationships/hyperlink" Target="https://doi.org/10.5194/gmd-9-1937-2016" TargetMode="External"/><Relationship Id="rId85" Type="http://schemas.openxmlformats.org/officeDocument/2006/relationships/hyperlink" Target="https://doi.org/10.1111/j.1558-5646.1979.tb04694.x" TargetMode="External"/><Relationship Id="rId93" Type="http://schemas.openxmlformats.org/officeDocument/2006/relationships/hyperlink" Target="https://doi.org/10.1093/icb/icab142" TargetMode="External"/><Relationship Id="rId3" Type="http://schemas.openxmlformats.org/officeDocument/2006/relationships/settings" Target="settings.xml"/><Relationship Id="rId12" Type="http://schemas.openxmlformats.org/officeDocument/2006/relationships/hyperlink" Target="https://doi.org/10.1126/science.adv5413" TargetMode="External"/><Relationship Id="rId17" Type="http://schemas.openxmlformats.org/officeDocument/2006/relationships/hyperlink" Target="https://doi.org/10.1111/ele.14376" TargetMode="External"/><Relationship Id="rId25" Type="http://schemas.openxmlformats.org/officeDocument/2006/relationships/hyperlink" Target="https://doi.org/10.1111/2041-210x.13330" TargetMode="External"/><Relationship Id="rId33" Type="http://schemas.openxmlformats.org/officeDocument/2006/relationships/hyperlink" Target="https://doi.org/10.1111/gcb.14037" TargetMode="External"/><Relationship Id="rId38" Type="http://schemas.openxmlformats.org/officeDocument/2006/relationships/hyperlink" Target="https://doi.org/10.1002/ecm.1240" TargetMode="External"/><Relationship Id="rId46" Type="http://schemas.openxmlformats.org/officeDocument/2006/relationships/hyperlink" Target="https://doi.org/10.1111/pce.14050" TargetMode="External"/><Relationship Id="rId59" Type="http://schemas.openxmlformats.org/officeDocument/2006/relationships/hyperlink" Target="https://doi.org/10.1371/journal.pcbi.1006100" TargetMode="External"/><Relationship Id="rId67" Type="http://schemas.openxmlformats.org/officeDocument/2006/relationships/hyperlink" Target="https://doi.org/10.1111/ele.70059" TargetMode="External"/><Relationship Id="rId20" Type="http://schemas.openxmlformats.org/officeDocument/2006/relationships/hyperlink" Target="https://doi.org/10.1111/1365-2435.12268" TargetMode="External"/><Relationship Id="rId41" Type="http://schemas.openxmlformats.org/officeDocument/2006/relationships/hyperlink" Target="https://doi.org/10.1111/conl.12906" TargetMode="External"/><Relationship Id="rId54" Type="http://schemas.openxmlformats.org/officeDocument/2006/relationships/hyperlink" Target="https://doi.org/10.1016/s1364-8152(01)00008-1" TargetMode="External"/><Relationship Id="rId62" Type="http://schemas.openxmlformats.org/officeDocument/2006/relationships/hyperlink" Target="https://doi.org/10.1111/nph.15668" TargetMode="External"/><Relationship Id="rId70" Type="http://schemas.openxmlformats.org/officeDocument/2006/relationships/hyperlink" Target="https://doi.org/10.1038/nature08251" TargetMode="External"/><Relationship Id="rId75" Type="http://schemas.openxmlformats.org/officeDocument/2006/relationships/hyperlink" Target="https://doi.org/10.1098/rstb.2018.0185" TargetMode="External"/><Relationship Id="rId83" Type="http://schemas.openxmlformats.org/officeDocument/2006/relationships/hyperlink" Target="https://doi.org/10.1038/nature15256" TargetMode="External"/><Relationship Id="rId88" Type="http://schemas.openxmlformats.org/officeDocument/2006/relationships/hyperlink" Target="https://doi.org/10.1126/science.aad8466" TargetMode="External"/><Relationship Id="rId91" Type="http://schemas.openxmlformats.org/officeDocument/2006/relationships/hyperlink" Target="https://doi.org/10.1111/ele.70192" TargetMode="External"/><Relationship Id="rId1" Type="http://schemas.openxmlformats.org/officeDocument/2006/relationships/numbering" Target="numbering.xml"/><Relationship Id="rId6" Type="http://schemas.openxmlformats.org/officeDocument/2006/relationships/hyperlink" Target="file:///Users/noble/Library/CloudStorage/Dropbox/1_Research/1_Manuscripts/In_Preparation/thermal_tol_interactions/docs/**Box%201**" TargetMode="External"/><Relationship Id="rId15" Type="http://schemas.openxmlformats.org/officeDocument/2006/relationships/hyperlink" Target="https://doi.org/10.1111/pce.15040" TargetMode="External"/><Relationship Id="rId23" Type="http://schemas.openxmlformats.org/officeDocument/2006/relationships/hyperlink" Target="https://doi.org/10.1111/ecog.02360" TargetMode="External"/><Relationship Id="rId28" Type="http://schemas.openxmlformats.org/officeDocument/2006/relationships/hyperlink" Target="https://doi.org/10.1002/ecy.1444" TargetMode="External"/><Relationship Id="rId36" Type="http://schemas.openxmlformats.org/officeDocument/2006/relationships/hyperlink" Target="https://doi.org/10.1007/BF00379617" TargetMode="External"/><Relationship Id="rId49" Type="http://schemas.openxmlformats.org/officeDocument/2006/relationships/hyperlink" Target="https://doi.org/10.1111/1365-2435.70038" TargetMode="External"/><Relationship Id="rId57" Type="http://schemas.openxmlformats.org/officeDocument/2006/relationships/hyperlink" Target="https://doi.org/10.1016/j.ecolmodel.2019.108904" TargetMode="External"/><Relationship Id="rId10" Type="http://schemas.openxmlformats.org/officeDocument/2006/relationships/hyperlink" Target="https://doi.org/10.1038/s41467-020-16970-7" TargetMode="External"/><Relationship Id="rId31" Type="http://schemas.openxmlformats.org/officeDocument/2006/relationships/hyperlink" Target="https://doi.org/10.1111/2041-210x.14476" TargetMode="External"/><Relationship Id="rId44" Type="http://schemas.openxmlformats.org/officeDocument/2006/relationships/hyperlink" Target="https://doi.org/10.3389/fevo.2022.813567" TargetMode="External"/><Relationship Id="rId52" Type="http://schemas.openxmlformats.org/officeDocument/2006/relationships/hyperlink" Target="https://doi.org/10.1007/978-981-99-0030-5\_6" TargetMode="External"/><Relationship Id="rId60" Type="http://schemas.openxmlformats.org/officeDocument/2006/relationships/hyperlink" Target="https://doi.org/10.1093/conphys/coab086" TargetMode="External"/><Relationship Id="rId65" Type="http://schemas.openxmlformats.org/officeDocument/2006/relationships/hyperlink" Target="https://doi.org/10.1073/pnas.1413650112" TargetMode="External"/><Relationship Id="rId73" Type="http://schemas.openxmlformats.org/officeDocument/2006/relationships/hyperlink" Target="https://doi.org/10.1086/713082" TargetMode="External"/><Relationship Id="rId78" Type="http://schemas.openxmlformats.org/officeDocument/2006/relationships/hyperlink" Target="https://doi.org/10.1016/j.ecolind.2018.05.052" TargetMode="External"/><Relationship Id="rId81" Type="http://schemas.openxmlformats.org/officeDocument/2006/relationships/hyperlink" Target="https://doi.org/10.1098/rstb.2016.0138" TargetMode="External"/><Relationship Id="rId86" Type="http://schemas.openxmlformats.org/officeDocument/2006/relationships/hyperlink" Target="https://doi.org/10.1093/oso/9780198830870.001.0001" TargetMode="External"/><Relationship Id="rId9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doi.org/10.1111/jen.13127" TargetMode="External"/><Relationship Id="rId18" Type="http://schemas.openxmlformats.org/officeDocument/2006/relationships/hyperlink" Target="https://doi.org/10.1006/tpbi.2000.1486" TargetMode="External"/><Relationship Id="rId39" Type="http://schemas.openxmlformats.org/officeDocument/2006/relationships/hyperlink" Target="https://doi.org/10.1371/journal.pone.0143346" TargetMode="External"/><Relationship Id="rId34" Type="http://schemas.openxmlformats.org/officeDocument/2006/relationships/hyperlink" Target="https://doi.org/10.1016/j.envsoft.2018.02.002" TargetMode="External"/><Relationship Id="rId50" Type="http://schemas.openxmlformats.org/officeDocument/2006/relationships/hyperlink" Target="https://doi.org/10.1007/s11104-013-1761-6" TargetMode="External"/><Relationship Id="rId55" Type="http://schemas.openxmlformats.org/officeDocument/2006/relationships/hyperlink" Target="https://doi.org/10.1111/ecog.04680" TargetMode="External"/><Relationship Id="rId76" Type="http://schemas.openxmlformats.org/officeDocument/2006/relationships/hyperlink" Target="https://doi.org/10.1016/j.tplants.2022.02.008" TargetMode="External"/><Relationship Id="rId7" Type="http://schemas.openxmlformats.org/officeDocument/2006/relationships/image" Target="media/image2.png"/><Relationship Id="rId71" Type="http://schemas.openxmlformats.org/officeDocument/2006/relationships/hyperlink" Target="https://doi.org/10.1111/1365-2745.13056" TargetMode="External"/><Relationship Id="rId92" Type="http://schemas.openxmlformats.org/officeDocument/2006/relationships/hyperlink" Target="https://doi.org/10.1111/gcb.16680" TargetMode="External"/><Relationship Id="rId2" Type="http://schemas.openxmlformats.org/officeDocument/2006/relationships/styles" Target="styles.xml"/><Relationship Id="rId29" Type="http://schemas.openxmlformats.org/officeDocument/2006/relationships/hyperlink" Target="https://doi.org/10.1093/conphys/coz028" TargetMode="External"/><Relationship Id="rId24" Type="http://schemas.openxmlformats.org/officeDocument/2006/relationships/hyperlink" Target="https://doi.org/10.1111/2041-210x.13093" TargetMode="External"/><Relationship Id="rId40" Type="http://schemas.openxmlformats.org/officeDocument/2006/relationships/hyperlink" Target="https://doi.org/10.1126/science.adq4372" TargetMode="External"/><Relationship Id="rId45" Type="http://schemas.openxmlformats.org/officeDocument/2006/relationships/hyperlink" Target="https://doi.org/10.1073/pnas.2408583121" TargetMode="External"/><Relationship Id="rId66" Type="http://schemas.openxmlformats.org/officeDocument/2006/relationships/hyperlink" Target="https://doi.org/10.1086/729222" TargetMode="External"/><Relationship Id="rId87" Type="http://schemas.openxmlformats.org/officeDocument/2006/relationships/hyperlink" Target="https://doi.org/10.1111/evo.12235" TargetMode="External"/><Relationship Id="rId61" Type="http://schemas.openxmlformats.org/officeDocument/2006/relationships/hyperlink" Target="https://doi.org/10.1093/nar/gkp370" TargetMode="External"/><Relationship Id="rId82" Type="http://schemas.openxmlformats.org/officeDocument/2006/relationships/hyperlink" Target="https://doi.org/10.1111/oik.08715" TargetMode="External"/><Relationship Id="rId19" Type="http://schemas.openxmlformats.org/officeDocument/2006/relationships/hyperlink" Target="https://doi.org/10.1111/2041-210x.14373" TargetMode="External"/><Relationship Id="rId14" Type="http://schemas.openxmlformats.org/officeDocument/2006/relationships/hyperlink" Target="https://doi.org/10.1126/science.aba9287" TargetMode="External"/><Relationship Id="rId30" Type="http://schemas.openxmlformats.org/officeDocument/2006/relationships/hyperlink" Target="https://doi.org/10.1029/2010gl042764" TargetMode="External"/><Relationship Id="rId35" Type="http://schemas.openxmlformats.org/officeDocument/2006/relationships/hyperlink" Target="https://doi.org/10.1111/j.1365-2486.2010.02375.x" TargetMode="External"/><Relationship Id="rId56" Type="http://schemas.openxmlformats.org/officeDocument/2006/relationships/hyperlink" Target="https://doi.org/10.1111/J.1365-2656.2000.00448.X" TargetMode="External"/><Relationship Id="rId77" Type="http://schemas.openxmlformats.org/officeDocument/2006/relationships/hyperlink" Target="https://doi.org/10.1007/s10113-019-0146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22</Pages>
  <Words>9644</Words>
  <Characters>54971</Characters>
  <Application>Microsoft Office Word</Application>
  <DocSecurity>0</DocSecurity>
  <Lines>458</Lines>
  <Paragraphs>128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cp:revision>
  <dcterms:created xsi:type="dcterms:W3CDTF">2025-12-09T23:26:00Z</dcterms:created>
  <dcterms:modified xsi:type="dcterms:W3CDTF">2025-12-09T23:32:00Z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