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 </w:t>
      </w:r>
      <w:r>
        <w:t xml:space="preserve"> </w:t>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target-journal"/>
    <w:p>
      <w:pPr>
        <w:pStyle w:val="Heading5"/>
      </w:pPr>
      <w:r>
        <w:rPr>
          <w:b/>
          <w:bCs/>
        </w:rPr>
        <w:t xml:space="preserve">Target Journal</w:t>
      </w:r>
      <w:r>
        <w:t xml:space="preserve">:</w:t>
      </w:r>
    </w:p>
    <w:p>
      <w:pPr>
        <w:pStyle w:val="FirstParagraph"/>
      </w:pP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bookmarkEnd w:id="20"/>
    <w:bookmarkStart w:id="21" w:name="alternative-homes"/>
    <w:p>
      <w:pPr>
        <w:pStyle w:val="Heading5"/>
      </w:pPr>
      <w:r>
        <w:rPr>
          <w:b/>
          <w:bCs/>
        </w:rPr>
        <w:t xml:space="preserve">Alternative homes</w:t>
      </w:r>
      <w:r>
        <w:t xml:space="preserve">:</w:t>
      </w:r>
    </w:p>
    <w:p>
      <w:pPr>
        <w:pStyle w:val="FirstParagraph"/>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End w:id="21"/>
    <w:bookmarkStart w:id="22" w:name="structure-overview---sections"/>
    <w:p>
      <w:pPr>
        <w:pStyle w:val="Heading5"/>
      </w:pPr>
      <w:r>
        <w:rPr>
          <w:b/>
          <w:bCs/>
        </w:rPr>
        <w:t xml:space="preserve">Structure Overview - Sections</w:t>
      </w:r>
      <w:r>
        <w:t xml:space="preserve">:</w:t>
      </w:r>
      <w:r>
        <w:br/>
      </w:r>
    </w:p>
    <w:p>
      <w:pPr>
        <w:pStyle w:val="FirstParagraph"/>
      </w:pP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End w:id="22"/>
    <w:bookmarkStart w:id="23"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3"/>
    <w:bookmarkStart w:id="24"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4"/>
    <w:bookmarkStart w:id="25"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6"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[11,12,21,22]</w:t>
      </w:r>
      <w:r>
        <w:t xml:space="preserve">.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[23]</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6"/>
    <w:bookmarkStart w:id="27" w:name="Xae17b7d822eafec0094a5c39d320bfcf97ba0ef"/>
    <w:p>
      <w:pPr>
        <w:pStyle w:val="Heading1"/>
      </w:pPr>
      <w:r>
        <w:t xml:space="preserve">Dynamic Energy Budget (DEB) models can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[16,24]</w:t>
      </w:r>
      <w:r>
        <w:t xml:space="preserve">. DEB models consider organism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[26]</w:t>
      </w:r>
      <w:r>
        <w:t xml:space="preserve">) and resource availability (nutrients)</w:t>
      </w:r>
      <w:r>
        <w:t xml:space="preserve"> </w:t>
      </w:r>
      <w:r>
        <w:t xml:space="preserve">[27]</w:t>
      </w:r>
      <w:r>
        <w:t xml:space="preserve"> </w:t>
      </w:r>
      <w:r>
        <w:t xml:space="preserve">to understand how they affect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throughout development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[28,29]</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[30]</w:t>
      </w:r>
      <w:r>
        <w:t xml:space="preserve">). In addition, software packages such as</w:t>
      </w:r>
      <w:r>
        <w:t xml:space="preserve"> </w:t>
      </w:r>
      <w:r>
        <w:rPr>
          <w:i/>
          <w:iCs/>
        </w:rPr>
        <w:t xml:space="preserve">NicheMapR</w:t>
      </w:r>
      <w:r>
        <w:t xml:space="preserve"> </w:t>
      </w:r>
      <w:r>
        <w:t xml:space="preserve">[31,32]</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7"/>
    <w:bookmarkStart w:id="28"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4"/>
        </w:numPr>
      </w:pPr>
      <w:r>
        <w:t xml:space="preserve">How can we link mechanistic physiological models with population and community ecology theory?</w:t>
      </w:r>
    </w:p>
    <w:p>
      <w:pPr>
        <w:pStyle w:val="Compact"/>
        <w:numPr>
          <w:ilvl w:val="0"/>
          <w:numId w:val="1004"/>
        </w:numPr>
      </w:pPr>
      <w:r>
        <w:t xml:space="preserve">Introducing population and network models to link outputs from DEB (survival, reproduction, abundance) to population growth.</w:t>
      </w:r>
    </w:p>
    <w:p>
      <w:pPr>
        <w:pStyle w:val="Compact"/>
        <w:numPr>
          <w:ilvl w:val="0"/>
          <w:numId w:val="1004"/>
        </w:numPr>
      </w:pPr>
      <w:r>
        <w:t xml:space="preserve">How people are analysing communities with network theory. Some important papers</w:t>
      </w:r>
      <w:r>
        <w:t xml:space="preserve"> </w:t>
      </w:r>
      <w:r>
        <w:t xml:space="preserve">[33]</w:t>
      </w:r>
      <w:r>
        <w:t xml:space="preserve"> </w:t>
      </w:r>
      <w:r>
        <w:t xml:space="preserve">[34]</w:t>
      </w:r>
      <w:r>
        <w:t xml:space="preserve"> </w:t>
      </w:r>
      <w:r>
        <w:t xml:space="preserve">[35]</w:t>
      </w:r>
      <w:r>
        <w:t xml:space="preserve"> </w:t>
      </w:r>
      <w:r>
        <w:t xml:space="preserve">[36]</w:t>
      </w:r>
      <w:r>
        <w:t xml:space="preserve"> </w:t>
      </w:r>
      <w:r>
        <w:t xml:space="preserve">[37]</w:t>
      </w:r>
      <w:r>
        <w:t xml:space="preserve"> </w:t>
      </w:r>
      <w:r>
        <w:t xml:space="preserve">[38]</w:t>
      </w:r>
      <w:r>
        <w:t xml:space="preserve"> </w:t>
      </w:r>
      <w:r>
        <w:t xml:space="preserve">[39]</w:t>
      </w:r>
      <w:r>
        <w:t xml:space="preserve"> </w:t>
      </w:r>
      <w:r>
        <w:t xml:space="preserve">Should also look at this book</w:t>
      </w:r>
      <w:r>
        <w:t xml:space="preserve"> </w:t>
      </w:r>
      <w:r>
        <w:t xml:space="preserve">[40]</w:t>
      </w:r>
    </w:p>
    <w:p>
      <w:pPr>
        <w:pStyle w:val="Compact"/>
        <w:numPr>
          <w:ilvl w:val="0"/>
          <w:numId w:val="1004"/>
        </w:numPr>
      </w:pPr>
      <w:r>
        <w:t xml:space="preserve">How can we capture interactions among species within the community to predict how heat stress will affect community structure?</w:t>
      </w:r>
    </w:p>
    <w:p>
      <w:pPr>
        <w:pStyle w:val="Compact"/>
        <w:numPr>
          <w:ilvl w:val="0"/>
          <w:numId w:val="1004"/>
        </w:numPr>
      </w:pPr>
      <w:r>
        <w:t xml:space="preserve">Figure 2: demonstrating how TLS, biophysical and DEB models can be used to predict heat stress impacts on plants and animals, growth, reproduction, survival. (Dan, Margie)</w:t>
      </w:r>
    </w:p>
    <w:p>
      <w:pPr>
        <w:pStyle w:val="Compact"/>
        <w:numPr>
          <w:ilvl w:val="0"/>
          <w:numId w:val="1004"/>
        </w:numPr>
      </w:pPr>
      <w:r>
        <w:t xml:space="preserve">Also this is a cool paper</w:t>
      </w:r>
      <w:r>
        <w:t xml:space="preserve"> </w:t>
      </w:r>
      <w:r>
        <w:t xml:space="preserve">[41]</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[42]</w:t>
      </w:r>
      <w:r>
        <w:t xml:space="preserve">. We can here model the actual abundance of a given species and it would seem more flexible to incorporate thermal tolerance infor into these models.</w:t>
      </w:r>
    </w:p>
    <w:p>
      <w:pPr>
        <w:pStyle w:val="Compact"/>
        <w:numPr>
          <w:ilvl w:val="0"/>
          <w:numId w:val="1004"/>
        </w:numPr>
      </w:pPr>
      <w:r>
        <w:t xml:space="preserve">have a close look at</w:t>
      </w:r>
      <w:r>
        <w:t xml:space="preserve"> </w:t>
      </w:r>
      <w:r>
        <w:t xml:space="preserve">[43]</w:t>
      </w:r>
      <w:r>
        <w:t xml:space="preserve"> </w:t>
      </w:r>
      <w:r>
        <w:t xml:space="preserve">and</w:t>
      </w:r>
      <w:r>
        <w:t xml:space="preserve"> </w:t>
      </w:r>
      <w:r>
        <w:t xml:space="preserve">[44]</w:t>
      </w:r>
      <w:r>
        <w:t xml:space="preserve">, limitations</w:t>
      </w:r>
      <w:r>
        <w:t xml:space="preserve"> </w:t>
      </w:r>
      <w:r>
        <w:t xml:space="preserve">[45]</w:t>
      </w:r>
      <w:r>
        <w:t xml:space="preserve"> </w:t>
      </w:r>
      <w:r>
        <w:t xml:space="preserve">[46]</w:t>
      </w:r>
    </w:p>
    <w:bookmarkEnd w:id="28"/>
    <w:bookmarkStart w:id="34"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5"/>
        </w:numPr>
      </w:pPr>
      <w:r>
        <w:t xml:space="preserve">Goal of this section is to briefly focus on the BIOLOGY that will shift thermal exposure and sensitivity in plants and animals.</w:t>
      </w:r>
    </w:p>
    <w:p>
      <w:pPr>
        <w:pStyle w:val="Compact"/>
        <w:numPr>
          <w:ilvl w:val="0"/>
          <w:numId w:val="1005"/>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[23]</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5"/>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5"/>
        </w:numPr>
      </w:pPr>
      <w:r>
        <w:t xml:space="preserve">If uncertain about adding a sentence to the link to the models above, that’s ok, Dan, Mike, Margie and Belinda can add.</w:t>
      </w:r>
    </w:p>
    <w:bookmarkStart w:id="29" w:name="X1b136e3eae891c477bc728d2597e572ca649eaa"/>
    <w:p>
      <w:pPr>
        <w:pStyle w:val="Heading3"/>
      </w:pPr>
      <w:r>
        <w:t xml:space="preserve">Microbial communities can impact thermal sensitivity in plants and animals (Brajesh)</w:t>
      </w:r>
    </w:p>
    <w:p>
      <w:pPr>
        <w:pStyle w:val="Compact"/>
        <w:numPr>
          <w:ilvl w:val="0"/>
          <w:numId w:val="1006"/>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[47]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6"/>
        </w:numPr>
      </w:pPr>
      <w:r>
        <w:t xml:space="preserve">See</w:t>
      </w:r>
      <w:r>
        <w:t xml:space="preserve"> </w:t>
      </w:r>
      <w:r>
        <w:t xml:space="preserve">[48]</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[49]</w:t>
      </w:r>
      <w:r>
        <w:t xml:space="preserve">, which is thought to be associated with transcriptional buffering of hosts by the natural microbiome</w:t>
      </w:r>
      <w:r>
        <w:t xml:space="preserve"> </w:t>
      </w:r>
      <w:r>
        <w:t xml:space="preserve">[50]</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[51]</w:t>
      </w:r>
      <w:r>
        <w:t xml:space="preserve">. Moreover, this protective effect can influence the ability of the host to evolve further resistance to the heat shock and harboured more bacteria</w:t>
      </w:r>
      <w:r>
        <w:t xml:space="preserve"> </w:t>
      </w:r>
      <w:r>
        <w:t xml:space="preserve">[52]</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[53]</w:t>
      </w:r>
      <w:r>
        <w:t xml:space="preserve">, On the other hand, many endosymbionts including those providing host benefits appear particularly sensitive to heat</w:t>
      </w:r>
      <w:r>
        <w:t xml:space="preserve"> </w:t>
      </w:r>
      <w:r>
        <w:t xml:space="preserve">[54]</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[55]</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[56]</w:t>
      </w:r>
      <w:r>
        <w:t xml:space="preserve">.</w:t>
      </w:r>
    </w:p>
    <w:bookmarkEnd w:id="29"/>
    <w:bookmarkStart w:id="30" w:name="X24738ef4513767bb724ce8804ac017259eaf2ee"/>
    <w:p>
      <w:pPr>
        <w:pStyle w:val="Heading3"/>
      </w:pPr>
      <w:r>
        <w:t xml:space="preserve">Water availability can impact thermal sensitivity of plants and animals (Brendan)</w:t>
      </w:r>
    </w:p>
    <w:bookmarkEnd w:id="30"/>
    <w:bookmarkStart w:id="31"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7"/>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[57]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[57]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1"/>
    <w:bookmarkStart w:id="32"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[58]</w:t>
      </w:r>
      <w:r>
        <w:t xml:space="preserve">. Connects heat tolerance to population matrix models. And, shows acclimation responses (heat hardening).</w:t>
      </w:r>
    </w:p>
    <w:bookmarkEnd w:id="32"/>
    <w:bookmarkStart w:id="33" w:name="X1f820984f57b727edc20965138ee13069f96c01"/>
    <w:p>
      <w:pPr>
        <w:pStyle w:val="Heading3"/>
      </w:pPr>
      <w:r>
        <w:t xml:space="preserve">Phenology and activity pattern shifts mediating interactions (James?)</w:t>
      </w:r>
    </w:p>
    <w:bookmarkEnd w:id="33"/>
    <w:bookmarkEnd w:id="34"/>
    <w:bookmarkStart w:id="36"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8"/>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8"/>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9"/>
        </w:numPr>
      </w:pPr>
      <w:r>
        <w:t xml:space="preserve">Microbial recruitment (Braj)</w:t>
      </w:r>
    </w:p>
    <w:p>
      <w:pPr>
        <w:pStyle w:val="Compact"/>
        <w:numPr>
          <w:ilvl w:val="1"/>
          <w:numId w:val="1009"/>
        </w:numPr>
      </w:pPr>
      <w:r>
        <w:t xml:space="preserve">Pollinator services (James, Margie)</w:t>
      </w:r>
    </w:p>
    <w:p>
      <w:pPr>
        <w:pStyle w:val="Compact"/>
        <w:numPr>
          <w:ilvl w:val="0"/>
          <w:numId w:val="1008"/>
        </w:numPr>
      </w:pPr>
      <w:r>
        <w:t xml:space="preserve">Cooler landscapes</w:t>
      </w:r>
    </w:p>
    <w:p>
      <w:pPr>
        <w:pStyle w:val="Compact"/>
        <w:numPr>
          <w:ilvl w:val="1"/>
          <w:numId w:val="1010"/>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8"/>
        </w:numPr>
      </w:pPr>
      <w:r>
        <w:t xml:space="preserve">Pest and disease prediction and control. (Ary)</w:t>
      </w:r>
    </w:p>
    <w:p>
      <w:pPr>
        <w:pStyle w:val="Compact"/>
        <w:numPr>
          <w:ilvl w:val="0"/>
          <w:numId w:val="1008"/>
        </w:numPr>
      </w:pPr>
      <w:r>
        <w:t xml:space="preserve">Conservation (Adrienne?)</w:t>
      </w:r>
    </w:p>
    <w:bookmarkStart w:id="35" w:name="Xf9650dc0ea0b351fc010b34968d2cf3bde51c90"/>
    <w:p>
      <w:pPr>
        <w:pStyle w:val="Heading4"/>
      </w:pPr>
      <w:r>
        <w:t xml:space="preserve">Interacting species interacting with people: social-ecological systems (Steven and Xuemei) (~300-500 words)</w:t>
      </w:r>
    </w:p>
    <w:p>
      <w:pPr>
        <w:pStyle w:val="Compact"/>
        <w:numPr>
          <w:ilvl w:val="0"/>
          <w:numId w:val="1011"/>
        </w:numPr>
      </w:pPr>
      <w:r>
        <w:t xml:space="preserve">Nested scale idea, from genetics to species to ecosystem to SES, if not presented earlier</w:t>
      </w:r>
    </w:p>
    <w:p>
      <w:pPr>
        <w:pStyle w:val="Compact"/>
        <w:numPr>
          <w:ilvl w:val="0"/>
          <w:numId w:val="1011"/>
        </w:numPr>
      </w:pPr>
      <w:r>
        <w:t xml:space="preserve">Must consider social-</w:t>
      </w:r>
    </w:p>
    <w:p>
      <w:pPr>
        <w:pStyle w:val="Compact"/>
        <w:numPr>
          <w:ilvl w:val="0"/>
          <w:numId w:val="1011"/>
        </w:numPr>
      </w:pPr>
      <w:r>
        <w:t xml:space="preserve">multiple pathways and varying magnitude of cascading impacts</w:t>
      </w:r>
    </w:p>
    <w:p>
      <w:pPr>
        <w:pStyle w:val="Compact"/>
        <w:numPr>
          <w:ilvl w:val="0"/>
          <w:numId w:val="1011"/>
        </w:numPr>
      </w:pPr>
      <w:r>
        <w:t xml:space="preserve">solutions need to be supported by the society</w:t>
      </w:r>
    </w:p>
    <w:p>
      <w:pPr>
        <w:pStyle w:val="Compact"/>
        <w:numPr>
          <w:ilvl w:val="0"/>
          <w:numId w:val="1011"/>
        </w:numPr>
      </w:pPr>
      <w:r>
        <w:t xml:space="preserve">Not sufficiently understood</w:t>
      </w:r>
    </w:p>
    <w:p>
      <w:pPr>
        <w:pStyle w:val="Compact"/>
        <w:numPr>
          <w:ilvl w:val="0"/>
          <w:numId w:val="1011"/>
        </w:numPr>
      </w:pPr>
      <w:r>
        <w:t xml:space="preserve">What SES systems modeling can do</w:t>
      </w:r>
    </w:p>
    <w:bookmarkEnd w:id="35"/>
    <w:bookmarkEnd w:id="36"/>
    <w:bookmarkStart w:id="42" w:name="X78b08fde953bb9dcb9bb22555137d822070b4a9"/>
    <w:p>
      <w:pPr>
        <w:pStyle w:val="Heading1"/>
      </w:pPr>
      <w:r>
        <w:t xml:space="preserve">Future directions: modelling challenges, gaps and possible solutions</w:t>
      </w:r>
    </w:p>
    <w:bookmarkStart w:id="37"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7"/>
    <w:bookmarkStart w:id="38"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8"/>
    <w:bookmarkStart w:id="39"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9"/>
    <w:bookmarkStart w:id="40"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[59]</w:t>
      </w:r>
      <w:r>
        <w:t xml:space="preserve"> </w:t>
      </w:r>
      <w:r>
        <w:t xml:space="preserve">(Ary)</w:t>
      </w:r>
    </w:p>
    <w:bookmarkEnd w:id="40"/>
    <w:bookmarkStart w:id="41"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1"/>
    <w:bookmarkEnd w:id="42"/>
    <w:bookmarkStart w:id="103" w:name="references"/>
    <w:p>
      <w:pPr>
        <w:pStyle w:val="Heading1"/>
      </w:pPr>
      <w:r>
        <w:t xml:space="preserve">References</w:t>
      </w:r>
    </w:p>
    <w:bookmarkStart w:id="102"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Martinez-De_Leon2024"/>
    <w:p>
      <w:pPr>
        <w:pStyle w:val="Bibliography"/>
      </w:pPr>
      <w:r>
        <w:t xml:space="preserve">23.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5"/>
    <w:bookmarkStart w:id="66" w:name="ref-Nisbet2000"/>
    <w:p>
      <w:pPr>
        <w:pStyle w:val="Bibliography"/>
      </w:pPr>
      <w:r>
        <w:t xml:space="preserve">24.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66"/>
    <w:bookmarkStart w:id="67" w:name="ref-Jager2020"/>
    <w:p>
      <w:pPr>
        <w:pStyle w:val="Bibliography"/>
      </w:pPr>
      <w:r>
        <w:t xml:space="preserve">25.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7"/>
    <w:bookmarkStart w:id="68" w:name="ref-Haberle2025"/>
    <w:p>
      <w:pPr>
        <w:pStyle w:val="Bibliography"/>
      </w:pPr>
      <w:r>
        <w:t xml:space="preserve">26.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8"/>
    <w:bookmarkStart w:id="69" w:name="ref-Kearney2013"/>
    <w:p>
      <w:pPr>
        <w:pStyle w:val="Bibliography"/>
      </w:pPr>
      <w:r>
        <w:t xml:space="preserve">27.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69"/>
    <w:bookmarkStart w:id="70" w:name="ref-Marques2018"/>
    <w:p>
      <w:pPr>
        <w:pStyle w:val="Bibliography"/>
      </w:pPr>
      <w:r>
        <w:t xml:space="preserve">28.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70"/>
    <w:bookmarkStart w:id="71" w:name="ref-Kooijman2021"/>
    <w:p>
      <w:pPr>
        <w:pStyle w:val="Bibliography"/>
      </w:pPr>
      <w:r>
        <w:t xml:space="preserve">29.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71"/>
    <w:bookmarkStart w:id="72" w:name="ref-Bruggeman2009"/>
    <w:p>
      <w:pPr>
        <w:pStyle w:val="Bibliography"/>
      </w:pPr>
      <w:r>
        <w:t xml:space="preserve">30.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72"/>
    <w:bookmarkStart w:id="73" w:name="ref-Kearney2017"/>
    <w:p>
      <w:pPr>
        <w:pStyle w:val="Bibliography"/>
      </w:pPr>
      <w:r>
        <w:t xml:space="preserve">31.</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3"/>
    <w:bookmarkStart w:id="74" w:name="ref-Kearney2020a"/>
    <w:p>
      <w:pPr>
        <w:pStyle w:val="Bibliography"/>
      </w:pPr>
      <w:r>
        <w:t xml:space="preserve">32.</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74"/>
    <w:bookmarkStart w:id="75" w:name="ref-Delmas2019"/>
    <w:p>
      <w:pPr>
        <w:pStyle w:val="Bibliography"/>
      </w:pPr>
      <w:r>
        <w:t xml:space="preserve">33.</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75"/>
    <w:bookmarkStart w:id="76" w:name="ref-Godoy2019"/>
    <w:p>
      <w:pPr>
        <w:pStyle w:val="Bibliography"/>
      </w:pPr>
      <w:r>
        <w:t xml:space="preserve">34.</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76"/>
    <w:bookmarkStart w:id="77" w:name="ref-Poisot2021"/>
    <w:p>
      <w:pPr>
        <w:pStyle w:val="Bibliography"/>
      </w:pPr>
      <w:r>
        <w:t xml:space="preserve">35.</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77"/>
    <w:bookmarkStart w:id="78" w:name="ref-Hui2019"/>
    <w:p>
      <w:pPr>
        <w:pStyle w:val="Bibliography"/>
      </w:pPr>
      <w:r>
        <w:t xml:space="preserve">36.</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78"/>
    <w:bookmarkStart w:id="79" w:name="ref-Gomez2023"/>
    <w:p>
      <w:pPr>
        <w:pStyle w:val="Bibliography"/>
      </w:pPr>
      <w:r>
        <w:t xml:space="preserve">37.</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79"/>
    <w:bookmarkStart w:id="80" w:name="ref-Lytle2023"/>
    <w:p>
      <w:pPr>
        <w:pStyle w:val="Bibliography"/>
      </w:pPr>
      <w:r>
        <w:t xml:space="preserve">38.</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80"/>
    <w:bookmarkStart w:id="81" w:name="ref-Petsopoulos2021"/>
    <w:p>
      <w:pPr>
        <w:pStyle w:val="Bibliography"/>
      </w:pPr>
      <w:r>
        <w:t xml:space="preserve">39.</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81"/>
    <w:bookmarkStart w:id="82" w:name="ref-Dale2021"/>
    <w:p>
      <w:pPr>
        <w:pStyle w:val="Bibliography"/>
      </w:pPr>
      <w:r>
        <w:t xml:space="preserve">40.</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82"/>
    <w:bookmarkStart w:id="83" w:name="ref-Lu2023"/>
    <w:p>
      <w:pPr>
        <w:pStyle w:val="Bibliography"/>
      </w:pPr>
      <w:r>
        <w:t xml:space="preserve">41.</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83"/>
    <w:bookmarkStart w:id="84" w:name="ref-Carrara2015"/>
    <w:p>
      <w:pPr>
        <w:pStyle w:val="Bibliography"/>
      </w:pPr>
      <w:r>
        <w:t xml:space="preserve">42.</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84"/>
    <w:bookmarkStart w:id="85" w:name="ref-Vitali2022"/>
    <w:p>
      <w:pPr>
        <w:pStyle w:val="Bibliography"/>
      </w:pPr>
      <w:r>
        <w:t xml:space="preserve">43.</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85"/>
    <w:bookmarkStart w:id="86" w:name="ref-Riva2023"/>
    <w:p>
      <w:pPr>
        <w:pStyle w:val="Bibliography"/>
      </w:pPr>
      <w:r>
        <w:t xml:space="preserve">44.</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86"/>
    <w:bookmarkStart w:id="87" w:name="ref-Terry2020"/>
    <w:p>
      <w:pPr>
        <w:pStyle w:val="Bibliography"/>
      </w:pPr>
      <w:r>
        <w:t xml:space="preserve">45.</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87"/>
    <w:bookmarkStart w:id="88" w:name="ref-Weiss-Lehman2022"/>
    <w:p>
      <w:pPr>
        <w:pStyle w:val="Bibliography"/>
      </w:pPr>
      <w:r>
        <w:t xml:space="preserve">46.</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88"/>
    <w:bookmarkStart w:id="89" w:name="ref-Marquez2007"/>
    <w:p>
      <w:pPr>
        <w:pStyle w:val="Bibliography"/>
      </w:pPr>
      <w:r>
        <w:t xml:space="preserve">47.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9"/>
    <w:bookmarkStart w:id="90" w:name="ref-Zou2024"/>
    <w:p>
      <w:pPr>
        <w:pStyle w:val="Bibliography"/>
      </w:pPr>
      <w:r>
        <w:t xml:space="preserve">48.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90"/>
    <w:bookmarkStart w:id="91" w:name="ref-Fontaine2022"/>
    <w:p>
      <w:pPr>
        <w:pStyle w:val="Bibliography"/>
      </w:pPr>
      <w:r>
        <w:t xml:space="preserve">49.</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1"/>
    <w:bookmarkStart w:id="92" w:name="ref-Fontaine2023"/>
    <w:p>
      <w:pPr>
        <w:pStyle w:val="Bibliography"/>
      </w:pPr>
      <w:r>
        <w:t xml:space="preserve">50.</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2"/>
    <w:bookmarkStart w:id="93" w:name="ref-Hoang2019"/>
    <w:p>
      <w:pPr>
        <w:pStyle w:val="Bibliography"/>
      </w:pPr>
      <w:r>
        <w:t xml:space="preserve">51.</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3"/>
    <w:bookmarkStart w:id="94" w:name="ref-Gehman2019"/>
    <w:p>
      <w:pPr>
        <w:pStyle w:val="Bibliography"/>
      </w:pPr>
      <w:r>
        <w:t xml:space="preserve">52.</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4"/>
    <w:bookmarkStart w:id="95" w:name="ref-Hoang2021"/>
    <w:p>
      <w:pPr>
        <w:pStyle w:val="Bibliography"/>
      </w:pPr>
      <w:r>
        <w:t xml:space="preserve">53.</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5"/>
    <w:bookmarkStart w:id="96" w:name="ref-Corbin2016"/>
    <w:p>
      <w:pPr>
        <w:pStyle w:val="Bibliography"/>
      </w:pPr>
      <w:r>
        <w:t xml:space="preserve">54.</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6"/>
    <w:bookmarkStart w:id="97" w:name="ref-Zhang2019"/>
    <w:p>
      <w:pPr>
        <w:pStyle w:val="Bibliography"/>
      </w:pPr>
      <w:r>
        <w:t xml:space="preserve">55.</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7"/>
    <w:bookmarkStart w:id="98" w:name="ref-Dunbar2007"/>
    <w:p>
      <w:pPr>
        <w:pStyle w:val="Bibliography"/>
      </w:pPr>
      <w:r>
        <w:t xml:space="preserve">56.</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8"/>
    <w:bookmarkStart w:id="99" w:name="ref-Li2023"/>
    <w:p>
      <w:pPr>
        <w:pStyle w:val="Bibliography"/>
      </w:pPr>
      <w:r>
        <w:t xml:space="preserve">57.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99"/>
    <w:bookmarkStart w:id="100" w:name="ref-Zhu2024"/>
    <w:p>
      <w:pPr>
        <w:pStyle w:val="Bibliography"/>
      </w:pPr>
      <w:r>
        <w:t xml:space="preserve">58.</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00"/>
    <w:bookmarkStart w:id="101" w:name="ref-Kearney2009a"/>
    <w:p>
      <w:pPr>
        <w:pStyle w:val="Bibliography"/>
      </w:pPr>
      <w:r>
        <w:t xml:space="preserve">59.</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01"/>
    <w:bookmarkEnd w:id="102"/>
    <w:bookmarkEnd w:id="103"/>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2025-02-28T04:35:39Z</dcterms:created>
  <dcterms:modified xsi:type="dcterms:W3CDTF">2025-02-28T04:35:39Z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