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‘memory’</w:t>
      </w:r>
      <w:r>
        <w:t xml:space="preserve"> </w:t>
      </w:r>
      <w:r>
        <w:t xml:space="preserve">effects of past weather conditions can determine how a given heat wave manifests through a habitat, so the same atmospheric heat wave conditions can have different implications for microclimate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the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Opportunities lie in more closely coupling the dynamics of the atmosphere and vegetation with microclimate models. In particular, responses of plant water use to heatwaves can amplify or reduce high temperatures via effects on photosynthetic capacity, stomatal decoupling, cuticular conductance, leaf damage and plant mortality. These impacts obviously are important for the plants themselves, but also for thermal regime within the plant canopy. Many LSMs use an LAI climatology, but it is very likely that LAI will change with climate change in the short term (and with vegetation composition in the longer term), with consequences for thermal regime. Thus, forecasting future thermal regimes also involves forecasting future vegetation dynamics, with interesting challenges that include interactions between high</w:t>
      </w:r>
      <w:r>
        <w:t xml:space="preserve"> </w:t>
      </w:r>
      <m:oMath>
        <m:r>
          <m:t>C</m:t>
        </m:r>
        <m:sSub>
          <m:e>
            <m:r>
              <m:t>O</m:t>
            </m:r>
          </m:e>
          <m:sub>
            <m:r>
              <m:t>2</m:t>
            </m:r>
          </m:sub>
        </m:sSub>
      </m:oMath>
      <w:r>
        <w:t xml:space="preserve">,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and thereby compute their temperature. Biophysical models have a long history</w:t>
      </w:r>
      <w:r>
        <w:t xml:space="preserve"> </w:t>
      </w:r>
      <w:r>
        <w:t xml:space="preserve">[e.g. 41,42]</w:t>
      </w:r>
      <w:r>
        <w:t xml:space="preserve">, but have become more widely applied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radiation settings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physiological and behavioral responses. For example, lizards may pant when exposed to high temperatures</w:t>
      </w:r>
      <w:r>
        <w:t xml:space="preserve"> </w:t>
      </w:r>
      <w:r>
        <w:t xml:space="preserve">[46]</w:t>
      </w:r>
      <w:r>
        <w:t xml:space="preserve">, birds may</w:t>
      </w:r>
      <w:r>
        <w:t xml:space="preserve"> </w:t>
      </w:r>
      <w:r>
        <w:t xml:space="preserve">‘wind surf’</w:t>
      </w:r>
      <w:r>
        <w:t xml:space="preserve"> </w:t>
      </w:r>
      <w:r>
        <w:t xml:space="preserve">or seek unusual retreats</w:t>
      </w:r>
      <w:r>
        <w:t xml:space="preserve"> </w:t>
      </w:r>
      <w:r>
        <w:t xml:space="preserve">[47]</w:t>
      </w:r>
      <w:r>
        <w:t xml:space="preserve">, and stomatal behavior may depart from the typical responses to vapour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2"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 51]</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[53]</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[11,12,50]</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environmental factors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 []. Extended periods of water stress (5 days) have also been shown to increase thermal sensitivity in South American Locusts (</w:t>
            </w:r>
            <w:r>
              <w:rPr>
                <w:i/>
                <w:iCs/>
              </w:rPr>
              <w:t xml:space="preserve">Schistocerca cancellata</w:t>
            </w:r>
            <w:r>
              <w:t xml:space="preserve">), reducing the time there were capable of dealing with extreme heat</w:t>
            </w:r>
            <w:r>
              <w:t xml:space="preserve"> </w:t>
            </w:r>
            <w:r>
              <w:t xml:space="preserve">[54]</w:t>
            </w:r>
            <w:r>
              <w:t xml:space="preserve">.</w:t>
            </w:r>
          </w:p>
          <w:p>
            <w:pPr>
              <w:pStyle w:val="BodyText"/>
            </w:pPr>
            <w:pPr>
              <w:spacing w:after="16"/>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[58,59]</w:t>
            </w:r>
            <w:r>
              <w:t xml:space="preserv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[60]</w:t>
            </w:r>
            <w:r>
              <w:t xml:space="preserve">. Moreover, this protective effect can influence the ability of the host to evolve further resistance to the heat shock and harboured more bacteria</w:t>
            </w:r>
            <w:r>
              <w:t xml:space="preserve"> </w:t>
            </w:r>
            <w:r>
              <w:t xml:space="preserve">[61]</w:t>
            </w:r>
            <w:r>
              <w:t xml:space="preserve">.</w:t>
            </w:r>
          </w:p>
        </w:tc>
      </w:tr>
    </w:tbl>
    <w:bookmarkEnd w:id="32"/>
    <w:bookmarkStart w:id="33"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[16,62]</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[64]</w:t>
      </w:r>
      <w:r>
        <w:t xml:space="preserve">) and resource availability (nutrients)</w:t>
      </w:r>
      <w:r>
        <w:t xml:space="preserve"> </w:t>
      </w:r>
      <w:r>
        <w:t xml:space="preserve">[65,66]</w:t>
      </w:r>
      <w:r>
        <w:t xml:space="preserve"> </w:t>
      </w:r>
      <w:r>
        <w:t xml:space="preserve">into long-term (days, months, years) effects on development, growth, reproduction and survival</w:t>
      </w:r>
      <w:r>
        <w:t xml:space="preserve"> </w:t>
      </w:r>
      <w:r>
        <w:t xml:space="preserve">[17,20]</w:t>
      </w:r>
      <w:r>
        <w:t xml:space="preserve">, though their application to plants is considerably less developed that for animal and microbial systems</w:t>
      </w:r>
      <w:r>
        <w:t xml:space="preserve"> </w:t>
      </w:r>
      <w:r>
        <w:t xml:space="preserve">[67]</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[68,69]</w:t>
      </w:r>
      <w:r>
        <w:t xml:space="preserve"> </w:t>
      </w:r>
      <w:r>
        <w:t xml:space="preserve">and approaches for using DEB theory to model plant growth and performance are being developed</w:t>
      </w:r>
      <w:r>
        <w:t xml:space="preserve"> </w:t>
      </w:r>
      <w:r>
        <w:t xml:space="preserve">[67]</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3"/>
    <w:bookmarkStart w:id="35"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[72]</w:t>
      </w:r>
      <w:r>
        <w:t xml:space="preserve"> </w:t>
      </w:r>
      <w:r>
        <w:t xml:space="preserve">and Beverton-Holt</w:t>
      </w:r>
      <w:r>
        <w:t xml:space="preserve"> </w:t>
      </w:r>
      <w:r>
        <w:t xml:space="preserve">[73]</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[74]</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[75]</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allowing populations to evolve</w:t>
            </w:r>
            <w:r>
              <w:t xml:space="preserve"> </w:t>
            </w:r>
            <w:r>
              <w:t xml:space="preserve">[76–78]</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[76]</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[77,79–82]</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traits to emerge</w:t>
            </w:r>
            <w:r>
              <w:t xml:space="preserve"> </w:t>
            </w:r>
            <w:r>
              <w:t xml:space="preserve">[83]</w:t>
            </w:r>
            <w:r>
              <w:t xml:space="preserve"> </w:t>
            </w:r>
            <w:r>
              <w:t xml:space="preserve">or even function-valued traits</w:t>
            </w:r>
            <w:r>
              <w:t xml:space="preserve"> </w:t>
            </w:r>
            <w:r>
              <w:t xml:space="preserve">[84]</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[85]</w:t>
            </w:r>
            <w:r>
              <w:t xml:space="preserve">:</w:t>
            </w:r>
          </w:p>
          <w:p>
            <w:pPr>
              <w:pStyle w:val="BodyText"/>
            </w:pPr>
            <w:bookmarkStart w:id="34"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4"/>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[86]</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[78,86]</w:t>
            </w:r>
            <w:r>
              <w:t xml:space="preserve">.</w:t>
            </w:r>
          </w:p>
          <w:p>
            <w:pPr>
              <w:pStyle w:val="BodyText"/>
            </w:pPr>
            <w:pPr>
              <w:spacing w:after="16"/>
            </w:pPr>
            <w:r>
              <w:t xml:space="preserve">Measuring and incorporating both plasticity and evolution into our proposed systems modelling framework is still rare and usually focused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[54,87–91]</w:t>
            </w:r>
            <w:r>
              <w:t xml:space="preserve">. For example, using isogenic lines of</w:t>
            </w:r>
            <w:r>
              <w:t xml:space="preserve"> </w:t>
            </w:r>
            <w:r>
              <w:rPr>
                <w:i/>
                <w:iCs/>
              </w:rPr>
              <w:t xml:space="preserve">Drosophia melanogaster</w:t>
            </w:r>
            <w:r>
              <w:t xml:space="preserve">,</w:t>
            </w:r>
            <w:r>
              <w:t xml:space="preserve"> </w:t>
            </w:r>
            <w:r>
              <w:t xml:space="preserve">[91]</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[87]</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[92]</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[93]</w:t>
            </w:r>
            <w:r>
              <w:t xml:space="preserve">. Thermal stressors may even influence producers’ psychological beliefs about their level of control over land management, and perceived resources available for management practices</w:t>
            </w:r>
            <w:r>
              <w:t xml:space="preserve"> </w:t>
            </w:r>
            <w:r>
              <w:t xml:space="preserve">[94]</w:t>
            </w:r>
            <w:r>
              <w:t xml:space="preserve">. Thermal risks to ecosystems may also precipitate declines in individual wellbeing, and these consequences may accrue differently across regions and across peoples</w:t>
            </w:r>
            <w:r>
              <w:t xml:space="preserve"> </w:t>
            </w:r>
            <w:r>
              <w:t xml:space="preserve">[95]</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[96,97]</w:t>
            </w:r>
            <w:r>
              <w:t xml:space="preserve">. On the other hand, adapting thermal risks in upper stream producers may also be influenced by the perception and behavior of downstream consumers</w:t>
            </w:r>
            <w:r>
              <w:t xml:space="preserve"> </w:t>
            </w:r>
            <w:r>
              <w:t xml:space="preserve">[98]</w:t>
            </w:r>
            <w:r>
              <w:t xml:space="preserve">. The cascading</w:t>
            </w:r>
            <w:r>
              <w:t xml:space="preserve"> </w:t>
            </w:r>
            <w:r>
              <w:t xml:space="preserve">[99]</w:t>
            </w:r>
            <w:r>
              <w:t xml:space="preserve"> </w:t>
            </w:r>
            <w:r>
              <w:t xml:space="preserve">and telecoupled</w:t>
            </w:r>
            <w:r>
              <w:t xml:space="preserve"> </w:t>
            </w:r>
            <w:r>
              <w:t xml:space="preserve">[100]</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[101]</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[102]</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[103]</w:t>
            </w:r>
            <w:r>
              <w:t xml:space="preserve">. Social-ecological models aim to capture the social systems, natural systems and their interactions</w:t>
            </w:r>
            <w:r>
              <w:t xml:space="preserve"> </w:t>
            </w:r>
            <w:r>
              <w:t xml:space="preserve">[104]</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[105]</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[106]</w:t>
            </w:r>
            <w:r>
              <w:t xml:space="preserve">. Process-based approaches are critical to understanding how emergent social-ecological phenomena develop</w:t>
            </w:r>
            <w:r>
              <w:t xml:space="preserve"> </w:t>
            </w:r>
            <w:r>
              <w:t xml:space="preserve">[107]</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[108]</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5"/>
    <w:bookmarkStart w:id="36" w:name="X42ca7aa69937316dee7b1e100d4320aa777518f"/>
    <w:p>
      <w:pPr>
        <w:pStyle w:val="Heading1"/>
      </w:pPr>
      <w:r>
        <w:t xml:space="preserve">‘Hot’</w:t>
      </w:r>
      <w:r>
        <w:t xml:space="preserve"> </w:t>
      </w:r>
      <w:r>
        <w:t xml:space="preserve">solutions for a changing world (Alison, Owen and Belinda, Mike)</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[109]</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 Case Study 4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57]</w:t>
      </w:r>
      <w:r>
        <w:t xml:space="preserve">. Integrating these solutions into a systems modelling framework will then allow for a calculated understanding of the viability of such approaches in real world situations.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on species and communities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36"/>
    <w:bookmarkStart w:id="37"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37"/>
    <w:bookmarkStart w:id="148" w:name="references"/>
    <w:p>
      <w:pPr>
        <w:pStyle w:val="Heading1"/>
      </w:pPr>
      <w:r>
        <w:t xml:space="preserve">References</w:t>
      </w:r>
    </w:p>
    <w:p>
      <w:pPr>
        <w:pStyle w:val="FirstParagraph"/>
      </w:pPr>
    </w:p>
    <w:bookmarkStart w:id="147" w:name="refs"/>
    <w:bookmarkStart w:id="38"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38"/>
    <w:bookmarkStart w:id="39"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0"/>
    <w:bookmarkStart w:id="41"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1"/>
    <w:bookmarkStart w:id="42"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2"/>
    <w:bookmarkStart w:id="43"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3"/>
    <w:bookmarkStart w:id="44"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4"/>
    <w:bookmarkStart w:id="45"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5"/>
    <w:bookmarkStart w:id="46"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6"/>
    <w:bookmarkStart w:id="47"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7"/>
    <w:bookmarkStart w:id="48"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8"/>
    <w:bookmarkStart w:id="49"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49"/>
    <w:bookmarkStart w:id="50"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0"/>
    <w:bookmarkStart w:id="51"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1"/>
    <w:bookmarkStart w:id="52"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2"/>
    <w:bookmarkStart w:id="53"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3"/>
    <w:bookmarkStart w:id="54"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4"/>
    <w:bookmarkStart w:id="55"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5"/>
    <w:bookmarkStart w:id="56"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6"/>
    <w:bookmarkStart w:id="57"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7"/>
    <w:bookmarkStart w:id="58"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58"/>
    <w:bookmarkStart w:id="59"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59"/>
    <w:bookmarkStart w:id="60"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0"/>
    <w:bookmarkStart w:id="61"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1"/>
    <w:bookmarkStart w:id="62"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2"/>
    <w:bookmarkStart w:id="63"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3"/>
    <w:bookmarkStart w:id="64"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4"/>
    <w:bookmarkStart w:id="65"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5"/>
    <w:bookmarkStart w:id="66"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6"/>
    <w:bookmarkStart w:id="67"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67"/>
    <w:bookmarkStart w:id="68"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68"/>
    <w:bookmarkStart w:id="69"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69"/>
    <w:bookmarkStart w:id="70"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0"/>
    <w:bookmarkStart w:id="71"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1"/>
    <w:bookmarkStart w:id="72"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2"/>
    <w:bookmarkStart w:id="73"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3"/>
    <w:bookmarkStart w:id="74"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4"/>
    <w:bookmarkStart w:id="75"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5"/>
    <w:bookmarkStart w:id="76"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6"/>
    <w:bookmarkStart w:id="77"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77"/>
    <w:bookmarkStart w:id="78"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78"/>
    <w:bookmarkStart w:id="79"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79"/>
    <w:bookmarkStart w:id="80"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0"/>
    <w:bookmarkStart w:id="81"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1"/>
    <w:bookmarkStart w:id="82"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2"/>
    <w:bookmarkStart w:id="83"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3"/>
    <w:bookmarkStart w:id="84"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4"/>
    <w:bookmarkStart w:id="85"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5"/>
    <w:bookmarkStart w:id="86"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6"/>
    <w:bookmarkStart w:id="87"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87"/>
    <w:bookmarkStart w:id="88"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88"/>
    <w:bookmarkStart w:id="89"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89"/>
    <w:bookmarkStart w:id="90"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0"/>
    <w:bookmarkStart w:id="91" w:name="ref-Youngblood2025"/>
    <w:p>
      <w:pPr>
        <w:pStyle w:val="Bibliography"/>
      </w:pPr>
      <w:r>
        <w:t xml:space="preserve">54.</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91"/>
    <w:bookmarkStart w:id="92"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92"/>
    <w:bookmarkStart w:id="93" w:name="ref-Liu2025"/>
    <w:p>
      <w:pPr>
        <w:pStyle w:val="Bibliography"/>
      </w:pPr>
      <w:r>
        <w:t xml:space="preserve">56.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93"/>
    <w:bookmarkStart w:id="94" w:name="ref-Marquez2007"/>
    <w:p>
      <w:pPr>
        <w:pStyle w:val="Bibliography"/>
      </w:pPr>
      <w:r>
        <w:t xml:space="preserve">57.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94"/>
    <w:bookmarkStart w:id="95" w:name="ref-Huang2019"/>
    <w:p>
      <w:pPr>
        <w:pStyle w:val="Bibliography"/>
      </w:pPr>
      <w:r>
        <w:t xml:space="preserve">58.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95"/>
    <w:bookmarkStart w:id="96" w:name="ref-Dastogeer2022"/>
    <w:p>
      <w:pPr>
        <w:pStyle w:val="Bibliography"/>
      </w:pPr>
      <w:r>
        <w:t xml:space="preserve">59.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96"/>
    <w:bookmarkStart w:id="97" w:name="ref-Hoang2019"/>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7"/>
    <w:bookmarkStart w:id="98" w:name="ref-Gehman2019"/>
    <w:p>
      <w:pPr>
        <w:pStyle w:val="Bibliography"/>
      </w:pPr>
      <w:r>
        <w:t xml:space="preserve">61.</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8"/>
    <w:bookmarkStart w:id="99" w:name="ref-Nisbet2000"/>
    <w:p>
      <w:pPr>
        <w:pStyle w:val="Bibliography"/>
      </w:pPr>
      <w:r>
        <w:t xml:space="preserve">62.</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99"/>
    <w:bookmarkStart w:id="100" w:name="ref-Jager2020"/>
    <w:p>
      <w:pPr>
        <w:pStyle w:val="Bibliography"/>
      </w:pPr>
      <w:r>
        <w:t xml:space="preserve">63.</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00"/>
    <w:bookmarkStart w:id="101" w:name="ref-Haberle2025"/>
    <w:p>
      <w:pPr>
        <w:pStyle w:val="Bibliography"/>
      </w:pPr>
      <w:r>
        <w:t xml:space="preserve">64.</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01"/>
    <w:bookmarkStart w:id="102" w:name="ref-Kearney2013"/>
    <w:p>
      <w:pPr>
        <w:pStyle w:val="Bibliography"/>
      </w:pPr>
      <w:r>
        <w:t xml:space="preserve">65.</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02"/>
    <w:bookmarkStart w:id="103" w:name="ref-Kearney2010"/>
    <w:p>
      <w:pPr>
        <w:pStyle w:val="Bibliography"/>
      </w:pPr>
      <w:r>
        <w:t xml:space="preserve">66.</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03"/>
    <w:bookmarkStart w:id="104" w:name="ref-Russo2022"/>
    <w:p>
      <w:pPr>
        <w:pStyle w:val="Bibliography"/>
      </w:pPr>
      <w:r>
        <w:t xml:space="preserve">67.</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04"/>
    <w:bookmarkStart w:id="105"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05"/>
    <w:bookmarkStart w:id="106"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06"/>
    <w:bookmarkStart w:id="107"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07"/>
    <w:bookmarkStart w:id="108"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08"/>
    <w:bookmarkStart w:id="109" w:name="ref-Ricker1954a"/>
    <w:p>
      <w:pPr>
        <w:pStyle w:val="Bibliography"/>
      </w:pPr>
      <w:r>
        <w:t xml:space="preserve">72.</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09"/>
    <w:bookmarkStart w:id="110" w:name="ref-Beverton2012"/>
    <w:p>
      <w:pPr>
        <w:pStyle w:val="Bibliography"/>
      </w:pPr>
      <w:r>
        <w:t xml:space="preserve">73.</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10"/>
    <w:bookmarkStart w:id="111" w:name="ref-Bertness1994"/>
    <w:p>
      <w:pPr>
        <w:pStyle w:val="Bibliography"/>
      </w:pPr>
      <w:r>
        <w:t xml:space="preserve">74.</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11"/>
    <w:bookmarkStart w:id="112" w:name="ref-Weiss-Lehman2022"/>
    <w:p>
      <w:pPr>
        <w:pStyle w:val="Bibliography"/>
      </w:pPr>
      <w:r>
        <w:t xml:space="preserve">75.</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12"/>
    <w:bookmarkStart w:id="113" w:name="ref-Chevin2017"/>
    <w:p>
      <w:pPr>
        <w:pStyle w:val="Bibliography"/>
      </w:pPr>
      <w:r>
        <w:t xml:space="preserve">76.</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3"/>
    <w:bookmarkStart w:id="114" w:name="ref-Urban2024"/>
    <w:p>
      <w:pPr>
        <w:pStyle w:val="Bibliography"/>
      </w:pPr>
      <w:r>
        <w:t xml:space="preserve">77.</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4"/>
    <w:bookmarkStart w:id="115" w:name="ref-Hoffmann2011"/>
    <w:p>
      <w:pPr>
        <w:pStyle w:val="Bibliography"/>
      </w:pPr>
      <w:r>
        <w:t xml:space="preserve">78.</w:t>
      </w:r>
      <w:r>
        <w:t xml:space="preserve"> </w:t>
      </w:r>
      <w:r>
        <w:t xml:space="preserve">	</w:t>
      </w:r>
      <w:r>
        <w:t xml:space="preserve">Hoffmann, A.A. and Sgrò, C.M. (2011) Climate change and evolutionary adaptation. 470, 479–485</w:t>
      </w:r>
    </w:p>
    <w:bookmarkEnd w:id="115"/>
    <w:bookmarkStart w:id="116" w:name="ref-Hoffmann2022"/>
    <w:p>
      <w:pPr>
        <w:pStyle w:val="Bibliography"/>
      </w:pPr>
      <w:r>
        <w:t xml:space="preserve">79.</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6"/>
    <w:bookmarkStart w:id="117" w:name="ref-Ghalambor2015"/>
    <w:p>
      <w:pPr>
        <w:pStyle w:val="Bibliography"/>
      </w:pPr>
      <w:r>
        <w:t xml:space="preserve">80.</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7"/>
    <w:bookmarkStart w:id="118" w:name="ref-Oostra2018"/>
    <w:p>
      <w:pPr>
        <w:pStyle w:val="Bibliography"/>
      </w:pPr>
      <w:r>
        <w:t xml:space="preserve">81.</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18"/>
    <w:bookmarkStart w:id="119" w:name="ref-Noble2019"/>
    <w:p>
      <w:pPr>
        <w:pStyle w:val="Bibliography"/>
      </w:pPr>
      <w:r>
        <w:t xml:space="preserve">82.</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19"/>
    <w:bookmarkStart w:id="120" w:name="ref-Sousa2010"/>
    <w:p>
      <w:pPr>
        <w:pStyle w:val="Bibliography"/>
      </w:pPr>
      <w:r>
        <w:t xml:space="preserve">83.</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0"/>
    <w:bookmarkStart w:id="121" w:name="ref-Stinchcombe2012"/>
    <w:p>
      <w:pPr>
        <w:pStyle w:val="Bibliography"/>
      </w:pPr>
      <w:r>
        <w:t xml:space="preserve">84.</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21"/>
    <w:bookmarkStart w:id="122" w:name="ref-Lande1979"/>
    <w:p>
      <w:pPr>
        <w:pStyle w:val="Bibliography"/>
      </w:pPr>
      <w:r>
        <w:t xml:space="preserve">85.</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22"/>
    <w:bookmarkStart w:id="123" w:name="ref-Walsh2018"/>
    <w:p>
      <w:pPr>
        <w:pStyle w:val="Bibliography"/>
      </w:pPr>
      <w:r>
        <w:t xml:space="preserve">86.</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23"/>
    <w:bookmarkStart w:id="124" w:name="ref-Baeza_Icaza2025"/>
    <w:p>
      <w:pPr>
        <w:pStyle w:val="Bibliography"/>
      </w:pPr>
      <w:r>
        <w:t xml:space="preserve">87.</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24"/>
    <w:bookmarkStart w:id="125" w:name="ref-Kearney2009a"/>
    <w:p>
      <w:pPr>
        <w:pStyle w:val="Bibliography"/>
      </w:pPr>
      <w:r>
        <w:t xml:space="preserve">88.</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25"/>
    <w:bookmarkStart w:id="126" w:name="ref-Ellner2011"/>
    <w:p>
      <w:pPr>
        <w:pStyle w:val="Bibliography"/>
      </w:pPr>
      <w:r>
        <w:t xml:space="preserve">89.</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26"/>
    <w:bookmarkStart w:id="127" w:name="ref-Pottier2022a"/>
    <w:p>
      <w:pPr>
        <w:pStyle w:val="Bibliography"/>
      </w:pPr>
      <w:r>
        <w:t xml:space="preserve">90.</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27"/>
    <w:bookmarkStart w:id="128" w:name="ref-Leiva2024b"/>
    <w:p>
      <w:pPr>
        <w:pStyle w:val="Bibliography"/>
      </w:pPr>
      <w:r>
        <w:t xml:space="preserve">91.</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28"/>
    <w:bookmarkStart w:id="129" w:name="ref-Assessment_undated-fv"/>
    <w:p>
      <w:pPr>
        <w:pStyle w:val="Bibliography"/>
      </w:pPr>
      <w:r>
        <w:t xml:space="preserve">92.</w:t>
      </w:r>
      <w:r>
        <w:t xml:space="preserve"> </w:t>
      </w:r>
      <w:r>
        <w:t xml:space="preserve">	</w:t>
      </w:r>
      <w:r>
        <w:t xml:space="preserve">Assessment, M.E. (2005) Opportunities and challenges for business and industryunioviedo.es</w:t>
      </w:r>
    </w:p>
    <w:bookmarkEnd w:id="129"/>
    <w:bookmarkStart w:id="130" w:name="ref-Dandy2019"/>
    <w:p>
      <w:pPr>
        <w:pStyle w:val="Bibliography"/>
      </w:pPr>
      <w:r>
        <w:t xml:space="preserve">93.</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30"/>
    <w:bookmarkStart w:id="131" w:name="ref-Price2014"/>
    <w:p>
      <w:pPr>
        <w:pStyle w:val="Bibliography"/>
      </w:pPr>
      <w:r>
        <w:t xml:space="preserve">94.</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31"/>
    <w:bookmarkStart w:id="132" w:name="ref-Leviston2018"/>
    <w:p>
      <w:pPr>
        <w:pStyle w:val="Bibliography"/>
      </w:pPr>
      <w:r>
        <w:t xml:space="preserve">95.</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32"/>
    <w:bookmarkStart w:id="133" w:name="ref-Bai2016"/>
    <w:p>
      <w:pPr>
        <w:pStyle w:val="Bibliography"/>
      </w:pPr>
      <w:r>
        <w:t xml:space="preserve">96.</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3"/>
    <w:bookmarkStart w:id="134" w:name="ref-Grimm2008"/>
    <w:p>
      <w:pPr>
        <w:pStyle w:val="Bibliography"/>
      </w:pPr>
      <w:r>
        <w:t xml:space="preserve">97.</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4"/>
    <w:bookmarkStart w:id="135" w:name="ref-Hendricks2022"/>
    <w:p>
      <w:pPr>
        <w:pStyle w:val="Bibliography"/>
      </w:pPr>
      <w:r>
        <w:t xml:space="preserve">98.</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5"/>
    <w:bookmarkStart w:id="136" w:name="ref-Sutanto2020"/>
    <w:p>
      <w:pPr>
        <w:pStyle w:val="Bibliography"/>
      </w:pPr>
      <w:r>
        <w:t xml:space="preserve">99.</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6"/>
    <w:bookmarkStart w:id="137" w:name="ref-Liu2007"/>
    <w:p>
      <w:pPr>
        <w:pStyle w:val="Bibliography"/>
      </w:pPr>
      <w:r>
        <w:t xml:space="preserve">100.</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7"/>
    <w:bookmarkStart w:id="138" w:name="ref-Black2011"/>
    <w:p>
      <w:pPr>
        <w:pStyle w:val="Bibliography"/>
      </w:pPr>
      <w:r>
        <w:t xml:space="preserve">101.</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8"/>
    <w:bookmarkStart w:id="139" w:name="ref-Neil_Adger1999"/>
    <w:p>
      <w:pPr>
        <w:pStyle w:val="Bibliography"/>
      </w:pPr>
      <w:r>
        <w:t xml:space="preserve">102.</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9"/>
    <w:bookmarkStart w:id="140" w:name="ref-Folke2016"/>
    <w:p>
      <w:pPr>
        <w:pStyle w:val="Bibliography"/>
      </w:pPr>
      <w:r>
        <w:t xml:space="preserve">103.</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40"/>
    <w:bookmarkStart w:id="141" w:name="ref-Schluter2012"/>
    <w:p>
      <w:pPr>
        <w:pStyle w:val="Bibliography"/>
      </w:pPr>
      <w:r>
        <w:t xml:space="preserve">104.</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41"/>
    <w:bookmarkStart w:id="142" w:name="ref-Wise2014"/>
    <w:p>
      <w:pPr>
        <w:pStyle w:val="Bibliography"/>
      </w:pPr>
      <w:r>
        <w:t xml:space="preserve">105.</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42"/>
    <w:bookmarkStart w:id="143" w:name="ref-Biggs2021"/>
    <w:p>
      <w:pPr>
        <w:pStyle w:val="Bibliography"/>
      </w:pPr>
      <w:r>
        <w:t xml:space="preserve">106.</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43"/>
    <w:bookmarkStart w:id="144" w:name="ref-Brown2021"/>
    <w:p>
      <w:pPr>
        <w:pStyle w:val="Bibliography"/>
      </w:pPr>
      <w:r>
        <w:t xml:space="preserve">107.</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44"/>
    <w:bookmarkStart w:id="145" w:name="ref-Kwakkel2013"/>
    <w:p>
      <w:pPr>
        <w:pStyle w:val="Bibliography"/>
      </w:pPr>
      <w:r>
        <w:t xml:space="preserve">108.</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45"/>
    <w:bookmarkStart w:id="146" w:name="ref-Shekhawat2022"/>
    <w:p>
      <w:pPr>
        <w:pStyle w:val="Bibliography"/>
      </w:pPr>
      <w:r>
        <w:t xml:space="preserve">109.</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46"/>
    <w:bookmarkEnd w:id="147"/>
    <w:p>
      <w:pPr>
        <w:pStyle w:val="BodyText"/>
      </w:pPr>
    </w:p>
    <w:bookmarkEnd w:id="148"/>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2025-05-27T06:13:31Z</dcterms:created>
  <dcterms:modified xsi:type="dcterms:W3CDTF">2025-05-27T06:13:31Z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