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3"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[11,12,21,22]</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has also been shown to apply well to photosynthetic function in plants</w:t>
      </w:r>
      <w:r>
        <w:t xml:space="preserve"> </w:t>
      </w:r>
      <w:r>
        <w:t xml:space="preserve">[23]</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[24]</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p>
      <w:pPr>
        <w:pStyle w:val="Compact"/>
        <w:numPr>
          <w:ilvl w:val="0"/>
          <w:numId w:val="1001"/>
        </w:numPr>
      </w:pPr>
      <w:r>
        <w:t xml:space="preserve">Introduce thermal load sensitivity theory</w:t>
      </w:r>
    </w:p>
    <w:p>
      <w:pPr>
        <w:pStyle w:val="Compact"/>
        <w:numPr>
          <w:ilvl w:val="1"/>
          <w:numId w:val="1002"/>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2"/>
        </w:numPr>
      </w:pPr>
      <w:r>
        <w:t xml:space="preserve">Mechanistically involves the accumulation of damage and repair over time in response to a temperature stressor</w:t>
      </w:r>
    </w:p>
    <w:p>
      <w:pPr>
        <w:pStyle w:val="Compact"/>
        <w:numPr>
          <w:ilvl w:val="1"/>
          <w:numId w:val="1002"/>
        </w:numPr>
      </w:pPr>
      <w:r>
        <w:t xml:space="preserve">We know different species will be exposed to extreme heat at different life stages</w:t>
      </w:r>
    </w:p>
    <w:p>
      <w:pPr>
        <w:pStyle w:val="Compact"/>
        <w:numPr>
          <w:ilvl w:val="1"/>
          <w:numId w:val="1002"/>
        </w:numPr>
      </w:pPr>
      <w:r>
        <w:t xml:space="preserve">We know sensitivity will vary across species and life stages</w:t>
      </w:r>
    </w:p>
    <w:p>
      <w:pPr>
        <w:pStyle w:val="Compact"/>
        <w:numPr>
          <w:ilvl w:val="1"/>
          <w:numId w:val="1002"/>
        </w:numPr>
      </w:pPr>
      <w:r>
        <w:t xml:space="preserve">We can make predictions about impacts of heat on: 1) survival and 2) reproduction across life stages and even tissues</w:t>
      </w:r>
    </w:p>
    <w:p>
      <w:pPr>
        <w:pStyle w:val="Compact"/>
        <w:numPr>
          <w:ilvl w:val="1"/>
          <w:numId w:val="1002"/>
        </w:numPr>
      </w:pPr>
      <w:r>
        <w:t xml:space="preserve">Can be applied to both plants and animals- allows for lagged effects of heat stress on survival and reproduction in response to short term heat stress events</w:t>
      </w:r>
    </w:p>
    <w:p>
      <w:pPr>
        <w:pStyle w:val="Compact"/>
        <w:numPr>
          <w:ilvl w:val="1"/>
          <w:numId w:val="1002"/>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2"/>
        </w:numPr>
      </w:pPr>
      <w:r>
        <w:t xml:space="preserve">Concepts can be applied to both plants and animals, and targeted to key tissues</w:t>
      </w:r>
    </w:p>
    <w:p>
      <w:pPr>
        <w:pStyle w:val="Compact"/>
        <w:numPr>
          <w:ilvl w:val="1"/>
          <w:numId w:val="1002"/>
        </w:numPr>
      </w:pPr>
      <w:r>
        <w:t xml:space="preserve">Critical to TLS is the idea of damage accumulation and repair over time in response to a temperature stressor</w:t>
      </w:r>
    </w:p>
    <w:p>
      <w:pPr>
        <w:pStyle w:val="Compact"/>
        <w:numPr>
          <w:ilvl w:val="1"/>
          <w:numId w:val="1002"/>
        </w:numPr>
      </w:pPr>
      <w:r>
        <w:t xml:space="preserve">Figure 1: demonstrating how thermal load sensitivity can be used to predict heat stress impacts on plants and animals, survival, reproductive tissue. Simplified.</w:t>
      </w:r>
    </w:p>
    <w:bookmarkEnd w:id="23"/>
    <w:bookmarkStart w:id="24"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[16,25]</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[27]</w:t>
      </w:r>
      <w:r>
        <w:t xml:space="preserve">) and resource availability (nutrients)</w:t>
      </w:r>
      <w:r>
        <w:t xml:space="preserve"> </w:t>
      </w:r>
      <w:r>
        <w:t xml:space="preserve">[28,29]</w:t>
      </w:r>
      <w:r>
        <w:t xml:space="preserve"> </w:t>
      </w:r>
      <w:r>
        <w:t xml:space="preserve">to understand how they affect development,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[30,31]</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[32]</w:t>
      </w:r>
      <w:r>
        <w:t xml:space="preserve">). In addition, software packages such as</w:t>
      </w:r>
      <w:r>
        <w:t xml:space="preserve"> </w:t>
      </w:r>
      <w:r>
        <w:rPr>
          <w:i/>
          <w:iCs/>
        </w:rPr>
        <w:t xml:space="preserve">NicheMapR</w:t>
      </w:r>
      <w:r>
        <w:t xml:space="preserve"> </w:t>
      </w:r>
      <w:r>
        <w:t xml:space="preserve">[33,34]</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4"/>
    <w:bookmarkStart w:id="25"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[35]</w:t>
      </w:r>
      <w:r>
        <w:t xml:space="preserve"> </w:t>
      </w:r>
      <w:r>
        <w:t xml:space="preserve">and Beverton-Holt</w:t>
      </w:r>
      <w:r>
        <w:t xml:space="preserve"> </w:t>
      </w:r>
      <w:r>
        <w:t xml:space="preserve">[36]</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[37]</w:t>
      </w:r>
      <w:r>
        <w:t xml:space="preserve">. In thinking about thermal extremes, it is likely that species experience a switch from amenable to harsh conditions, making it likely that interaction outcomes may flip signs</w:t>
      </w:r>
      <w:r>
        <w:t xml:space="preserve"> </w:t>
      </w:r>
      <w:r>
        <w:t xml:space="preserve">[38]</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[38,39]</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[39]</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[38]</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[38]</w:t>
      </w:r>
      <w:r>
        <w:t xml:space="preserve">. The limitation of these methods is that they are data hungry, but even this can be handled by emerging approaches for reducing model complexity without losing model power</w:t>
      </w:r>
      <w:r>
        <w:t xml:space="preserve"> </w:t>
      </w:r>
      <w:r>
        <w:t xml:space="preserve">[40]</w:t>
      </w:r>
      <w:r>
        <w:t xml:space="preserve">.</w:t>
      </w:r>
    </w:p>
    <w:p>
      <w:pPr>
        <w:pStyle w:val="Compact"/>
        <w:numPr>
          <w:ilvl w:val="0"/>
          <w:numId w:val="1003"/>
        </w:numPr>
      </w:pPr>
      <w:r>
        <w:t xml:space="preserve">How can we link mechanistic physiological models with population and community ecology theory?</w:t>
      </w:r>
    </w:p>
    <w:p>
      <w:pPr>
        <w:pStyle w:val="Compact"/>
        <w:numPr>
          <w:ilvl w:val="0"/>
          <w:numId w:val="1003"/>
        </w:numPr>
      </w:pPr>
      <w:r>
        <w:t xml:space="preserve">Introducing population and network models to link outputs from DEB (survival, reproduction, abundance) to population growth.</w:t>
      </w:r>
    </w:p>
    <w:p>
      <w:pPr>
        <w:pStyle w:val="Compact"/>
        <w:numPr>
          <w:ilvl w:val="0"/>
          <w:numId w:val="1003"/>
        </w:numPr>
      </w:pPr>
      <w:r>
        <w:t xml:space="preserve">How people are analysing communities with network theory. Some important papers</w:t>
      </w:r>
      <w:r>
        <w:t xml:space="preserve"> </w:t>
      </w:r>
      <w:r>
        <w:t xml:space="preserve">[41]</w:t>
      </w:r>
      <w:r>
        <w:t xml:space="preserve"> </w:t>
      </w:r>
      <w:r>
        <w:t xml:space="preserve">[42]</w:t>
      </w:r>
      <w:r>
        <w:t xml:space="preserve"> </w:t>
      </w:r>
      <w:r>
        <w:t xml:space="preserve">[43]</w:t>
      </w:r>
      <w:r>
        <w:t xml:space="preserve"> </w:t>
      </w:r>
      <w:r>
        <w:t xml:space="preserve">[44]</w:t>
      </w:r>
      <w:r>
        <w:t xml:space="preserve"> </w:t>
      </w:r>
      <w:r>
        <w:t xml:space="preserve">[45]</w:t>
      </w:r>
      <w:r>
        <w:t xml:space="preserve"> </w:t>
      </w:r>
      <w:r>
        <w:t xml:space="preserve">[46]</w:t>
      </w:r>
      <w:r>
        <w:t xml:space="preserve"> </w:t>
      </w:r>
      <w:r>
        <w:t xml:space="preserve">[47]</w:t>
      </w:r>
      <w:r>
        <w:t xml:space="preserve"> </w:t>
      </w:r>
      <w:r>
        <w:t xml:space="preserve">Should also look at this book</w:t>
      </w:r>
      <w:r>
        <w:t xml:space="preserve"> </w:t>
      </w:r>
      <w:r>
        <w:t xml:space="preserve">[48]</w:t>
      </w:r>
    </w:p>
    <w:p>
      <w:pPr>
        <w:pStyle w:val="Compact"/>
        <w:numPr>
          <w:ilvl w:val="0"/>
          <w:numId w:val="1003"/>
        </w:numPr>
      </w:pPr>
      <w:r>
        <w:t xml:space="preserve">How can we capture interactions among species within the community to predict how heat stress will affect community structure?</w:t>
      </w:r>
    </w:p>
    <w:p>
      <w:pPr>
        <w:pStyle w:val="Compact"/>
        <w:numPr>
          <w:ilvl w:val="0"/>
          <w:numId w:val="1003"/>
        </w:numPr>
      </w:pPr>
      <w:r>
        <w:t xml:space="preserve">Figure 2: demonstrating how TLS, biophysical and DEB models can be used to predict heat stress impacts on plants and animals, growth, reproduction, survival. (Dan, Margie)</w:t>
      </w:r>
    </w:p>
    <w:p>
      <w:pPr>
        <w:pStyle w:val="Compact"/>
        <w:numPr>
          <w:ilvl w:val="0"/>
          <w:numId w:val="1003"/>
        </w:numPr>
      </w:pPr>
      <w:r>
        <w:t xml:space="preserve">Also this is a cool paper</w:t>
      </w:r>
      <w:r>
        <w:t xml:space="preserve"> </w:t>
      </w:r>
      <w:r>
        <w:t xml:space="preserve">[49]</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[50]</w:t>
      </w:r>
      <w:r>
        <w:t xml:space="preserve">. We can here model the actual abundance of a given species and it would seem more flexible to incorporate thermal tolerance infor into these models.</w:t>
      </w:r>
    </w:p>
    <w:p>
      <w:pPr>
        <w:pStyle w:val="Compact"/>
        <w:numPr>
          <w:ilvl w:val="0"/>
          <w:numId w:val="1003"/>
        </w:numPr>
      </w:pPr>
      <w:r>
        <w:t xml:space="preserve">have a close look at</w:t>
      </w:r>
      <w:r>
        <w:t xml:space="preserve"> </w:t>
      </w:r>
      <w:r>
        <w:t xml:space="preserve">[51]</w:t>
      </w:r>
      <w:r>
        <w:t xml:space="preserve"> </w:t>
      </w:r>
      <w:r>
        <w:t xml:space="preserve">and</w:t>
      </w:r>
      <w:r>
        <w:t xml:space="preserve"> </w:t>
      </w:r>
      <w:r>
        <w:t xml:space="preserve">[52]</w:t>
      </w:r>
      <w:r>
        <w:t xml:space="preserve">, limitations</w:t>
      </w:r>
      <w:r>
        <w:t xml:space="preserve"> </w:t>
      </w:r>
      <w:r>
        <w:t xml:space="preserve">[53]</w:t>
      </w:r>
    </w:p>
    <w:bookmarkEnd w:id="25"/>
    <w:bookmarkStart w:id="31"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4"/>
        </w:numPr>
      </w:pPr>
      <w:r>
        <w:t xml:space="preserve">Goal of this section is to briefly focus on the BIOLOGY that will shift thermal exposure and sensitivity in plants and animals.</w:t>
      </w:r>
    </w:p>
    <w:p>
      <w:pPr>
        <w:pStyle w:val="Compact"/>
        <w:numPr>
          <w:ilvl w:val="0"/>
          <w:numId w:val="1004"/>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[24]</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4"/>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4"/>
        </w:numPr>
      </w:pPr>
      <w:r>
        <w:t xml:space="preserve">If uncertain about adding a sentence to the link to the models above, that’s ok, Dan, Mike, Margie and Belinda can add.</w:t>
      </w:r>
    </w:p>
    <w:bookmarkStart w:id="26" w:name="X1b136e3eae891c477bc728d2597e572ca649eaa"/>
    <w:p>
      <w:pPr>
        <w:pStyle w:val="Heading3"/>
      </w:pPr>
      <w:r>
        <w:t xml:space="preserve">Microbial communities can impact thermal sensitivity in plants and animals (Brajesh)</w:t>
      </w:r>
    </w:p>
    <w:p>
      <w:pPr>
        <w:pStyle w:val="Compact"/>
        <w:numPr>
          <w:ilvl w:val="0"/>
          <w:numId w:val="1005"/>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[54]</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5"/>
        </w:numPr>
      </w:pPr>
      <w:r>
        <w:t xml:space="preserve">See</w:t>
      </w:r>
      <w:r>
        <w:t xml:space="preserve"> </w:t>
      </w:r>
      <w:r>
        <w:t xml:space="preserve">[55]</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[56]</w:t>
      </w:r>
      <w:r>
        <w:t xml:space="preserve">, which is thought to be associated with transcriptional buffering of hosts by the natural microbiome</w:t>
      </w:r>
      <w:r>
        <w:t xml:space="preserve"> </w:t>
      </w:r>
      <w:r>
        <w:t xml:space="preserve">[57]</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[58]</w:t>
      </w:r>
      <w:r>
        <w:t xml:space="preserve">. Moreover, this protective effect can influence the ability of the host to evolve further resistance to the heat shock and harboured more bacteria</w:t>
      </w:r>
      <w:r>
        <w:t xml:space="preserve"> </w:t>
      </w:r>
      <w:r>
        <w:t xml:space="preserve">[59]</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[60]</w:t>
      </w:r>
      <w:r>
        <w:t xml:space="preserve">, On the other hand, many endosymbionts including those providing host benefits appear particularly sensitive to heat</w:t>
      </w:r>
      <w:r>
        <w:t xml:space="preserve"> </w:t>
      </w:r>
      <w:r>
        <w:t xml:space="preserve">[61]</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[62]</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[63]</w:t>
      </w:r>
      <w:r>
        <w:t xml:space="preserve">.</w:t>
      </w:r>
    </w:p>
    <w:p>
      <w:pPr>
        <w:pStyle w:val="BodyText"/>
      </w:pPr>
      <w:r>
        <w:t xml:space="preserve">Interaction between plants and microorganisms such as plant growth-promoting rhizobacteria (PGPR), arbuscular mycorrhizal fungi (AMF), and bacterial or fungal endophytes regulate growth and defense, including improved heat tolerance in plants</w:t>
      </w:r>
      <w:r>
        <w:t xml:space="preserve"> </w:t>
      </w:r>
      <w:r>
        <w:t xml:space="preserve">[64,65]</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[66,67]</w:t>
      </w:r>
      <w:r>
        <w:t xml:space="preserve">. Under the current global climate change scenarios, each degree Celsius increase in global mean temperature is estimated to reduce the global yield of wheat by 6.0% and soybean (Glycine max) by 3.1%</w:t>
      </w:r>
      <w:r>
        <w:t xml:space="preserve"> </w:t>
      </w:r>
      <w:r>
        <w:t xml:space="preserve">[68]</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[69,70]</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[71,72]</w:t>
      </w:r>
      <w:r>
        <w:t xml:space="preserve"> </w:t>
      </w:r>
      <w:r>
        <w:t xml:space="preserve">and microorganism</w:t>
      </w:r>
      <w:r>
        <w:t xml:space="preserve"> </w:t>
      </w:r>
      <w:r>
        <w:t xml:space="preserve">[73]</w:t>
      </w:r>
      <w:r>
        <w:t xml:space="preserve">. However, comprehensive models with high prediction powers for plant microbe interactions are still lacking, which hampers our understanding of the heat tolerance in plants and microorganisms.</w:t>
      </w:r>
    </w:p>
    <w:bookmarkEnd w:id="26"/>
    <w:bookmarkStart w:id="27" w:name="X24738ef4513767bb724ce8804ac017259eaf2ee"/>
    <w:p>
      <w:pPr>
        <w:pStyle w:val="Heading3"/>
      </w:pPr>
      <w:r>
        <w:t xml:space="preserve">Water availability can impact thermal sensitivity of plants and animals (Brendan)</w:t>
      </w:r>
    </w:p>
    <w:bookmarkEnd w:id="27"/>
    <w:bookmarkStart w:id="28"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6"/>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8"/>
    <w:bookmarkStart w:id="29"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29"/>
    <w:bookmarkStart w:id="30" w:name="X1f820984f57b727edc20965138ee13069f96c01"/>
    <w:p>
      <w:pPr>
        <w:pStyle w:val="Heading3"/>
      </w:pPr>
      <w:r>
        <w:t xml:space="preserve">Phenology and activity pattern shifts mediating interactions (James?)</w:t>
      </w:r>
    </w:p>
    <w:bookmarkEnd w:id="30"/>
    <w:bookmarkEnd w:id="31"/>
    <w:bookmarkStart w:id="33"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7"/>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7"/>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8"/>
        </w:numPr>
      </w:pPr>
      <w:r>
        <w:t xml:space="preserve">Microbial recruitment (Braj)</w:t>
      </w:r>
    </w:p>
    <w:p>
      <w:pPr>
        <w:pStyle w:val="Compact"/>
        <w:numPr>
          <w:ilvl w:val="1"/>
          <w:numId w:val="1008"/>
        </w:numPr>
      </w:pPr>
      <w:r>
        <w:t xml:space="preserve">Pollinator services (James, Margie)</w:t>
      </w:r>
    </w:p>
    <w:p>
      <w:pPr>
        <w:pStyle w:val="Compact"/>
        <w:numPr>
          <w:ilvl w:val="0"/>
          <w:numId w:val="1007"/>
        </w:numPr>
      </w:pPr>
      <w:r>
        <w:t xml:space="preserve">Cooler landscapes</w:t>
      </w:r>
    </w:p>
    <w:p>
      <w:pPr>
        <w:pStyle w:val="Compact"/>
        <w:numPr>
          <w:ilvl w:val="1"/>
          <w:numId w:val="1009"/>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7"/>
        </w:numPr>
      </w:pPr>
      <w:r>
        <w:t xml:space="preserve">Pest and disease prediction and control. (Ary)</w:t>
      </w:r>
    </w:p>
    <w:p>
      <w:pPr>
        <w:pStyle w:val="Compact"/>
        <w:numPr>
          <w:ilvl w:val="0"/>
          <w:numId w:val="1007"/>
        </w:numPr>
      </w:pPr>
      <w:r>
        <w:t xml:space="preserve">Conservation (Adrienne?)</w:t>
      </w:r>
    </w:p>
    <w:bookmarkStart w:id="32" w:name="Xf9650dc0ea0b351fc010b34968d2cf3bde51c90"/>
    <w:p>
      <w:pPr>
        <w:pStyle w:val="Heading4"/>
      </w:pPr>
      <w:r>
        <w:t xml:space="preserve">Interacting species interacting with people: social-ecological systems (Steven and Xuemei) (~300-500 words)</w:t>
      </w:r>
    </w:p>
    <w:p>
      <w:pPr>
        <w:pStyle w:val="Compact"/>
        <w:numPr>
          <w:ilvl w:val="0"/>
          <w:numId w:val="1010"/>
        </w:numPr>
      </w:pPr>
      <w:r>
        <w:t xml:space="preserve">Nested scale idea, from genetics to species to ecosystem to SES, if not presented earlier</w:t>
      </w:r>
    </w:p>
    <w:p>
      <w:pPr>
        <w:pStyle w:val="Compact"/>
        <w:numPr>
          <w:ilvl w:val="0"/>
          <w:numId w:val="1010"/>
        </w:numPr>
      </w:pPr>
      <w:r>
        <w:t xml:space="preserve">Must consider social-</w:t>
      </w:r>
    </w:p>
    <w:p>
      <w:pPr>
        <w:pStyle w:val="Compact"/>
        <w:numPr>
          <w:ilvl w:val="0"/>
          <w:numId w:val="1010"/>
        </w:numPr>
      </w:pPr>
      <w:r>
        <w:t xml:space="preserve">multiple pathways and varying magnitude of cascading impacts</w:t>
      </w:r>
    </w:p>
    <w:p>
      <w:pPr>
        <w:pStyle w:val="Compact"/>
        <w:numPr>
          <w:ilvl w:val="0"/>
          <w:numId w:val="1010"/>
        </w:numPr>
      </w:pPr>
      <w:r>
        <w:t xml:space="preserve">solutions need to be supported by the society</w:t>
      </w:r>
    </w:p>
    <w:p>
      <w:pPr>
        <w:pStyle w:val="Compact"/>
        <w:numPr>
          <w:ilvl w:val="0"/>
          <w:numId w:val="1010"/>
        </w:numPr>
      </w:pPr>
      <w:r>
        <w:t xml:space="preserve">Not sufficiently understood</w:t>
      </w:r>
    </w:p>
    <w:p>
      <w:pPr>
        <w:pStyle w:val="Compact"/>
        <w:numPr>
          <w:ilvl w:val="0"/>
          <w:numId w:val="1010"/>
        </w:numPr>
      </w:pPr>
      <w:r>
        <w:t xml:space="preserve">What SES systems modeling can do</w:t>
      </w:r>
    </w:p>
    <w:bookmarkEnd w:id="32"/>
    <w:bookmarkEnd w:id="33"/>
    <w:bookmarkStart w:id="39" w:name="X78b08fde953bb9dcb9bb22555137d822070b4a9"/>
    <w:p>
      <w:pPr>
        <w:pStyle w:val="Heading1"/>
      </w:pPr>
      <w:r>
        <w:t xml:space="preserve">Future directions: modelling challenges, gaps and possible solutions</w:t>
      </w:r>
    </w:p>
    <w:bookmarkStart w:id="34"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4"/>
    <w:bookmarkStart w:id="35"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5"/>
    <w:bookmarkStart w:id="36"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6"/>
    <w:bookmarkStart w:id="37"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[76]</w:t>
      </w:r>
      <w:r>
        <w:t xml:space="preserve"> </w:t>
      </w:r>
      <w:r>
        <w:t xml:space="preserve">(Ary)</w:t>
      </w:r>
    </w:p>
    <w:bookmarkEnd w:id="37"/>
    <w:bookmarkStart w:id="38"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8"/>
    <w:bookmarkEnd w:id="39"/>
    <w:bookmarkStart w:id="117" w:name="references"/>
    <w:p>
      <w:pPr>
        <w:pStyle w:val="Heading1"/>
      </w:pPr>
      <w:r>
        <w:t xml:space="preserve">References</w:t>
      </w:r>
    </w:p>
    <w:bookmarkStart w:id="116" w:name="refs"/>
    <w:bookmarkStart w:id="40"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0"/>
    <w:bookmarkStart w:id="41"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1"/>
    <w:bookmarkStart w:id="42"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2"/>
    <w:bookmarkStart w:id="43"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3"/>
    <w:bookmarkStart w:id="44"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4"/>
    <w:bookmarkStart w:id="45"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5"/>
    <w:bookmarkStart w:id="46"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6"/>
    <w:bookmarkStart w:id="47"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7"/>
    <w:bookmarkStart w:id="48"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8"/>
    <w:bookmarkStart w:id="49"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9"/>
    <w:bookmarkStart w:id="50"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0"/>
    <w:bookmarkStart w:id="51"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1"/>
    <w:bookmarkStart w:id="52"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2"/>
    <w:bookmarkStart w:id="53"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3"/>
    <w:bookmarkStart w:id="54"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4"/>
    <w:bookmarkStart w:id="55"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5"/>
    <w:bookmarkStart w:id="56"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6"/>
    <w:bookmarkStart w:id="57"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7"/>
    <w:bookmarkStart w:id="58"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8"/>
    <w:bookmarkStart w:id="59"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9"/>
    <w:bookmarkStart w:id="60"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0"/>
    <w:bookmarkStart w:id="61"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1"/>
    <w:bookmarkStart w:id="62" w:name="ref-Faber2024"/>
    <w:p>
      <w:pPr>
        <w:pStyle w:val="Bibliography"/>
      </w:pPr>
      <w:r>
        <w:t xml:space="preserve">23.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2"/>
    <w:bookmarkStart w:id="63" w:name="ref-Martinez-De_Leon2024"/>
    <w:p>
      <w:pPr>
        <w:pStyle w:val="Bibliography"/>
      </w:pPr>
      <w:r>
        <w:t xml:space="preserve">24.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3"/>
    <w:bookmarkStart w:id="64" w:name="ref-Nisbet2000"/>
    <w:p>
      <w:pPr>
        <w:pStyle w:val="Bibliography"/>
      </w:pPr>
      <w:r>
        <w:t xml:space="preserve">25.</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64"/>
    <w:bookmarkStart w:id="65" w:name="ref-Jager2020"/>
    <w:p>
      <w:pPr>
        <w:pStyle w:val="Bibliography"/>
      </w:pPr>
      <w:r>
        <w:t xml:space="preserve">26.</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5"/>
    <w:bookmarkStart w:id="66" w:name="ref-Haberle2025"/>
    <w:p>
      <w:pPr>
        <w:pStyle w:val="Bibliography"/>
      </w:pPr>
      <w:r>
        <w:t xml:space="preserve">27.</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6"/>
    <w:bookmarkStart w:id="67" w:name="ref-Kearney2013"/>
    <w:p>
      <w:pPr>
        <w:pStyle w:val="Bibliography"/>
      </w:pPr>
      <w:r>
        <w:t xml:space="preserve">28.</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67"/>
    <w:bookmarkStart w:id="68" w:name="ref-Kearney2010"/>
    <w:p>
      <w:pPr>
        <w:pStyle w:val="Bibliography"/>
      </w:pPr>
      <w:r>
        <w:t xml:space="preserve">29.</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68"/>
    <w:bookmarkStart w:id="69" w:name="ref-Marques2018"/>
    <w:p>
      <w:pPr>
        <w:pStyle w:val="Bibliography"/>
      </w:pPr>
      <w:r>
        <w:t xml:space="preserve">30.</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69"/>
    <w:bookmarkStart w:id="70" w:name="ref-Kooijman2021"/>
    <w:p>
      <w:pPr>
        <w:pStyle w:val="Bibliography"/>
      </w:pPr>
      <w:r>
        <w:t xml:space="preserve">31.</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70"/>
    <w:bookmarkStart w:id="71" w:name="ref-Bruggeman2009"/>
    <w:p>
      <w:pPr>
        <w:pStyle w:val="Bibliography"/>
      </w:pPr>
      <w:r>
        <w:t xml:space="preserve">32.</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71"/>
    <w:bookmarkStart w:id="72"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2"/>
    <w:bookmarkStart w:id="73" w:name="ref-Kearney2020a"/>
    <w:p>
      <w:pPr>
        <w:pStyle w:val="Bibliography"/>
      </w:pPr>
      <w:r>
        <w:t xml:space="preserve">34.</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73"/>
    <w:bookmarkStart w:id="74" w:name="ref-Ricker1954a"/>
    <w:p>
      <w:pPr>
        <w:pStyle w:val="Bibliography"/>
      </w:pPr>
      <w:r>
        <w:t xml:space="preserve">35.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74"/>
    <w:bookmarkStart w:id="75" w:name="ref-Beverton2012"/>
    <w:p>
      <w:pPr>
        <w:pStyle w:val="Bibliography"/>
      </w:pPr>
      <w:r>
        <w:t xml:space="preserve">36.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75"/>
    <w:bookmarkStart w:id="76" w:name="ref-Bertness1994"/>
    <w:p>
      <w:pPr>
        <w:pStyle w:val="Bibliography"/>
      </w:pPr>
      <w:r>
        <w:t xml:space="preserve">37.</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76"/>
    <w:bookmarkStart w:id="77" w:name="ref-Bimler2018"/>
    <w:p>
      <w:pPr>
        <w:pStyle w:val="Bibliography"/>
      </w:pPr>
      <w:r>
        <w:t xml:space="preserve">38.</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77"/>
    <w:bookmarkStart w:id="78" w:name="ref-Bowler2022"/>
    <w:p>
      <w:pPr>
        <w:pStyle w:val="Bibliography"/>
      </w:pPr>
      <w:r>
        <w:t xml:space="preserve">39.</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78"/>
    <w:bookmarkStart w:id="79" w:name="ref-Weiss-Lehman2022"/>
    <w:p>
      <w:pPr>
        <w:pStyle w:val="Bibliography"/>
      </w:pPr>
      <w:r>
        <w:t xml:space="preserve">40.</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79"/>
    <w:bookmarkStart w:id="80" w:name="ref-Delmas2019"/>
    <w:p>
      <w:pPr>
        <w:pStyle w:val="Bibliography"/>
      </w:pPr>
      <w:r>
        <w:t xml:space="preserve">41.</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80"/>
    <w:bookmarkStart w:id="81" w:name="ref-Godoy2019"/>
    <w:p>
      <w:pPr>
        <w:pStyle w:val="Bibliography"/>
      </w:pPr>
      <w:r>
        <w:t xml:space="preserve">42.</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81"/>
    <w:bookmarkStart w:id="82" w:name="ref-Poisot2021"/>
    <w:p>
      <w:pPr>
        <w:pStyle w:val="Bibliography"/>
      </w:pPr>
      <w:r>
        <w:t xml:space="preserve">43.</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82"/>
    <w:bookmarkStart w:id="83" w:name="ref-Hui2019"/>
    <w:p>
      <w:pPr>
        <w:pStyle w:val="Bibliography"/>
      </w:pPr>
      <w:r>
        <w:t xml:space="preserve">44.</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83"/>
    <w:bookmarkStart w:id="84" w:name="ref-Gomez2023"/>
    <w:p>
      <w:pPr>
        <w:pStyle w:val="Bibliography"/>
      </w:pPr>
      <w:r>
        <w:t xml:space="preserve">45.</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84"/>
    <w:bookmarkStart w:id="85" w:name="ref-Lytle2023"/>
    <w:p>
      <w:pPr>
        <w:pStyle w:val="Bibliography"/>
      </w:pPr>
      <w:r>
        <w:t xml:space="preserve">46.</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85"/>
    <w:bookmarkStart w:id="86" w:name="ref-Petsopoulos2021"/>
    <w:p>
      <w:pPr>
        <w:pStyle w:val="Bibliography"/>
      </w:pPr>
      <w:r>
        <w:t xml:space="preserve">47.</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86"/>
    <w:bookmarkStart w:id="87" w:name="ref-Dale2021"/>
    <w:p>
      <w:pPr>
        <w:pStyle w:val="Bibliography"/>
      </w:pPr>
      <w:r>
        <w:t xml:space="preserve">48.</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87"/>
    <w:bookmarkStart w:id="88" w:name="ref-Lu2023"/>
    <w:p>
      <w:pPr>
        <w:pStyle w:val="Bibliography"/>
      </w:pPr>
      <w:r>
        <w:t xml:space="preserve">49.</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88"/>
    <w:bookmarkStart w:id="89" w:name="ref-Carrara2015"/>
    <w:p>
      <w:pPr>
        <w:pStyle w:val="Bibliography"/>
      </w:pPr>
      <w:r>
        <w:t xml:space="preserve">50.</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89"/>
    <w:bookmarkStart w:id="90" w:name="ref-Vitali2022"/>
    <w:p>
      <w:pPr>
        <w:pStyle w:val="Bibliography"/>
      </w:pPr>
      <w:r>
        <w:t xml:space="preserve">51.</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90"/>
    <w:bookmarkStart w:id="91" w:name="ref-Riva2023"/>
    <w:p>
      <w:pPr>
        <w:pStyle w:val="Bibliography"/>
      </w:pPr>
      <w:r>
        <w:t xml:space="preserve">52.</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91"/>
    <w:bookmarkStart w:id="92" w:name="ref-Terry2020"/>
    <w:p>
      <w:pPr>
        <w:pStyle w:val="Bibliography"/>
      </w:pPr>
      <w:r>
        <w:t xml:space="preserve">53.</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92"/>
    <w:bookmarkStart w:id="93" w:name="ref-Marquez2007"/>
    <w:p>
      <w:pPr>
        <w:pStyle w:val="Bibliography"/>
      </w:pPr>
      <w:r>
        <w:t xml:space="preserve">54.</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93"/>
    <w:bookmarkStart w:id="94" w:name="ref-Zou2024"/>
    <w:p>
      <w:pPr>
        <w:pStyle w:val="Bibliography"/>
      </w:pPr>
      <w:r>
        <w:t xml:space="preserve">55.</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94"/>
    <w:bookmarkStart w:id="95" w:name="ref-Fontaine2022"/>
    <w:p>
      <w:pPr>
        <w:pStyle w:val="Bibliography"/>
      </w:pPr>
      <w:r>
        <w:t xml:space="preserve">56.</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5"/>
    <w:bookmarkStart w:id="96" w:name="ref-Fontaine2023"/>
    <w:p>
      <w:pPr>
        <w:pStyle w:val="Bibliography"/>
      </w:pPr>
      <w:r>
        <w:t xml:space="preserve">57.</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6"/>
    <w:bookmarkStart w:id="97" w:name="ref-Hoang2019"/>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7"/>
    <w:bookmarkStart w:id="98" w:name="ref-Gehman2019"/>
    <w:p>
      <w:pPr>
        <w:pStyle w:val="Bibliography"/>
      </w:pPr>
      <w:r>
        <w:t xml:space="preserve">59.</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8"/>
    <w:bookmarkStart w:id="99" w:name="ref-Hoang2021"/>
    <w:p>
      <w:pPr>
        <w:pStyle w:val="Bibliography"/>
      </w:pPr>
      <w:r>
        <w:t xml:space="preserve">60.</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9"/>
    <w:bookmarkStart w:id="100" w:name="ref-Corbin2016"/>
    <w:p>
      <w:pPr>
        <w:pStyle w:val="Bibliography"/>
      </w:pPr>
      <w:r>
        <w:t xml:space="preserve">61.</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100"/>
    <w:bookmarkStart w:id="101" w:name="ref-Zhang2019"/>
    <w:p>
      <w:pPr>
        <w:pStyle w:val="Bibliography"/>
      </w:pPr>
      <w:r>
        <w:t xml:space="preserve">62.</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101"/>
    <w:bookmarkStart w:id="102" w:name="ref-Dunbar2007"/>
    <w:p>
      <w:pPr>
        <w:pStyle w:val="Bibliography"/>
      </w:pPr>
      <w:r>
        <w:t xml:space="preserve">63.</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102"/>
    <w:bookmarkStart w:id="103" w:name="ref-Chouhan2023"/>
    <w:p>
      <w:pPr>
        <w:pStyle w:val="Bibliography"/>
      </w:pPr>
      <w:r>
        <w:t xml:space="preserve">64.</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3"/>
    <w:bookmarkStart w:id="104" w:name="ref-Liu2025"/>
    <w:p>
      <w:pPr>
        <w:pStyle w:val="Bibliography"/>
      </w:pPr>
      <w:r>
        <w:t xml:space="preserve">65.</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4"/>
    <w:bookmarkStart w:id="105" w:name="ref-Huang2019"/>
    <w:p>
      <w:pPr>
        <w:pStyle w:val="Bibliography"/>
      </w:pPr>
      <w:r>
        <w:t xml:space="preserve">66.</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5"/>
    <w:bookmarkStart w:id="106" w:name="ref-Dastogeer2022"/>
    <w:p>
      <w:pPr>
        <w:pStyle w:val="Bibliography"/>
      </w:pPr>
      <w:r>
        <w:t xml:space="preserve">67.</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6"/>
    <w:bookmarkStart w:id="107" w:name="ref-Shekhawat2022"/>
    <w:p>
      <w:pPr>
        <w:pStyle w:val="Bibliography"/>
      </w:pPr>
      <w:r>
        <w:t xml:space="preserve">68.</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7"/>
    <w:bookmarkStart w:id="108" w:name="ref-Lobell2012"/>
    <w:p>
      <w:pPr>
        <w:pStyle w:val="Bibliography"/>
      </w:pPr>
      <w:r>
        <w:t xml:space="preserve">69.</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8"/>
    <w:bookmarkStart w:id="109" w:name="ref-Farooq2011"/>
    <w:p>
      <w:pPr>
        <w:pStyle w:val="Bibliography"/>
      </w:pPr>
      <w:r>
        <w:t xml:space="preserve">70.</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9"/>
    <w:bookmarkStart w:id="110" w:name="ref-He2025"/>
    <w:p>
      <w:pPr>
        <w:pStyle w:val="Bibliography"/>
      </w:pPr>
      <w:r>
        <w:t xml:space="preserve">71.</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110"/>
    <w:bookmarkStart w:id="111" w:name="ref-Zhang2021"/>
    <w:p>
      <w:pPr>
        <w:pStyle w:val="Bibliography"/>
      </w:pPr>
      <w:r>
        <w:t xml:space="preserve">72.</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11"/>
    <w:bookmarkStart w:id="112" w:name="ref-Zhang2023a"/>
    <w:p>
      <w:pPr>
        <w:pStyle w:val="Bibliography"/>
      </w:pPr>
      <w:r>
        <w:t xml:space="preserve">73.</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12"/>
    <w:bookmarkStart w:id="113"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3"/>
    <w:bookmarkStart w:id="114"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4"/>
    <w:bookmarkStart w:id="115" w:name="ref-Kearney2009a"/>
    <w:p>
      <w:pPr>
        <w:pStyle w:val="Bibliography"/>
      </w:pPr>
      <w:r>
        <w:t xml:space="preserve">76.</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15"/>
    <w:bookmarkEnd w:id="116"/>
    <w:bookmarkEnd w:id="117"/>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2025-03-17T00:44:42Z</dcterms:created>
  <dcterms:modified xsi:type="dcterms:W3CDTF">2025-03-17T00:44:42Z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