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57C8B" w14:textId="77777777" w:rsidR="00542893" w:rsidRDefault="00000000">
      <w:pPr>
        <w:pStyle w:val="Title"/>
      </w:pPr>
      <w:r>
        <w:t>A systems-modelling approach to predict biological responses to extreme heat</w:t>
      </w:r>
    </w:p>
    <w:p w14:paraId="41D7C846" w14:textId="77777777" w:rsidR="00542893"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0E2AEEDD" w14:textId="77777777" w:rsidR="00542893" w:rsidRDefault="00000000">
      <w:pPr>
        <w:pStyle w:val="BodyText"/>
      </w:pPr>
      <w:r>
        <w:rPr>
          <w:b/>
          <w:bCs/>
        </w:rPr>
        <w:t>Affiliations</w:t>
      </w:r>
      <w:r>
        <w:t>:</w:t>
      </w:r>
    </w:p>
    <w:p w14:paraId="201A4810" w14:textId="77777777" w:rsidR="00542893" w:rsidRDefault="00000000">
      <w:pPr>
        <w:pStyle w:val="BodyText"/>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2B4B54FF" w14:textId="77777777" w:rsidR="00542893" w:rsidRDefault="00000000">
      <w:pPr>
        <w:pStyle w:val="BodyText"/>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0408838C" w14:textId="77777777" w:rsidR="00542893" w:rsidRDefault="00000000">
      <w:pPr>
        <w:pStyle w:val="Heading4"/>
      </w:pPr>
      <w:bookmarkStart w:id="0" w:name="X9b6cb994ec0d2f2a9da21a2fc21e27ced4ee15e"/>
      <w:r>
        <w:t>Keywords: plant-animal interactions, microclimate, biophysical models, thermal load sensitivity, dynamic energy budget models, coexistence theory, ecological modelling</w:t>
      </w:r>
    </w:p>
    <w:p w14:paraId="55AB3B38" w14:textId="77777777" w:rsidR="00542893" w:rsidRDefault="00000000">
      <w:pPr>
        <w:pStyle w:val="Heading1"/>
      </w:pPr>
      <w:bookmarkStart w:id="1" w:name="abstract"/>
      <w:bookmarkEnd w:id="0"/>
      <w:r>
        <w:t>Abstract</w:t>
      </w:r>
    </w:p>
    <w:p w14:paraId="250BB760" w14:textId="3DCC6A4E" w:rsidR="00542893" w:rsidRDefault="00000000">
      <w:pPr>
        <w:pStyle w:val="FirstParagraph"/>
      </w:pPr>
      <w:r>
        <w:t>Anthropogenic climate change is leading to more frequent and extreme heat waves. These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review and demonstrate how existing models in disparate fields can be linked to achieve a level of understanding necessary for calculated responses to extreme heat from individuals to communities, now and into the future</w:t>
      </w:r>
      <w:r w:rsidR="000F6847">
        <w:t>.</w:t>
      </w:r>
    </w:p>
    <w:p w14:paraId="4D86A428" w14:textId="77777777" w:rsidR="00542893" w:rsidRDefault="00000000">
      <w:pPr>
        <w:pStyle w:val="Heading1"/>
      </w:pPr>
      <w:bookmarkStart w:id="2" w:name="X2b97b971c201f11017c10c1d6e4dbfd69043166"/>
      <w:bookmarkEnd w:id="1"/>
      <w:r>
        <w:t>A systems-modelling approach to modelling biotic impacts of heatwaves</w:t>
      </w:r>
    </w:p>
    <w:p w14:paraId="41547AE8" w14:textId="77777777" w:rsidR="00542893" w:rsidRDefault="00000000">
      <w:pPr>
        <w:pStyle w:val="FirstParagraph"/>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yields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w:t>
      </w:r>
      <w:r>
        <w:lastRenderedPageBreak/>
        <w:t>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the cumulative damage to physiological function from extreme heat, which impacts fitness of populations, with community dynamic models across species [13]. Predicting how extreme heat impacts population dynamics and communities requires a stronger coupling of biophysical, physiological, population and community ecology models but too often these models remain disjunct from each other. In addition, most studies focus on a single species making it impossible to begin modelling the dynamic feedbacks and interactions between species. A systems-thinking perspective is now needed to better capture the multifaceted nature with which extreme heat manifests within in a community (e.g., capturing non-linearities and interactions) – an approach we argue will better capture the dynamic feed backs within and between species to improve predictions.</w:t>
      </w:r>
    </w:p>
    <w:p w14:paraId="60FBF118" w14:textId="77777777" w:rsidR="00542893" w:rsidRDefault="00000000">
      <w:pPr>
        <w:pStyle w:val="BodyText"/>
      </w:pPr>
      <w:r>
        <w:t>Using plants and insects as examples, we review broad classes of models across fields and discuss how they can be linked to model the biotic impacts of heatwaves from individuals to communities (</w:t>
      </w:r>
      <w:hyperlink w:anchor="fig-sys">
        <w:r>
          <w:rPr>
            <w:rStyle w:val="Hyperlink"/>
          </w:rPr>
          <w:t>Figure 1</w:t>
        </w:r>
      </w:hyperlink>
      <w:r>
        <w:t>). We focus on plant and insect communities given the strong interconnections between them, the ease with which they can be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[14–17] (</w:t>
      </w:r>
      <w:hyperlink w:anchor="fig-sys">
        <w:r>
          <w:rPr>
            <w:rStyle w:val="Hyperlink"/>
          </w:rPr>
          <w:t>Figure 1</w:t>
        </w:r>
      </w:hyperlink>
      <w:r>
        <w:t>). Physiological models that incorporate estimates of thermal sensitivity across species can capture the delicate balance between damage and repair of physiological systems [10,11,18,19],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[20,21].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42893" w14:paraId="171E36D8" w14:textId="77777777">
        <w:tc>
          <w:tcPr>
            <w:tcW w:w="7920" w:type="dxa"/>
          </w:tcPr>
          <w:p w14:paraId="3C5D0541" w14:textId="77777777" w:rsidR="00542893" w:rsidRDefault="00000000">
            <w:pPr>
              <w:pStyle w:val="Compact"/>
              <w:jc w:val="center"/>
            </w:pPr>
            <w:bookmarkStart w:id="3" w:name="fig-sys"/>
            <w:r>
              <w:rPr>
                <w:noProof/>
              </w:rPr>
              <w:lastRenderedPageBreak/>
              <w:drawing>
                <wp:inline distT="0" distB="0" distL="0" distR="0" wp14:anchorId="3D4C3019" wp14:editId="2EDDF9A3">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579F58CB" w14:textId="79F6A21D" w:rsidR="00542893" w:rsidRDefault="00000000">
            <w:pPr>
              <w:pStyle w:val="ImageCaption"/>
              <w:spacing w:before="200"/>
            </w:pPr>
            <w:r>
              <w:t xml:space="preserve">Figure 1- </w:t>
            </w:r>
            <w:r>
              <w:rPr>
                <w:b/>
                <w:bCs/>
              </w:rPr>
              <w:t xml:space="preserve">A coupled </w:t>
            </w:r>
            <w:r w:rsidR="00D24293">
              <w:rPr>
                <w:b/>
                <w:bCs/>
              </w:rPr>
              <w:t xml:space="preserve">systems </w:t>
            </w:r>
            <w:r>
              <w:rPr>
                <w:b/>
                <w:bCs/>
              </w:rPr>
              <w:t>modelling framework for predicting the effects of extreme heat on ecological communities</w:t>
            </w:r>
            <w:r>
              <w:t>.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7D2AC0CD" w14:textId="77777777" w:rsidR="00542893" w:rsidRDefault="00000000">
      <w:pPr>
        <w:pStyle w:val="Heading1"/>
      </w:pPr>
      <w:bookmarkStart w:id="4" w:name="X4da05dea4acdb2054c1e59c2f12913febac8a0c"/>
      <w:bookmarkEnd w:id="2"/>
      <w:r>
        <w:lastRenderedPageBreak/>
        <w:t>From weather to microclimates: predicting community wide exposure to extreme heat</w:t>
      </w:r>
    </w:p>
    <w:p w14:paraId="6C336B7C" w14:textId="77777777" w:rsidR="00542893" w:rsidRDefault="00000000">
      <w:pPr>
        <w:pStyle w:val="FirstParagraph"/>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Figure 1</w:t>
        </w:r>
      </w:hyperlink>
      <w:r>
        <w:t>). Therefore, to understand how extreme heat impacts on a community of organisms, we must characterize the ‘</w:t>
      </w:r>
      <w:r>
        <w:rPr>
          <w:b/>
          <w:bCs/>
        </w:rPr>
        <w:t>microclimates</w:t>
      </w:r>
      <w:r>
        <w:t>’ 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 [22–28].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 making [e.g., 29,30].</w:t>
      </w:r>
    </w:p>
    <w:p w14:paraId="0BAF6D5C" w14:textId="77777777" w:rsidR="00542893" w:rsidRDefault="00000000">
      <w:pPr>
        <w:pStyle w:val="BodyText"/>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[16,31].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 [32]) up to the dynamic global vegetation models (DGVMs) that simulate vegetation function and distribution at local to global scales [33].</w:t>
      </w:r>
    </w:p>
    <w:p w14:paraId="640318E5" w14:textId="77777777" w:rsidR="00542893" w:rsidRDefault="00000000">
      <w:pPr>
        <w:pStyle w:val="Heading1"/>
      </w:pPr>
      <w:bookmarkStart w:id="5" w:name="X5a6e6d313f4187bfc77082e5e5979262b26b081"/>
      <w:bookmarkEnd w:id="4"/>
      <w:r>
        <w:t>Translating exposure to organism temperature: biophysics to the rescue!</w:t>
      </w:r>
    </w:p>
    <w:p w14:paraId="65DEE50D" w14:textId="1BDF3744" w:rsidR="00542893" w:rsidRDefault="00000000">
      <w:pPr>
        <w:pStyle w:val="FirstParagraph"/>
      </w:pPr>
      <w:r>
        <w:t xml:space="preserve">Once microclimates are quantified, it is crucial to estimate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 </w:t>
      </w:r>
      <w:r>
        <w:rPr>
          <w:b/>
          <w:bCs/>
        </w:rPr>
        <w:t>biophysical models</w:t>
      </w:r>
      <w:r>
        <w:t xml:space="preserve"> have a long </w:t>
      </w:r>
      <w:proofErr w:type="gramStart"/>
      <w:r>
        <w:t>history[</w:t>
      </w:r>
      <w:proofErr w:type="gramEnd"/>
      <w:r w:rsidR="00234AC1">
        <w:t>e.g.</w:t>
      </w:r>
      <w:r w:rsidR="00234AC1">
        <w:t xml:space="preserve">, </w:t>
      </w:r>
      <w:r>
        <w:t xml:space="preserve">34,35,16] but have become more widely applied in ecology in the past 20 years, facilitated by developments in environmental datasets, microclimate modelling, and the emergence of high-level programming languages such as R [17]. Biophysical models of ectothermic animals make use of equations for energy and mass exchange between an organism and its environment and can account for complex radiative heat transfer and the role of evaporative water loss across surfaces [17,22,36]. Equivalent </w:t>
      </w:r>
      <w:r>
        <w:lastRenderedPageBreak/>
        <w:t>models of leaves incorporate the dynamic role of stomata [16,37</w:t>
      </w:r>
      <w:r w:rsidR="00091E3A">
        <w:t>] (</w:t>
      </w:r>
      <w:r w:rsidR="00AC0813" w:rsidRPr="00AC0813">
        <w:rPr>
          <w:b/>
          <w:bCs/>
        </w:rPr>
        <w:t>Box 1</w:t>
      </w:r>
      <w:r w:rsidR="00091E3A">
        <w:t>)</w:t>
      </w:r>
      <w:r>
        <w:t>. Biophysical models are powerful because, by translating microclimate conditions to organism body temperature and hydric states, simple regulatory decision-making models can be used [38,39]. For example, an organism’s current body temperature can be compared to temperatures available within its microclimate. Given an understanding of an organism’s thermal activity windows, thermal optima, and critical thermal limits suitable microclimates that lead to body temperatures within its thermal limits, and as close as possible to its thermal optima, can be chosen [e.g., 38,39]. Incorporating such behavioural thermoregulatory decision making is crucial for mitigating the negative impacts of extreme heat and can inherently capture the trade-offs such a strategy entails through reduced foraging time [17,38]. In addition, incorporating stomatal behaviour can mitigate or exacerbate the extreme temperatures leaf tissue experiences while simultaneously shaping the microclimate conditions for other organisms [16</w:t>
      </w:r>
      <w:r w:rsidR="00AC0813">
        <w:t xml:space="preserve">, </w:t>
      </w:r>
      <w:r>
        <w:t>40]</w:t>
      </w:r>
      <w:r w:rsidR="00F4402A">
        <w:t xml:space="preserve"> </w:t>
      </w:r>
      <w:r w:rsidR="00F4402A">
        <w:t>(</w:t>
      </w:r>
      <w:r w:rsidR="00F4402A" w:rsidRPr="00091E3A">
        <w:rPr>
          <w:b/>
          <w:bCs/>
        </w:rPr>
        <w:t>Box 1</w:t>
      </w:r>
      <w:r w:rsidR="00F4402A">
        <w:t>)</w:t>
      </w:r>
      <w:r>
        <w:t>. Future developments in biophysical modelling of organismal temperature under extreme heat will involve understanding the nuances of plastic physiological and behavioral responses. For example, lizards may pant when exposed to high temperatures [41], birds may ‘wind surf’ or seek thermal micro-refugia [42], and stomatal behavior may depart from the typical responses to vapor pressure and light intensity to allow emergency cooling [31], though this response may depend on prior soil moisture conditions [43]. While biophysical models require many variables for parameterization they can be tailored to the question and organism of interest [17].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33061816" w14:textId="77777777" w:rsidR="00542893" w:rsidRDefault="00000000">
      <w:pPr>
        <w:pStyle w:val="Heading1"/>
      </w:pPr>
      <w:bookmarkStart w:id="6" w:name="X034f8e5698580bf7448238067f484f5e1d792b9"/>
      <w:bookmarkEnd w:id="5"/>
      <w:r>
        <w:t>Capturing both physiological damage and repair to predict multi-species thermal sensitivity</w:t>
      </w:r>
    </w:p>
    <w:p w14:paraId="0BD6E135" w14:textId="77777777" w:rsidR="00542893"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[18,44]. Sensitivity to extreme heat can be captured by </w:t>
      </w:r>
      <w:r>
        <w:rPr>
          <w:b/>
          <w:bCs/>
        </w:rPr>
        <w:t>thermal load sensitivity (TLS) / thermal death time (TDT)</w:t>
      </w:r>
      <w:r>
        <w:t xml:space="preserve"> models that explicitly account for how heat stress depends on both the temperature experienced and and its duration [18,19].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[19]. Endpoints are predicted by assuming the effect of time at a given temperature decreases survival or fertility exponentially and have been shown to have high predictive power [10,11,18,44]. For example, Ørsted </w:t>
      </w:r>
      <w:r>
        <w:rPr>
          <w:i/>
          <w:iCs/>
        </w:rPr>
        <w:t>et al.</w:t>
      </w:r>
      <w:r>
        <w:t xml:space="preserve"> [11] show that both mortality and fecundity follow a clear exponential relationship with time in in the Spotted Wing Drosophila (</w:t>
      </w:r>
      <w:r>
        <w:rPr>
          <w:i/>
          <w:iCs/>
        </w:rPr>
        <w:t>Drosophila suzuki</w:t>
      </w:r>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[45,46],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[19,47].</w:t>
      </w:r>
    </w:p>
    <w:p w14:paraId="4D8A603B" w14:textId="77777777" w:rsidR="00542893" w:rsidRDefault="00000000">
      <w:pPr>
        <w:pStyle w:val="BodyText"/>
      </w:pPr>
      <w:r>
        <w:t>Environmental factors known to impact thermal sensitivity, such as water and drought stress [e.g., 48,49] along with nutritional and dietary changes [e.g., 50,51] can also be incorporated into systems modelling approach through their impacts on thermal sensitivity and tolerance [19] (</w:t>
      </w:r>
      <w:hyperlink w:anchor="fig-sys">
        <w:r>
          <w:rPr>
            <w:rStyle w:val="Hyperlink"/>
          </w:rPr>
          <w:t>Figure 1</w:t>
        </w:r>
      </w:hyperlink>
      <w:r>
        <w:t xml:space="preserve">). Indeed, an exciting potential application of a systems-modelling approach is to explore how microclimatic conditions mediate </w:t>
      </w:r>
      <w:r>
        <w:lastRenderedPageBreak/>
        <w:t>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[52,53], and gut microbiotia can impact heat tolerance in animals [54].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 [19].</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292EED6A" w14:textId="77777777">
        <w:trPr>
          <w:cantSplit/>
        </w:trPr>
        <w:tc>
          <w:tcPr>
            <w:tcW w:w="0" w:type="auto"/>
            <w:tcMar>
              <w:left w:w="144" w:type="dxa"/>
            </w:tcMar>
          </w:tcPr>
          <w:p w14:paraId="509A9731" w14:textId="77777777" w:rsidR="00542893" w:rsidRDefault="00000000">
            <w:pPr>
              <w:pStyle w:val="BodyText"/>
              <w:spacing w:before="16" w:after="64"/>
            </w:pPr>
            <w:r>
              <w:rPr>
                <w:b/>
                <w:bCs/>
              </w:rPr>
              <w:lastRenderedPageBreak/>
              <w:t>Box 1: Building a systems modelling approach to capture multi-species exposure to extreme heat</w:t>
            </w:r>
          </w:p>
          <w:p w14:paraId="55A711E2" w14:textId="77777777" w:rsidR="00542893" w:rsidRDefault="00000000">
            <w:pPr>
              <w:pStyle w:val="BodyText"/>
              <w:spacing w:before="16"/>
            </w:pPr>
            <w:r>
              <w:t>Using a simple hypothetical community (</w:t>
            </w:r>
            <w:hyperlink w:anchor="fig-box1">
              <w:r>
                <w:rPr>
                  <w:rStyle w:val="Hyperlink"/>
                </w:rPr>
                <w:t>Figure 2</w:t>
              </w:r>
            </w:hyperlink>
            <w:r>
              <w:t>)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p>
          <w:p w14:paraId="0565F833" w14:textId="77777777" w:rsidR="00542893" w:rsidRDefault="00000000">
            <w:pPr>
              <w:pStyle w:val="BodyText"/>
            </w:pPr>
            <w:r>
              <w:t xml:space="preserve">To begin, we use natural climate data collected during a heatwave event in January 2018/19 at Renmark, South Australia (Calperum Station). Briefly, we use the </w:t>
            </w:r>
            <w:r>
              <w:rPr>
                <w:rStyle w:val="VerbatimChar"/>
              </w:rPr>
              <w:t>micro_silo</w:t>
            </w:r>
            <w:r>
              <w:t xml:space="preserve"> function in </w:t>
            </w:r>
            <w:r>
              <w:rPr>
                <w:i/>
                <w:iCs/>
              </w:rPr>
              <w:t>NicheMapR</w:t>
            </w:r>
            <w:r>
              <w:t xml:space="preserve"> [16,55] in conjunction with </w:t>
            </w:r>
            <w:r>
              <w:rPr>
                <w:i/>
                <w:iCs/>
              </w:rPr>
              <w:t>microclima</w:t>
            </w:r>
            <w:r>
              <w:t xml:space="preserve"> [23,24] in the R statistical language. </w:t>
            </w:r>
            <w:r>
              <w:rPr>
                <w:rStyle w:val="VerbatimChar"/>
              </w:rPr>
              <w:t>micro_silo</w:t>
            </w:r>
            <w:r>
              <w:t xml:space="preserve"> uses climate data from 1889 to present (https://www.longpaddock.qld.gov.au/silo/) to compute microclimates. By default </w:t>
            </w:r>
            <w:r>
              <w:rPr>
                <w:rStyle w:val="VerbatimChar"/>
              </w:rPr>
              <w:t>micro_silo</w:t>
            </w:r>
            <w: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14:paraId="33EF81FD" w14:textId="77777777" w:rsidR="00542893" w:rsidRDefault="00000000">
            <w:pPr>
              <w:pStyle w:val="BodyText"/>
            </w:pPr>
            <w: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Pr>
                <w:i/>
                <w:iCs/>
              </w:rPr>
              <w:t>plantecophys</w:t>
            </w:r>
            <w:r>
              <w:t xml:space="preserve"> package [37]. Here, we define traits of the leaf and use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p>
          <w:p w14:paraId="065A8900" w14:textId="77777777" w:rsidR="00542893" w:rsidRDefault="00000000">
            <w:pPr>
              <w:pStyle w:val="BodyText"/>
            </w:pPr>
            <w:r>
              <w:t xml:space="preserve">Once we have leaf temperatures, we can assume these now form part of the microclimate for our insect species (Figure I). Using the </w:t>
            </w:r>
            <w:r>
              <w:rPr>
                <w:rStyle w:val="VerbatimChar"/>
              </w:rPr>
              <w:t>ectotherm</w:t>
            </w:r>
            <w:r>
              <w:t xml:space="preserve"> function in </w:t>
            </w:r>
            <w:r>
              <w:rPr>
                <w:i/>
                <w:iCs/>
              </w:rPr>
              <w:t>NicheMapR</w:t>
            </w:r>
            <w: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42893" w14:paraId="2C490F13" w14:textId="77777777">
              <w:tc>
                <w:tcPr>
                  <w:tcW w:w="0" w:type="auto"/>
                </w:tcPr>
                <w:p w14:paraId="5A46806B" w14:textId="4B3CA34B" w:rsidR="00542893" w:rsidRDefault="00EF10CD">
                  <w:pPr>
                    <w:pStyle w:val="Compact"/>
                    <w:jc w:val="center"/>
                  </w:pPr>
                  <w:bookmarkStart w:id="7" w:name="fig-box1"/>
                  <w:r>
                    <w:rPr>
                      <w:noProof/>
                    </w:rPr>
                    <w:lastRenderedPageBreak/>
                    <w:drawing>
                      <wp:inline distT="0" distB="0" distL="0" distR="0" wp14:anchorId="70513E93" wp14:editId="68122D1F">
                        <wp:extent cx="5292181" cy="3292771"/>
                        <wp:effectExtent l="0" t="0" r="3810" b="0"/>
                        <wp:docPr id="19538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167" name="Picture 1953816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25984" cy="3313803"/>
                                </a:xfrm>
                                <a:prstGeom prst="rect">
                                  <a:avLst/>
                                </a:prstGeom>
                              </pic:spPr>
                            </pic:pic>
                          </a:graphicData>
                        </a:graphic>
                      </wp:inline>
                    </w:drawing>
                  </w:r>
                </w:p>
                <w:p w14:paraId="5DB96448" w14:textId="5F25F8FE" w:rsidR="00542893" w:rsidRDefault="00000000">
                  <w:pPr>
                    <w:pStyle w:val="ImageCaption"/>
                    <w:spacing w:before="200"/>
                  </w:pPr>
                  <w:r>
                    <w:t>Figure I: Predicting and coupling microclimate and biophysical models of plants and insects. Created with BioRender.com.</w:t>
                  </w:r>
                </w:p>
              </w:tc>
              <w:bookmarkEnd w:id="7"/>
            </w:tr>
          </w:tbl>
          <w:p w14:paraId="09D41B7B" w14:textId="77777777" w:rsidR="00000000" w:rsidRDefault="00000000">
            <w:pPr>
              <w:spacing w:after="0"/>
            </w:pPr>
          </w:p>
        </w:tc>
      </w:tr>
    </w:tbl>
    <w:p w14:paraId="0856CA09" w14:textId="77777777" w:rsidR="00542893"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04CF7DEE" w14:textId="77777777">
        <w:trPr>
          <w:cantSplit/>
        </w:trPr>
        <w:tc>
          <w:tcPr>
            <w:tcW w:w="0" w:type="auto"/>
            <w:tcMar>
              <w:left w:w="144" w:type="dxa"/>
            </w:tcMar>
          </w:tcPr>
          <w:p w14:paraId="04917C89" w14:textId="77777777" w:rsidR="00542893" w:rsidRDefault="00000000">
            <w:pPr>
              <w:pStyle w:val="BodyText"/>
              <w:spacing w:before="16" w:after="64"/>
            </w:pPr>
            <w:r>
              <w:rPr>
                <w:b/>
                <w:bCs/>
              </w:rPr>
              <w:t>Glossary</w:t>
            </w:r>
          </w:p>
          <w:p w14:paraId="5C634F43" w14:textId="77777777" w:rsidR="00542893" w:rsidRDefault="00000000">
            <w:pPr>
              <w:pStyle w:val="BodyText"/>
              <w:spacing w:before="16"/>
            </w:pPr>
            <w:r>
              <w:rPr>
                <w:b/>
                <w:bCs/>
              </w:rPr>
              <w:t>Coexistence</w:t>
            </w:r>
            <w:r>
              <w:t>: Coexistence occurs when populations of two or more species are able to persist in each other’s presence indefinitely under constant, equilibrium conditions.</w:t>
            </w:r>
          </w:p>
          <w:p w14:paraId="68E49FB8" w14:textId="77777777" w:rsidR="00542893"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5D042A4" w14:textId="77777777" w:rsidR="00542893" w:rsidRDefault="00000000">
            <w:pPr>
              <w:pStyle w:val="BodyText"/>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41995D87" w14:textId="77777777" w:rsidR="00542893" w:rsidRDefault="00000000">
            <w:pPr>
              <w:pStyle w:val="BodyText"/>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33A5D69D" w14:textId="77777777" w:rsidR="00542893" w:rsidRDefault="00000000">
            <w:pPr>
              <w:pStyle w:val="BodyText"/>
            </w:pPr>
            <w:r>
              <w:rPr>
                <w:b/>
                <w:bCs/>
              </w:rPr>
              <w:t>Thermal load sensitivity (TLS) / thermal death time (TDT) models</w:t>
            </w:r>
            <w:r>
              <w:t>: Models that use biophysical models to predict organism temperature and calculate thermal load that captures lethal and sublethal impacts on tissues, organs and whole organisms.</w:t>
            </w:r>
          </w:p>
          <w:p w14:paraId="7C272551" w14:textId="77777777" w:rsidR="00542893" w:rsidRDefault="00000000">
            <w:pPr>
              <w:pStyle w:val="BodyText"/>
              <w:spacing w:after="16"/>
            </w:pPr>
            <w:r>
              <w:rPr>
                <w:b/>
                <w:bCs/>
              </w:rPr>
              <w:t>Vital rates</w:t>
            </w:r>
            <w:r>
              <w:t>: Demographic parameters that determine how populations change over time. They include measures of birth, death, growth, and reproduction.</w:t>
            </w:r>
          </w:p>
        </w:tc>
      </w:tr>
    </w:tbl>
    <w:p w14:paraId="271EBD59" w14:textId="77777777" w:rsidR="00542893" w:rsidRDefault="00000000">
      <w:pPr>
        <w:pStyle w:val="Heading1"/>
      </w:pPr>
      <w:bookmarkStart w:id="8" w:name="Xa42fff9f9b55ab8c457a10a6df2c5c7c3edac3c"/>
      <w:bookmarkEnd w:id="6"/>
      <w:r>
        <w:lastRenderedPageBreak/>
        <w:t>Physiological models that capture the effects of extreme heat across life</w:t>
      </w:r>
    </w:p>
    <w:p w14:paraId="6152C769" w14:textId="77777777" w:rsidR="00542893" w:rsidRDefault="00000000">
      <w:pPr>
        <w:pStyle w:val="FirstParagraph"/>
      </w:pPr>
      <w:r>
        <w:t>Dynamic Energy Budget (DEB) models are physiologically explicit life-cycle models of energy and mass uptake and conversion that predict key life-history transitions, growth, reproduction and survival (senescence) through time [14,56]. DEB models consider organisms as a thermodynamic system (adhering to energy-mass balance) capturing the exchange of food, water, respiratory gases and metabolic waste throughout the life cycle [17]. DEB models can translate short-term (hourly) variation in factors such as temperature, toxins (e.g., toxicants, [57]) and resource availability (nutrients) [58,59] into long-term (days, months, years) effects on development, growth, reproduction and survival [15,17]. DEB theory, when combined with biophysical models more generally, allows the full water budget to be computed to account for heat stress impacts of a hydric nature [17].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necessary parameters have been estimated for &gt; 6000 species already (although there are taxonomic biases) [60,61]. New analytical approaches using phylogenetic imputation methods show promise for calculating energy budgets for species without data. Such methods have, for instance, already been used to predict DEB parameters for over 1.3 million animal species [see, 62]. In addition, software packages such as </w:t>
      </w:r>
      <w:r>
        <w:rPr>
          <w:i/>
          <w:iCs/>
        </w:rPr>
        <w:t>NicheMapR</w:t>
      </w:r>
      <w:r>
        <w:t xml:space="preserve"> [22,55]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3FB8FD4F" w14:textId="77777777" w:rsidR="00542893" w:rsidRDefault="00000000">
      <w:pPr>
        <w:pStyle w:val="BodyText"/>
      </w:pPr>
      <w:r>
        <w:t>Analogously, physiologically-based vegetation models simulate plant growth over time as a function of carbon, water and nutrient uptake and use, following mass balance principles [63].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[64].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[65]. Direct damage to plant tissue from extreme heat has yet to be represented in such models, but the thermal death time framework outlined above offers a promising way forward.</w:t>
      </w:r>
    </w:p>
    <w:p w14:paraId="36DA8456" w14:textId="77777777" w:rsidR="00542893" w:rsidRDefault="00000000">
      <w:pPr>
        <w:pStyle w:val="Heading1"/>
      </w:pPr>
      <w:bookmarkStart w:id="9" w:name="Xe20b556bb99a49ef81dd5b1307d42fae8e49e0c"/>
      <w:bookmarkEnd w:id="8"/>
      <w:r>
        <w:t>Mechanistic approaches that ‘speak’ to population and community ecology under extreme heat</w:t>
      </w:r>
    </w:p>
    <w:p w14:paraId="78139967" w14:textId="77777777" w:rsidR="00542893" w:rsidRDefault="00000000">
      <w:pPr>
        <w:pStyle w:val="FirstParagraph"/>
      </w:pPr>
      <w:r>
        <w:rPr>
          <w:b/>
          <w:bCs/>
        </w:rPr>
        <w:t>Coexistence</w:t>
      </w:r>
      <w:r>
        <w:t xml:space="preserve"> models provide powerful opportunities to understand interactions of species and model whole community responses to extreme climate events. Modern coexistence theory [MCT; [66]] uses simple two-species individual-based population growth models [67,68], to determine how interactions between species at the individual level lead to “coexistence”.</w:t>
      </w:r>
    </w:p>
    <w:p w14:paraId="22F0ED2B" w14:textId="77777777" w:rsidR="00542893" w:rsidRDefault="00000000">
      <w:pPr>
        <w:pStyle w:val="BodyText"/>
      </w:pPr>
      <w:r>
        <w:t>Population dynamic models calculate the individual fitness effect of interactions [69] (</w:t>
      </w:r>
      <w:r>
        <w:rPr>
          <w:b/>
          <w:bCs/>
        </w:rPr>
        <w:t>Box 2</w:t>
      </w:r>
      <w:r>
        <w:t xml:space="preserve">). These models can incorporate variation in the environment [20] and in the outcome of interactions themselves [70]. As these models use the same fitness measures as DEB models, they offer a population modelling framework to add thermal biology to community diversity predictions. This is because population dynamical models can be </w:t>
      </w:r>
      <w:r>
        <w:lastRenderedPageBreak/>
        <w:t xml:space="preserve">combined, for example as networks [71], and compared between microsites with different biophysical properties and composed of species with different thermal responses to their microenvironment. For example, Bimler </w:t>
      </w:r>
      <w:r>
        <w:rPr>
          <w:i/>
          <w:iCs/>
        </w:rPr>
        <w:t>et al</w:t>
      </w:r>
      <w:r>
        <w:t xml:space="preserve"> [71] used this approach to determine which species were keystone species under shady and sunny portions of the same plant communities.</w:t>
      </w:r>
    </w:p>
    <w:p w14:paraId="0FC761EA" w14:textId="77777777" w:rsidR="00542893" w:rsidRDefault="00000000">
      <w:pPr>
        <w:pStyle w:val="BodyText"/>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[72].</w:t>
      </w:r>
    </w:p>
    <w:p w14:paraId="6F0418EF" w14:textId="77777777" w:rsidR="00542893" w:rsidRDefault="00000000">
      <w:pPr>
        <w:pStyle w:val="BodyText"/>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2E528C00" w14:textId="77777777">
        <w:trPr>
          <w:cantSplit/>
        </w:trPr>
        <w:tc>
          <w:tcPr>
            <w:tcW w:w="0" w:type="auto"/>
            <w:tcMar>
              <w:left w:w="144" w:type="dxa"/>
            </w:tcMar>
          </w:tcPr>
          <w:p w14:paraId="0B3D7B3E" w14:textId="77777777" w:rsidR="00542893" w:rsidRDefault="00000000">
            <w:pPr>
              <w:pStyle w:val="BodyText"/>
              <w:spacing w:before="16" w:after="64"/>
            </w:pPr>
            <w:r>
              <w:rPr>
                <w:b/>
                <w:bCs/>
              </w:rPr>
              <w:lastRenderedPageBreak/>
              <w:t>Box 2: Scaling up extreme heat effects from impacts on individuals of species to communities</w:t>
            </w:r>
          </w:p>
          <w:p w14:paraId="50ADBB16" w14:textId="77777777" w:rsidR="00542893" w:rsidRDefault="00000000">
            <w:pPr>
              <w:pStyle w:val="BodyText"/>
              <w:spacing w:before="16"/>
            </w:pPr>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p>
          <w:p w14:paraId="33EF125C" w14:textId="77777777" w:rsidR="00542893" w:rsidRDefault="00000000">
            <w:pPr>
              <w:pStyle w:val="BodyText"/>
            </w:pPr>
            <w:r>
              <w:t xml:space="preserve">To start, using existing parameters for a dynamic energy budget (DEB) model for a grasshopper [73]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p>
          <w:p w14:paraId="75A02551" w14:textId="77777777" w:rsidR="00542893" w:rsidRDefault="00000000">
            <w:pPr>
              <w:pStyle w:val="BodyText"/>
            </w:pPr>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Pr>
                  <w:rStyle w:val="Hyperlink"/>
                </w:rPr>
                <w:t>Equation 1</w:t>
              </w:r>
            </w:hyperlink>
            <w:r>
              <w:t>) (Fig IIA) [10,11,19,44].</w:t>
            </w:r>
          </w:p>
          <w:p w14:paraId="1BC482B9" w14:textId="77777777" w:rsidR="00542893" w:rsidRDefault="00000000">
            <w:pPr>
              <w:pStyle w:val="BodyText"/>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5CD7B511" w14:textId="77777777" w:rsidR="00542893" w:rsidRDefault="00000000">
            <w:pPr>
              <w:pStyle w:val="FirstParagraph"/>
            </w:pPr>
            <w:r>
              <w:t>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stage-structured population matrix (Fig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to predict their population growth under competition (</w:t>
            </w:r>
            <w:hyperlink w:anchor="eq-general">
              <w:r>
                <w:rPr>
                  <w:rStyle w:val="Hyperlink"/>
                </w:rPr>
                <w:t>Equation 2</w:t>
              </w:r>
            </w:hyperlink>
            <w:r>
              <w:t>).</w:t>
            </w:r>
          </w:p>
          <w:bookmarkStart w:id="11" w:name="eq-general"/>
          <w:p w14:paraId="5A4A406A" w14:textId="77777777" w:rsidR="0054289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6D960A48" w14:textId="3231D4D7" w:rsidR="00542893" w:rsidRDefault="00000000">
            <w:pPr>
              <w:pStyle w:val="FirstParagraph"/>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sSub>
                    <m:sSubPr>
                      <m:ctrlPr>
                        <w:rPr>
                          <w:rFonts w:ascii="Cambria Math" w:hAnsi="Cambria Math"/>
                        </w:rPr>
                      </m:ctrlPr>
                    </m:sSubPr>
                    <m:e>
                      <m:r>
                        <w:rPr>
                          <w:rFonts w:ascii="Cambria Math" w:hAnsi="Cambria Math"/>
                        </w:rPr>
                        <m:t>r</m:t>
                      </m:r>
                    </m:e>
                    <m:sub>
                      <m:r>
                        <w:rPr>
                          <w:rFonts w:ascii="Cambria Math" w:hAnsi="Cambria Math"/>
                        </w:rPr>
                        <m:t>max</m:t>
                      </m:r>
                    </m:sub>
                  </m:sSub>
                </m:e>
                <m:sub>
                  <m:r>
                    <w:rPr>
                      <w:rFonts w:ascii="Cambria Math" w:hAnsi="Cambria Math"/>
                    </w:rPr>
                    <m:t>i</m:t>
                  </m:r>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Given mechanistic physiological models are used, the stage-structured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42893" w14:paraId="360DF70E" w14:textId="77777777">
              <w:tc>
                <w:tcPr>
                  <w:tcW w:w="0" w:type="auto"/>
                </w:tcPr>
                <w:p w14:paraId="30155BF3" w14:textId="13AC714F" w:rsidR="00542893" w:rsidRDefault="00EF10CD">
                  <w:pPr>
                    <w:pStyle w:val="Compact"/>
                    <w:jc w:val="center"/>
                  </w:pPr>
                  <w:bookmarkStart w:id="12" w:name="fig-box2"/>
                  <w:r>
                    <w:rPr>
                      <w:noProof/>
                    </w:rPr>
                    <w:lastRenderedPageBreak/>
                    <w:drawing>
                      <wp:inline distT="0" distB="0" distL="0" distR="0" wp14:anchorId="59839F31" wp14:editId="0B877EA5">
                        <wp:extent cx="5359652" cy="4182397"/>
                        <wp:effectExtent l="0" t="0" r="0" b="0"/>
                        <wp:docPr id="14423751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75189" name="Picture 14423751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87513" cy="4204138"/>
                                </a:xfrm>
                                <a:prstGeom prst="rect">
                                  <a:avLst/>
                                </a:prstGeom>
                              </pic:spPr>
                            </pic:pic>
                          </a:graphicData>
                        </a:graphic>
                      </wp:inline>
                    </w:drawing>
                  </w:r>
                </w:p>
                <w:p w14:paraId="3E75536B" w14:textId="5DC2E647" w:rsidR="00542893" w:rsidRDefault="00000000">
                  <w:pPr>
                    <w:pStyle w:val="ImageCaption"/>
                    <w:spacing w:before="200"/>
                  </w:pPr>
                  <w:r>
                    <w:t>Figure II: A systems approach to using mechanistic physiological models to capture life-cycle vital rates and thermal load stress on survival to scale up to multi-species population dynamics. Created with BioRender.com.</w:t>
                  </w:r>
                </w:p>
              </w:tc>
              <w:bookmarkEnd w:id="12"/>
            </w:tr>
          </w:tbl>
          <w:p w14:paraId="50CB9CFE" w14:textId="77777777" w:rsidR="00000000" w:rsidRDefault="00000000">
            <w:pPr>
              <w:spacing w:after="0"/>
            </w:pPr>
          </w:p>
        </w:tc>
      </w:tr>
    </w:tbl>
    <w:p w14:paraId="2FD199AB" w14:textId="77777777" w:rsidR="00542893" w:rsidRDefault="00000000">
      <w:pPr>
        <w:pStyle w:val="Heading1"/>
      </w:pPr>
      <w:bookmarkStart w:id="13" w:name="hot-solutions-for-a-changing-world"/>
      <w:bookmarkEnd w:id="9"/>
      <w:r>
        <w:lastRenderedPageBreak/>
        <w:t>‘Hot’ solutions for a changing world</w:t>
      </w:r>
    </w:p>
    <w:p w14:paraId="1700FB68" w14:textId="68195343" w:rsidR="00542893" w:rsidRDefault="00000000">
      <w:pPr>
        <w:pStyle w:val="FirstParagraph"/>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[74],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Pr>
            <w:rStyle w:val="Hyperlink"/>
          </w:rPr>
          <w:t>Figure </w:t>
        </w:r>
        <w:r w:rsidR="00CD0962">
          <w:rPr>
            <w:rStyle w:val="Hyperlink"/>
          </w:rPr>
          <w:t>2</w:t>
        </w:r>
      </w:hyperlink>
      <w:r>
        <w:t xml:space="preserve">A), a systems modelling approach can allow for informed predictions about how to mitigate heat stress to crops while also considering the potential for pest outbreaks. In essence, we want to add a minimal amount of water to a system to cool leaves </w:t>
      </w:r>
      <w:r w:rsidR="00D76B28">
        <w:t>while</w:t>
      </w:r>
      <w:r>
        <w:t xml:space="preserve"> avoid</w:t>
      </w:r>
      <w:r w:rsidR="00D76B28">
        <w:t>ing</w:t>
      </w:r>
      <w:r>
        <w:t xml:space="preserve"> depleting limited water supplies </w:t>
      </w:r>
      <w:r w:rsidR="00D76B28">
        <w:t xml:space="preserve">and creating </w:t>
      </w:r>
      <w:r>
        <w:t>microclimate conditions from becoming more optimal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Pr>
            <w:rStyle w:val="Hyperlink"/>
          </w:rPr>
          <w:t>Figure </w:t>
        </w:r>
        <w:r w:rsidR="00CD0962">
          <w:rPr>
            <w:rStyle w:val="Hyperlink"/>
          </w:rPr>
          <w:t>2</w:t>
        </w:r>
      </w:hyperlink>
      <w:r>
        <w:t>). We can see that adding 2-5 mm of water can result in as much as a 3.63°C decrease in leaf temperature (</w:t>
      </w:r>
      <w:hyperlink w:anchor="fig-2">
        <w:r>
          <w:rPr>
            <w:rStyle w:val="Hyperlink"/>
          </w:rPr>
          <w:t>Figure </w:t>
        </w:r>
        <w:r w:rsidR="00CD0962">
          <w:rPr>
            <w:rStyle w:val="Hyperlink"/>
          </w:rPr>
          <w:t>2</w:t>
        </w:r>
      </w:hyperlink>
      <w:r>
        <w:t>B), but adding more water does not result in significant gains in cooling. In additon, 2-5mm of water added each day to avoid extreme heat impacts results in grasshopper populations being suppressed over time whereas not adding water at all results in grasshopper population growth, leading to potential heatwave 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w:t>
      </w:r>
      <w:r>
        <w:lastRenderedPageBreak/>
        <w:t>approach [17]. Additionally, as our understanding of the mechanisms associated with heat tolerance improve, genetic tools, environmental manipulations (e.g., promoting beneficial microbes) and artificial breeding can be used to enhance thermal tolerance creating more resilience to extreme heat events [e.g., 53].</w:t>
      </w:r>
    </w:p>
    <w:tbl>
      <w:tblPr>
        <w:tblStyle w:val="Table"/>
        <w:tblW w:w="5000" w:type="pct"/>
        <w:tblLayout w:type="fixed"/>
        <w:tblLook w:val="0000" w:firstRow="0" w:lastRow="0" w:firstColumn="0" w:lastColumn="0" w:noHBand="0" w:noVBand="0"/>
      </w:tblPr>
      <w:tblGrid>
        <w:gridCol w:w="10538"/>
      </w:tblGrid>
      <w:tr w:rsidR="00542893" w14:paraId="1CD6F17C" w14:textId="77777777">
        <w:tc>
          <w:tcPr>
            <w:tcW w:w="7920" w:type="dxa"/>
          </w:tcPr>
          <w:p w14:paraId="1BB986CC" w14:textId="4571B521" w:rsidR="00542893" w:rsidRDefault="00FD1B40">
            <w:pPr>
              <w:pStyle w:val="Compact"/>
              <w:jc w:val="center"/>
            </w:pPr>
            <w:bookmarkStart w:id="14" w:name="fig-2"/>
            <w:r>
              <w:rPr>
                <w:noProof/>
              </w:rPr>
              <w:drawing>
                <wp:inline distT="0" distB="0" distL="0" distR="0" wp14:anchorId="363E9C6A" wp14:editId="4CC51C20">
                  <wp:extent cx="5839485" cy="4087413"/>
                  <wp:effectExtent l="0" t="0" r="2540" b="2540"/>
                  <wp:docPr id="12940198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19834" name="Picture 12940198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6526" cy="4106341"/>
                          </a:xfrm>
                          <a:prstGeom prst="rect">
                            <a:avLst/>
                          </a:prstGeom>
                        </pic:spPr>
                      </pic:pic>
                    </a:graphicData>
                  </a:graphic>
                </wp:inline>
              </w:drawing>
            </w:r>
          </w:p>
          <w:p w14:paraId="3774F48F" w14:textId="33B4E6BB" w:rsidR="00542893" w:rsidRDefault="00000000">
            <w:pPr>
              <w:pStyle w:val="ImageCaption"/>
              <w:spacing w:before="200"/>
            </w:pPr>
            <w:r>
              <w:t>Figure </w:t>
            </w:r>
            <w:r w:rsidR="00CD0962">
              <w:t>2</w:t>
            </w:r>
            <w:r>
              <w:t>- How a systems modelling approach to extreme heat can be used to inform solutions. 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189D0881" w14:textId="77777777">
        <w:trPr>
          <w:cantSplit/>
        </w:trPr>
        <w:tc>
          <w:tcPr>
            <w:tcW w:w="0" w:type="auto"/>
            <w:tcMar>
              <w:left w:w="144" w:type="dxa"/>
            </w:tcMar>
          </w:tcPr>
          <w:p w14:paraId="7CFAEC39" w14:textId="77777777" w:rsidR="00542893" w:rsidRDefault="00000000">
            <w:pPr>
              <w:pStyle w:val="BodyText"/>
              <w:spacing w:before="16" w:after="64"/>
            </w:pPr>
            <w:r>
              <w:rPr>
                <w:b/>
                <w:bCs/>
              </w:rPr>
              <w:lastRenderedPageBreak/>
              <w:t>Box 3: An important frontier: integrating eco-evolutionary feedback within a systems-modelling framework</w:t>
            </w:r>
          </w:p>
          <w:p w14:paraId="4145402B" w14:textId="77777777" w:rsidR="00542893" w:rsidRDefault="00000000">
            <w:pPr>
              <w:pStyle w:val="BodyText"/>
              <w:spacing w:before="16"/>
            </w:pPr>
            <w: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p>
          <w:p w14:paraId="18BB7609" w14:textId="77777777" w:rsidR="00542893" w:rsidRDefault="00000000">
            <w:pPr>
              <w:pStyle w:val="BodyText"/>
            </w:pPr>
            <w: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p>
          <w:p w14:paraId="6AABE486" w14:textId="77777777" w:rsidR="00542893" w:rsidRDefault="00000000">
            <w:pPr>
              <w:pStyle w:val="BodyText"/>
            </w:pPr>
            <w: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p>
          <w:p w14:paraId="5F6ADDCA" w14:textId="77777777" w:rsidR="00542893" w:rsidRDefault="00000000">
            <w:pPr>
              <w:pStyle w:val="BodyText"/>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21CB8AEA" w14:textId="77777777" w:rsidR="00542893" w:rsidRDefault="00000000">
            <w:pPr>
              <w:pStyle w:val="FirstParagraph"/>
              <w:spacing w:after="16"/>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 [81,87].</w:t>
            </w:r>
          </w:p>
        </w:tc>
      </w:tr>
    </w:tbl>
    <w:p w14:paraId="5B5BFA01" w14:textId="77777777" w:rsidR="00542893"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47E64F75" w14:textId="77777777">
        <w:trPr>
          <w:cantSplit/>
        </w:trPr>
        <w:tc>
          <w:tcPr>
            <w:tcW w:w="0" w:type="auto"/>
            <w:tcMar>
              <w:left w:w="144" w:type="dxa"/>
            </w:tcMar>
          </w:tcPr>
          <w:p w14:paraId="7292DA97" w14:textId="77777777" w:rsidR="00542893" w:rsidRDefault="00000000">
            <w:pPr>
              <w:pStyle w:val="BodyText"/>
              <w:spacing w:before="16" w:after="64"/>
            </w:pPr>
            <w:r>
              <w:rPr>
                <w:b/>
                <w:bCs/>
              </w:rPr>
              <w:t>Outstanding Questions</w:t>
            </w:r>
          </w:p>
          <w:p w14:paraId="06D8D815" w14:textId="77777777" w:rsidR="00542893" w:rsidRDefault="00000000">
            <w:pPr>
              <w:pStyle w:val="Compact"/>
              <w:numPr>
                <w:ilvl w:val="0"/>
                <w:numId w:val="86"/>
              </w:numPr>
            </w:pPr>
            <w:r>
              <w:t>For data deficient species, how effective is using parameters of closely related species or modelling species based on common functional trait groups at successfully predicting the impacts of extreme heat?</w:t>
            </w:r>
          </w:p>
        </w:tc>
      </w:tr>
    </w:tbl>
    <w:p w14:paraId="69830D53" w14:textId="77777777" w:rsidR="00542893" w:rsidRDefault="00000000">
      <w:pPr>
        <w:pStyle w:val="Heading1"/>
      </w:pPr>
      <w:bookmarkStart w:id="16" w:name="concluding-remarks"/>
      <w:bookmarkEnd w:id="13"/>
      <w:r>
        <w:t>Concluding Remarks</w:t>
      </w:r>
    </w:p>
    <w:p w14:paraId="63A3107A" w14:textId="77777777" w:rsidR="00542893" w:rsidRDefault="00000000">
      <w:pPr>
        <w:pStyle w:val="FirstParagraph"/>
      </w:pPr>
      <w:r>
        <w:t xml:space="preserve">Implementing a systems-modelling approach will no doubt be challenging, particularly for complex communities, and knowledge gaps remain (see </w:t>
      </w:r>
      <w:r>
        <w:rPr>
          <w:b/>
          <w:bCs/>
        </w:rPr>
        <w:t>Outstanding Questions</w:t>
      </w:r>
      <w:r>
        <w:t xml:space="preserve">). However, more mechanistic approaches that encapsulate key biological processes (physiology, behaviour, phenology, species interactions and eco-evolutionary dynamics - </w:t>
      </w:r>
      <w:r>
        <w:rPr>
          <w:b/>
          <w:bCs/>
        </w:rPr>
        <w:t>Box 3</w:t>
      </w:r>
      <w:r>
        <w:t xml:space="preserve">) are needed now, more than ever, to better predict biological </w:t>
      </w:r>
      <w:r>
        <w:lastRenderedPageBreak/>
        <w:t>responses to extreme heat [47,89]. Coupled mechanistic models within and across species are expected to have improved predictive power when extrapolated to new conditions and can help better integrate interacting processes [17,89].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[23], and careful consideration of the key processes important to a system can help alleviate these challenges [17]. For example, large databases of physiological traits for both plants and animals now exist [e.g., 90,91] and advanced missing data approaches can help estimate likely parameters for data deficient species [e.g., 62]. In addition,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 [17]. Even simple models that compare counterfactual scenarios may provide important quantitative insights into the impacts of extreme heat on organisms, populations and communities [92–94].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p w14:paraId="01BC04AC" w14:textId="77777777" w:rsidR="00542893" w:rsidRDefault="00000000">
      <w:pPr>
        <w:pStyle w:val="Heading1"/>
      </w:pPr>
      <w:bookmarkStart w:id="17" w:name="acknowledgements"/>
      <w:bookmarkEnd w:id="16"/>
      <w:r>
        <w:t>Acknowledgements</w:t>
      </w:r>
    </w:p>
    <w:p w14:paraId="250BE0A0" w14:textId="77777777" w:rsidR="00542893" w:rsidRDefault="00000000">
      <w:pPr>
        <w:pStyle w:val="FirstParagraph"/>
      </w:pPr>
      <w:r>
        <w:t>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53B51F0F" w14:textId="77777777" w:rsidR="00542893" w:rsidRDefault="00000000">
      <w:pPr>
        <w:pStyle w:val="Heading1"/>
      </w:pPr>
      <w:bookmarkStart w:id="18" w:name="data-and-code"/>
      <w:bookmarkEnd w:id="17"/>
      <w:r>
        <w:t>Data and Code</w:t>
      </w:r>
    </w:p>
    <w:p w14:paraId="6675777C" w14:textId="77777777" w:rsidR="00542893" w:rsidRDefault="00000000">
      <w:pPr>
        <w:pStyle w:val="FirstParagraph"/>
      </w:pPr>
      <w:r>
        <w:t>Link to the data and code used to for examples in Box 1 and 2 can be found here: https://daniel1noble.github.io/thermal_tol_interactions/ with the full set of files being located on our GitHub repository at https://github.com/daniel1noble/thermal_tol_interactions.</w:t>
      </w:r>
    </w:p>
    <w:p w14:paraId="4375C59C" w14:textId="77777777" w:rsidR="00542893" w:rsidRDefault="00000000">
      <w:pPr>
        <w:pStyle w:val="Heading1"/>
      </w:pPr>
      <w:bookmarkStart w:id="19" w:name="references"/>
      <w:bookmarkEnd w:id="18"/>
      <w:r>
        <w:t>References</w:t>
      </w:r>
    </w:p>
    <w:p w14:paraId="182ACB4A" w14:textId="77777777" w:rsidR="00542893" w:rsidRDefault="00542893">
      <w:pPr>
        <w:pStyle w:val="FirstParagraph"/>
      </w:pPr>
    </w:p>
    <w:p w14:paraId="3CC592A6" w14:textId="77777777" w:rsidR="00542893" w:rsidRDefault="00000000">
      <w:pPr>
        <w:pStyle w:val="Bibliography"/>
      </w:pPr>
      <w:bookmarkStart w:id="20" w:name="ref-Barriopedro2023"/>
      <w:bookmarkStart w:id="21"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0297D010" w14:textId="77777777" w:rsidR="00542893" w:rsidRDefault="00000000">
      <w:pPr>
        <w:pStyle w:val="Bibliography"/>
      </w:pPr>
      <w:bookmarkStart w:id="22" w:name="ref-Perkins-Kirkpatrick2020"/>
      <w:bookmarkEnd w:id="20"/>
      <w:r>
        <w:t xml:space="preserve">2. </w:t>
      </w:r>
      <w:r>
        <w:tab/>
        <w:t xml:space="preserve">Perkins‐Kirkpatrick, S. and Lewis, S.C. (2020) </w:t>
      </w:r>
      <w:hyperlink r:id="rId9">
        <w:r>
          <w:rPr>
            <w:rStyle w:val="Hyperlink"/>
          </w:rPr>
          <w:t>Increasing trends in regional heatwaves</w:t>
        </w:r>
      </w:hyperlink>
      <w:r>
        <w:t xml:space="preserve">. </w:t>
      </w:r>
      <w:r>
        <w:rPr>
          <w:i/>
          <w:iCs/>
        </w:rPr>
        <w:t>Nat. Commun.</w:t>
      </w:r>
      <w:r>
        <w:t xml:space="preserve"> 11, 3357</w:t>
      </w:r>
    </w:p>
    <w:p w14:paraId="15159C8E" w14:textId="77777777" w:rsidR="00542893" w:rsidRDefault="00000000">
      <w:pPr>
        <w:pStyle w:val="Bibliography"/>
      </w:pPr>
      <w:bookmarkStart w:id="23" w:name="ref-Evans2025"/>
      <w:bookmarkEnd w:id="22"/>
      <w:r>
        <w:t xml:space="preserve">3. </w:t>
      </w:r>
      <w:r>
        <w:tab/>
        <w:t xml:space="preserve">Evans, M.E.K. </w:t>
      </w:r>
      <w:r>
        <w:rPr>
          <w:i/>
          <w:iCs/>
        </w:rPr>
        <w:t>et al.</w:t>
      </w:r>
      <w:r>
        <w:t xml:space="preserve"> (2025) </w:t>
      </w:r>
      <w:hyperlink r:id="rId10">
        <w:r>
          <w:rPr>
            <w:rStyle w:val="Hyperlink"/>
          </w:rPr>
          <w:t>Scaling plant responses to heat: From molecules to the biosphere</w:t>
        </w:r>
      </w:hyperlink>
      <w:r>
        <w:t xml:space="preserve">. </w:t>
      </w:r>
      <w:r>
        <w:rPr>
          <w:i/>
          <w:iCs/>
        </w:rPr>
        <w:t>Science</w:t>
      </w:r>
      <w:r>
        <w:t xml:space="preserve"> 388, 1167–1173</w:t>
      </w:r>
    </w:p>
    <w:p w14:paraId="7923A38A" w14:textId="77777777" w:rsidR="00542893" w:rsidRDefault="00000000">
      <w:pPr>
        <w:pStyle w:val="Bibliography"/>
      </w:pPr>
      <w:bookmarkStart w:id="24" w:name="ref-Margalef-Marrase2020"/>
      <w:bookmarkEnd w:id="23"/>
      <w:r>
        <w:lastRenderedPageBreak/>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6745DF90" w14:textId="77777777" w:rsidR="00542893" w:rsidRDefault="00000000">
      <w:pPr>
        <w:pStyle w:val="Bibliography"/>
      </w:pPr>
      <w:bookmarkStart w:id="25" w:name="ref-Kazenel2024"/>
      <w:bookmarkEnd w:id="24"/>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7E9E8FDE" w14:textId="77777777" w:rsidR="00542893" w:rsidRDefault="00000000">
      <w:pPr>
        <w:pStyle w:val="Bibliography"/>
      </w:pPr>
      <w:bookmarkStart w:id="26" w:name="ref-Zhao2017"/>
      <w:bookmarkEnd w:id="25"/>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240241D1" w14:textId="77777777" w:rsidR="00542893" w:rsidRDefault="00000000">
      <w:pPr>
        <w:pStyle w:val="Bibliography"/>
      </w:pPr>
      <w:bookmarkStart w:id="27" w:name="ref-Tito2018"/>
      <w:bookmarkEnd w:id="26"/>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5A3C6AC" w14:textId="77777777" w:rsidR="00542893" w:rsidRDefault="00000000">
      <w:pPr>
        <w:pStyle w:val="Bibliography"/>
      </w:pPr>
      <w:bookmarkStart w:id="28" w:name="ref-Bernacchi2025"/>
      <w:bookmarkEnd w:id="27"/>
      <w:r>
        <w:t xml:space="preserve">8. </w:t>
      </w:r>
      <w:r>
        <w:tab/>
        <w:t xml:space="preserve">Bernacchi, C.J. </w:t>
      </w:r>
      <w:r>
        <w:rPr>
          <w:i/>
          <w:iCs/>
        </w:rPr>
        <w:t>et al.</w:t>
      </w:r>
      <w:r>
        <w:t xml:space="preserve"> (2025) </w:t>
      </w:r>
      <w:hyperlink r:id="rId11">
        <w:r>
          <w:rPr>
            <w:rStyle w:val="Hyperlink"/>
          </w:rPr>
          <w:t>Safeguarding crop photosynthesis in a rapidly warming world</w:t>
        </w:r>
      </w:hyperlink>
      <w:r>
        <w:t xml:space="preserve">. </w:t>
      </w:r>
      <w:r>
        <w:rPr>
          <w:i/>
          <w:iCs/>
        </w:rPr>
        <w:t>Science</w:t>
      </w:r>
      <w:r>
        <w:t xml:space="preserve"> 388, 1153–1160</w:t>
      </w:r>
    </w:p>
    <w:p w14:paraId="77095C7E" w14:textId="77777777" w:rsidR="00542893" w:rsidRDefault="00000000">
      <w:pPr>
        <w:pStyle w:val="Bibliography"/>
      </w:pPr>
      <w:bookmarkStart w:id="29" w:name="ref-Martinez2023"/>
      <w:bookmarkEnd w:id="28"/>
      <w:r>
        <w:t xml:space="preserve">9. </w:t>
      </w:r>
      <w:r>
        <w:tab/>
        <w:t xml:space="preserve">Martinez, L.D. </w:t>
      </w:r>
      <w:r>
        <w:rPr>
          <w:i/>
          <w:iCs/>
        </w:rPr>
        <w:t>et al.</w:t>
      </w:r>
      <w:r>
        <w:t xml:space="preserve"> (2023) </w:t>
      </w:r>
      <w:hyperlink r:id="rId12">
        <w:r>
          <w:rPr>
            <w:rStyle w:val="Hyperlink"/>
          </w:rPr>
          <w:t>Effect of simulated heat waves on the behaviour of two mirid predators</w:t>
        </w:r>
      </w:hyperlink>
      <w:r>
        <w:t xml:space="preserve">. </w:t>
      </w:r>
      <w:r>
        <w:rPr>
          <w:i/>
          <w:iCs/>
        </w:rPr>
        <w:t>J. Appl. Entomol.</w:t>
      </w:r>
      <w:r>
        <w:t xml:space="preserve"> 147, 486–498</w:t>
      </w:r>
    </w:p>
    <w:p w14:paraId="3D2E4DD4" w14:textId="77777777" w:rsidR="00542893" w:rsidRDefault="00000000">
      <w:pPr>
        <w:pStyle w:val="Bibliography"/>
      </w:pPr>
      <w:bookmarkStart w:id="30" w:name="ref-Rezende2020"/>
      <w:bookmarkEnd w:id="29"/>
      <w:r>
        <w:t xml:space="preserve">10. </w:t>
      </w:r>
      <w:r>
        <w:tab/>
        <w:t xml:space="preserve">Rezende, E.L. </w:t>
      </w:r>
      <w:r>
        <w:rPr>
          <w:i/>
          <w:iCs/>
        </w:rPr>
        <w:t>et al.</w:t>
      </w:r>
      <w:r>
        <w:t xml:space="preserve"> (2020) </w:t>
      </w:r>
      <w:hyperlink r:id="rId13">
        <w:r>
          <w:rPr>
            <w:rStyle w:val="Hyperlink"/>
          </w:rPr>
          <w:t>Predicting temperature mortality and selection in natural drosophila populations</w:t>
        </w:r>
      </w:hyperlink>
      <w:r>
        <w:t xml:space="preserve">. </w:t>
      </w:r>
      <w:r>
        <w:rPr>
          <w:i/>
          <w:iCs/>
        </w:rPr>
        <w:t>Science</w:t>
      </w:r>
      <w:r>
        <w:t xml:space="preserve"> 369, 1242–1245</w:t>
      </w:r>
    </w:p>
    <w:p w14:paraId="346C81D4" w14:textId="77777777" w:rsidR="00542893" w:rsidRDefault="00000000">
      <w:pPr>
        <w:pStyle w:val="Bibliography"/>
      </w:pPr>
      <w:bookmarkStart w:id="31" w:name="ref-Orsted2024"/>
      <w:bookmarkEnd w:id="30"/>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41BD6441" w14:textId="77777777" w:rsidR="00542893" w:rsidRDefault="00000000">
      <w:pPr>
        <w:pStyle w:val="Bibliography"/>
      </w:pPr>
      <w:bookmarkStart w:id="32" w:name="ref-Lopez-Goldar2024"/>
      <w:bookmarkEnd w:id="31"/>
      <w:r>
        <w:t xml:space="preserve">12. </w:t>
      </w:r>
      <w:r>
        <w:tab/>
        <w:t xml:space="preserve">López-Goldar, X. </w:t>
      </w:r>
      <w:r>
        <w:rPr>
          <w:i/>
          <w:iCs/>
        </w:rPr>
        <w:t>et al.</w:t>
      </w:r>
      <w:r>
        <w:t xml:space="preserve"> (2024) </w:t>
      </w:r>
      <w:hyperlink r:id="rId14">
        <w:r>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19BBDAF9" w14:textId="77777777" w:rsidR="00542893" w:rsidRDefault="00000000">
      <w:pPr>
        <w:pStyle w:val="Bibliography"/>
      </w:pPr>
      <w:bookmarkStart w:id="33" w:name="ref-Trivedi2022"/>
      <w:bookmarkEnd w:id="32"/>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56CC2F43" w14:textId="77777777" w:rsidR="00542893" w:rsidRDefault="00000000">
      <w:pPr>
        <w:pStyle w:val="Bibliography"/>
      </w:pPr>
      <w:bookmarkStart w:id="34" w:name="ref-Kooijman2010"/>
      <w:bookmarkEnd w:id="33"/>
      <w:r>
        <w:t xml:space="preserve">14. </w:t>
      </w:r>
      <w:r>
        <w:tab/>
        <w:t xml:space="preserve">Kooijman, S.A.L.M. (2010) </w:t>
      </w:r>
      <w:r>
        <w:rPr>
          <w:i/>
          <w:iCs/>
        </w:rPr>
        <w:t>Dynamic energy budget theory for metabolic organisation</w:t>
      </w:r>
      <w:r>
        <w:t>, Cambridge university press</w:t>
      </w:r>
    </w:p>
    <w:p w14:paraId="723E0F01" w14:textId="77777777" w:rsidR="00542893" w:rsidRDefault="00000000">
      <w:pPr>
        <w:pStyle w:val="Bibliography"/>
      </w:pPr>
      <w:bookmarkStart w:id="35" w:name="ref-Kearney2009b"/>
      <w:bookmarkEnd w:id="34"/>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1D28842" w14:textId="77777777" w:rsidR="00542893" w:rsidRDefault="00000000">
      <w:pPr>
        <w:pStyle w:val="Bibliography"/>
      </w:pPr>
      <w:bookmarkStart w:id="36" w:name="ref-Kearney2024"/>
      <w:bookmarkEnd w:id="35"/>
      <w:r>
        <w:t xml:space="preserve">16. </w:t>
      </w:r>
      <w:r>
        <w:tab/>
        <w:t xml:space="preserve">Kearney, M.R. and Leigh, A. (2024) </w:t>
      </w:r>
      <w:hyperlink r:id="rId15">
        <w:r>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14C21F3A" w14:textId="77777777" w:rsidR="00542893" w:rsidRDefault="00000000">
      <w:pPr>
        <w:pStyle w:val="Bibliography"/>
      </w:pPr>
      <w:bookmarkStart w:id="37" w:name="ref-Briscoe2023"/>
      <w:bookmarkEnd w:id="36"/>
      <w:r>
        <w:t xml:space="preserve">17.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76349FFA" w14:textId="77777777" w:rsidR="00542893" w:rsidRDefault="00000000">
      <w:pPr>
        <w:pStyle w:val="Bibliography"/>
      </w:pPr>
      <w:bookmarkStart w:id="38" w:name="ref-Rezende2014"/>
      <w:bookmarkEnd w:id="37"/>
      <w:r>
        <w:t xml:space="preserve">18. </w:t>
      </w:r>
      <w:r>
        <w:tab/>
        <w:t xml:space="preserve">Rezende, E.L. </w:t>
      </w:r>
      <w:r>
        <w:rPr>
          <w:i/>
          <w:iCs/>
        </w:rPr>
        <w:t>et al.</w:t>
      </w:r>
      <w:r>
        <w:t xml:space="preserve"> (2014) </w:t>
      </w:r>
      <w:hyperlink r:id="rId16">
        <w:r>
          <w:rPr>
            <w:rStyle w:val="Hyperlink"/>
          </w:rPr>
          <w:t>Tolerance landscapes in thermal ecology</w:t>
        </w:r>
      </w:hyperlink>
      <w:r>
        <w:t xml:space="preserve">. </w:t>
      </w:r>
      <w:r>
        <w:rPr>
          <w:i/>
          <w:iCs/>
        </w:rPr>
        <w:t>Funct. Ecol.</w:t>
      </w:r>
      <w:r>
        <w:t xml:space="preserve"> 28, 799–809</w:t>
      </w:r>
    </w:p>
    <w:p w14:paraId="5BEA2497" w14:textId="77777777" w:rsidR="00542893" w:rsidRDefault="00000000">
      <w:pPr>
        <w:pStyle w:val="Bibliography"/>
      </w:pPr>
      <w:bookmarkStart w:id="39" w:name="ref-Arnold2025a"/>
      <w:bookmarkEnd w:id="38"/>
      <w:r>
        <w:t xml:space="preserve">19. </w:t>
      </w:r>
      <w:r>
        <w:tab/>
        <w:t xml:space="preserve">Arnold, P.A. </w:t>
      </w:r>
      <w:r>
        <w:rPr>
          <w:i/>
          <w:iCs/>
        </w:rPr>
        <w:t>et al.</w:t>
      </w:r>
      <w:r>
        <w:t xml:space="preserve"> (2025) </w:t>
      </w:r>
      <w:hyperlink r:id="rId17">
        <w:r>
          <w:rPr>
            <w:rStyle w:val="Hyperlink"/>
          </w:rPr>
          <w:t>A framework for modelling thermal load sensitivity across life</w:t>
        </w:r>
      </w:hyperlink>
      <w:r>
        <w:t xml:space="preserve">. </w:t>
      </w:r>
      <w:r>
        <w:rPr>
          <w:i/>
          <w:iCs/>
        </w:rPr>
        <w:t>Glob. Chang. Biol.</w:t>
      </w:r>
      <w:r>
        <w:t xml:space="preserve"> 31, e70315</w:t>
      </w:r>
    </w:p>
    <w:p w14:paraId="408AAEEA" w14:textId="77777777" w:rsidR="00542893" w:rsidRDefault="00000000">
      <w:pPr>
        <w:pStyle w:val="Bibliography"/>
      </w:pPr>
      <w:bookmarkStart w:id="40" w:name="ref-Bimler2018"/>
      <w:bookmarkEnd w:id="39"/>
      <w:r>
        <w:t xml:space="preserve">20. </w:t>
      </w:r>
      <w:r>
        <w:tab/>
        <w:t xml:space="preserve">Bimler, M.D. </w:t>
      </w:r>
      <w:r>
        <w:rPr>
          <w:i/>
          <w:iCs/>
        </w:rPr>
        <w:t>et al.</w:t>
      </w:r>
      <w:r>
        <w:t xml:space="preserve"> (2018) </w:t>
      </w:r>
      <w:hyperlink r:id="rId18">
        <w:r>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23651CBA" w14:textId="77777777" w:rsidR="00542893" w:rsidRDefault="00000000">
      <w:pPr>
        <w:pStyle w:val="Bibliography"/>
      </w:pPr>
      <w:bookmarkStart w:id="41" w:name="ref-Bowler2022"/>
      <w:bookmarkEnd w:id="40"/>
      <w:r>
        <w:t xml:space="preserve">21. </w:t>
      </w:r>
      <w:r>
        <w:tab/>
        <w:t xml:space="preserve">Bowler, C.H. </w:t>
      </w:r>
      <w:r>
        <w:rPr>
          <w:i/>
          <w:iCs/>
        </w:rPr>
        <w:t>et al.</w:t>
      </w:r>
      <w:r>
        <w:t xml:space="preserve"> (2022) </w:t>
      </w:r>
      <w:hyperlink r:id="rId19">
        <w:r>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90BDD9D" w14:textId="77777777" w:rsidR="00542893" w:rsidRDefault="00000000">
      <w:pPr>
        <w:pStyle w:val="Bibliography"/>
      </w:pPr>
      <w:bookmarkStart w:id="42" w:name="ref-Kearney2017"/>
      <w:bookmarkEnd w:id="41"/>
      <w:r>
        <w:t xml:space="preserve">22. </w:t>
      </w:r>
      <w:r>
        <w:tab/>
        <w:t xml:space="preserve">Kearney, M.R. and Porter, W.P. (2017) </w:t>
      </w:r>
      <w:hyperlink r:id="rId20">
        <w:r>
          <w:rPr>
            <w:rStyle w:val="Hyperlink"/>
          </w:rPr>
          <w:t>NicheMapR – an R package for biophysical modelling: The microclimate model</w:t>
        </w:r>
      </w:hyperlink>
      <w:r>
        <w:t xml:space="preserve">. </w:t>
      </w:r>
      <w:r>
        <w:rPr>
          <w:i/>
          <w:iCs/>
        </w:rPr>
        <w:t>Ecography (Cop.)</w:t>
      </w:r>
      <w:r>
        <w:t xml:space="preserve"> 40, 664–674</w:t>
      </w:r>
    </w:p>
    <w:p w14:paraId="5741CC44" w14:textId="77777777" w:rsidR="00542893" w:rsidRDefault="00000000">
      <w:pPr>
        <w:pStyle w:val="Bibliography"/>
      </w:pPr>
      <w:bookmarkStart w:id="43" w:name="ref-Maclean2019"/>
      <w:bookmarkEnd w:id="42"/>
      <w:r>
        <w:lastRenderedPageBreak/>
        <w:t xml:space="preserve">23. </w:t>
      </w:r>
      <w:r>
        <w:tab/>
        <w:t xml:space="preserve">Maclean, I.M.D. </w:t>
      </w:r>
      <w:r>
        <w:rPr>
          <w:i/>
          <w:iCs/>
        </w:rPr>
        <w:t>et al.</w:t>
      </w:r>
      <w:r>
        <w:t xml:space="preserve"> (2019) </w:t>
      </w:r>
      <w:hyperlink r:id="rId21">
        <w:r>
          <w:rPr>
            <w:rStyle w:val="Hyperlink"/>
          </w:rPr>
          <w:t>Microclima: An r package for modelling meso‐ and microclimate</w:t>
        </w:r>
      </w:hyperlink>
      <w:r>
        <w:t xml:space="preserve">. </w:t>
      </w:r>
      <w:r>
        <w:rPr>
          <w:i/>
          <w:iCs/>
        </w:rPr>
        <w:t>Methods Ecol. Evol.</w:t>
      </w:r>
      <w:r>
        <w:t xml:space="preserve"> 10, 280–290</w:t>
      </w:r>
    </w:p>
    <w:p w14:paraId="12462CB0" w14:textId="77777777" w:rsidR="00542893" w:rsidRDefault="00000000">
      <w:pPr>
        <w:pStyle w:val="Bibliography"/>
      </w:pPr>
      <w:bookmarkStart w:id="44" w:name="ref-Kearney2020"/>
      <w:bookmarkEnd w:id="43"/>
      <w:r>
        <w:t xml:space="preserve">24. </w:t>
      </w:r>
      <w:r>
        <w:tab/>
        <w:t xml:space="preserve">Kearney, M.R. </w:t>
      </w:r>
      <w:r>
        <w:rPr>
          <w:i/>
          <w:iCs/>
        </w:rPr>
        <w:t>et al.</w:t>
      </w:r>
      <w:r>
        <w:t xml:space="preserve"> (2020) </w:t>
      </w:r>
      <w:hyperlink r:id="rId22">
        <w:r>
          <w:rPr>
            <w:rStyle w:val="Hyperlink"/>
          </w:rPr>
          <w:t>A method for computing hourly, historical, terrain‐corrected microclimate anywhere on earth</w:t>
        </w:r>
      </w:hyperlink>
      <w:r>
        <w:t xml:space="preserve">. </w:t>
      </w:r>
      <w:r>
        <w:rPr>
          <w:i/>
          <w:iCs/>
        </w:rPr>
        <w:t>Methods Ecol. Evol.</w:t>
      </w:r>
      <w:r>
        <w:t xml:space="preserve"> 11, 38–43</w:t>
      </w:r>
    </w:p>
    <w:p w14:paraId="292D2991" w14:textId="77777777" w:rsidR="00542893" w:rsidRDefault="00000000">
      <w:pPr>
        <w:pStyle w:val="Bibliography"/>
      </w:pPr>
      <w:bookmarkStart w:id="45" w:name="ref-Maclean2021"/>
      <w:bookmarkEnd w:id="44"/>
      <w:r>
        <w:t xml:space="preserve">25. </w:t>
      </w:r>
      <w:r>
        <w:tab/>
        <w:t xml:space="preserve">Maclean, I.M.D. </w:t>
      </w:r>
      <w:r>
        <w:rPr>
          <w:i/>
          <w:iCs/>
        </w:rPr>
        <w:t>et al.</w:t>
      </w:r>
      <w:r>
        <w:t xml:space="preserve"> (2021) </w:t>
      </w:r>
      <w:hyperlink r:id="rId23">
        <w:r>
          <w:rPr>
            <w:rStyle w:val="Hyperlink"/>
          </w:rPr>
          <w:t>On the measurement of microclimate</w:t>
        </w:r>
      </w:hyperlink>
      <w:r>
        <w:t xml:space="preserve">. </w:t>
      </w:r>
      <w:r>
        <w:rPr>
          <w:i/>
          <w:iCs/>
        </w:rPr>
        <w:t>Methods Ecol. Evol.</w:t>
      </w:r>
      <w:r>
        <w:t xml:space="preserve"> 12, 1397–1410</w:t>
      </w:r>
    </w:p>
    <w:p w14:paraId="44A05A0C" w14:textId="77777777" w:rsidR="00542893" w:rsidRDefault="00000000">
      <w:pPr>
        <w:pStyle w:val="Bibliography"/>
      </w:pPr>
      <w:bookmarkStart w:id="46" w:name="ref-Buckley2023"/>
      <w:bookmarkEnd w:id="45"/>
      <w:r>
        <w:t xml:space="preserve">26. </w:t>
      </w:r>
      <w:r>
        <w:tab/>
        <w:t xml:space="preserve">Buckley, L.B. </w:t>
      </w:r>
      <w:r>
        <w:rPr>
          <w:i/>
          <w:iCs/>
        </w:rPr>
        <w:t>et al.</w:t>
      </w:r>
      <w:r>
        <w:t xml:space="preserve"> (2023) </w:t>
      </w:r>
      <w:hyperlink r:id="rId24">
        <w:r>
          <w:rPr>
            <w:rStyle w:val="Hyperlink"/>
          </w:rPr>
          <w:t>TrenchR: An R package for modular and accessible microclimate and biophysical ecology</w:t>
        </w:r>
      </w:hyperlink>
      <w:r>
        <w:t xml:space="preserve">. </w:t>
      </w:r>
      <w:r>
        <w:rPr>
          <w:i/>
          <w:iCs/>
        </w:rPr>
        <w:t>PLOS Clim</w:t>
      </w:r>
      <w:r>
        <w:t xml:space="preserve"> 2, e0000139</w:t>
      </w:r>
    </w:p>
    <w:p w14:paraId="56AB44F1" w14:textId="77777777" w:rsidR="00542893" w:rsidRDefault="00000000">
      <w:pPr>
        <w:pStyle w:val="Bibliography"/>
      </w:pPr>
      <w:bookmarkStart w:id="47" w:name="ref-Bramer2018"/>
      <w:bookmarkEnd w:id="46"/>
      <w:r>
        <w:t xml:space="preserve">27. </w:t>
      </w:r>
      <w:r>
        <w:tab/>
        <w:t xml:space="preserve">Bramer, I. </w:t>
      </w:r>
      <w:r>
        <w:rPr>
          <w:i/>
          <w:iCs/>
        </w:rPr>
        <w:t>et al.</w:t>
      </w:r>
      <w:r>
        <w:t xml:space="preserve"> (2018) Advances in monitoring and modelling climate at ecologically relevant scales. 58, 101–161</w:t>
      </w:r>
    </w:p>
    <w:p w14:paraId="0380AF71" w14:textId="77777777" w:rsidR="00542893" w:rsidRDefault="00000000">
      <w:pPr>
        <w:pStyle w:val="Bibliography"/>
      </w:pPr>
      <w:bookmarkStart w:id="48" w:name="ref-Levy2016"/>
      <w:bookmarkEnd w:id="47"/>
      <w:r>
        <w:t xml:space="preserve">28. </w:t>
      </w:r>
      <w:r>
        <w:tab/>
        <w:t xml:space="preserve">Levy, O. </w:t>
      </w:r>
      <w:r>
        <w:rPr>
          <w:i/>
          <w:iCs/>
        </w:rPr>
        <w:t>et al.</w:t>
      </w:r>
      <w:r>
        <w:t xml:space="preserve"> (2016) </w:t>
      </w:r>
      <w:hyperlink r:id="rId25">
        <w:r>
          <w:rPr>
            <w:rStyle w:val="Hyperlink"/>
          </w:rPr>
          <w:t>A dynamically downscaled projection of past and future microclimates</w:t>
        </w:r>
      </w:hyperlink>
      <w:r>
        <w:t xml:space="preserve">. </w:t>
      </w:r>
      <w:r>
        <w:rPr>
          <w:i/>
          <w:iCs/>
        </w:rPr>
        <w:t>Ecology</w:t>
      </w:r>
      <w:r>
        <w:t xml:space="preserve"> 97, 1888–1888</w:t>
      </w:r>
    </w:p>
    <w:p w14:paraId="7AD72603" w14:textId="77777777" w:rsidR="00542893" w:rsidRDefault="00000000">
      <w:pPr>
        <w:pStyle w:val="Bibliography"/>
      </w:pPr>
      <w:bookmarkStart w:id="49" w:name="ref-De_Frenne2024"/>
      <w:bookmarkEnd w:id="48"/>
      <w:r>
        <w:t xml:space="preserve">29.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26">
        <w:r>
          <w:rPr>
            <w:rStyle w:val="Hyperlink"/>
          </w:rPr>
          <w:t>10.1111/2041-210x.14476</w:t>
        </w:r>
      </w:hyperlink>
    </w:p>
    <w:p w14:paraId="2ADA487D" w14:textId="77777777" w:rsidR="00542893" w:rsidRDefault="00000000">
      <w:pPr>
        <w:pStyle w:val="Bibliography"/>
      </w:pPr>
      <w:bookmarkStart w:id="50" w:name="ref-Meyer2023"/>
      <w:bookmarkEnd w:id="49"/>
      <w:r>
        <w:t xml:space="preserve">30. </w:t>
      </w:r>
      <w:r>
        <w:tab/>
        <w:t xml:space="preserve">Meyer, A.V. </w:t>
      </w:r>
      <w:r>
        <w:rPr>
          <w:i/>
          <w:iCs/>
        </w:rPr>
        <w:t>et al.</w:t>
      </w:r>
      <w:r>
        <w:t xml:space="preserve"> (2023) </w:t>
      </w:r>
      <w:hyperlink r:id="rId27">
        <w:r>
          <w:rPr>
            <w:rStyle w:val="Hyperlink"/>
          </w:rPr>
          <w:t>A guide and tools for selecting and accessing microclimate data for mechanistic niche modeling</w:t>
        </w:r>
      </w:hyperlink>
      <w:r>
        <w:t xml:space="preserve">. </w:t>
      </w:r>
      <w:r>
        <w:rPr>
          <w:i/>
          <w:iCs/>
        </w:rPr>
        <w:t>Ecosphere</w:t>
      </w:r>
      <w:r>
        <w:t xml:space="preserve"> 14</w:t>
      </w:r>
    </w:p>
    <w:p w14:paraId="131B9F95" w14:textId="77777777" w:rsidR="00542893" w:rsidRDefault="00000000">
      <w:pPr>
        <w:pStyle w:val="Bibliography"/>
      </w:pPr>
      <w:bookmarkStart w:id="51" w:name="ref-Drake2018"/>
      <w:bookmarkEnd w:id="50"/>
      <w:r>
        <w:t xml:space="preserve">31. </w:t>
      </w:r>
      <w:r>
        <w:tab/>
        <w:t xml:space="preserve">Drake, J.E. </w:t>
      </w:r>
      <w:r>
        <w:rPr>
          <w:i/>
          <w:iCs/>
        </w:rPr>
        <w:t>et al.</w:t>
      </w:r>
      <w:r>
        <w:t xml:space="preserve"> (2018) </w:t>
      </w:r>
      <w:hyperlink r:id="rId28">
        <w:r>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25C5C523" w14:textId="77777777" w:rsidR="00542893" w:rsidRDefault="00000000">
      <w:pPr>
        <w:pStyle w:val="Bibliography"/>
      </w:pPr>
      <w:bookmarkStart w:id="52" w:name="ref-Holzworth2018"/>
      <w:bookmarkEnd w:id="51"/>
      <w:r>
        <w:t xml:space="preserve">32. </w:t>
      </w:r>
      <w:r>
        <w:tab/>
        <w:t xml:space="preserve">Holzworth, D. </w:t>
      </w:r>
      <w:r>
        <w:rPr>
          <w:i/>
          <w:iCs/>
        </w:rPr>
        <w:t>et al.</w:t>
      </w:r>
      <w:r>
        <w:t xml:space="preserve"> (2018) </w:t>
      </w:r>
      <w:hyperlink r:id="rId29">
        <w:r>
          <w:rPr>
            <w:rStyle w:val="Hyperlink"/>
          </w:rPr>
          <w:t>APSIM next generation: Overcoming challenges in modernising a farming systems model</w:t>
        </w:r>
      </w:hyperlink>
      <w:r>
        <w:t xml:space="preserve">. </w:t>
      </w:r>
      <w:r>
        <w:rPr>
          <w:i/>
          <w:iCs/>
        </w:rPr>
        <w:t>Environ. Model. Softw.</w:t>
      </w:r>
      <w:r>
        <w:t xml:space="preserve"> 103, 43–51</w:t>
      </w:r>
    </w:p>
    <w:p w14:paraId="2F28976C" w14:textId="77777777" w:rsidR="00542893" w:rsidRDefault="00000000">
      <w:pPr>
        <w:pStyle w:val="Bibliography"/>
      </w:pPr>
      <w:bookmarkStart w:id="53" w:name="ref-Medlyn2011"/>
      <w:bookmarkEnd w:id="52"/>
      <w:r>
        <w:t xml:space="preserve">33. </w:t>
      </w:r>
      <w:r>
        <w:tab/>
        <w:t xml:space="preserve">Medlyn, B.E. </w:t>
      </w:r>
      <w:r>
        <w:rPr>
          <w:i/>
          <w:iCs/>
        </w:rPr>
        <w:t>et al.</w:t>
      </w:r>
      <w:r>
        <w:t xml:space="preserve"> (2011) </w:t>
      </w:r>
      <w:hyperlink r:id="rId30">
        <w:r>
          <w:rPr>
            <w:rStyle w:val="Hyperlink"/>
          </w:rPr>
          <w:t>Reconciling the optimal and empirical approaches to modelling stomatal conductance: RECONCILING OPTIMAL AND EMPIRICAL STOMATAL MODELS</w:t>
        </w:r>
      </w:hyperlink>
      <w:r>
        <w:t xml:space="preserve">. </w:t>
      </w:r>
      <w:r>
        <w:rPr>
          <w:i/>
          <w:iCs/>
        </w:rPr>
        <w:t>Glob. Chang. Biol.</w:t>
      </w:r>
      <w:r>
        <w:t xml:space="preserve"> 17, 2134–2144</w:t>
      </w:r>
    </w:p>
    <w:p w14:paraId="4345DD8E" w14:textId="77777777" w:rsidR="00542893" w:rsidRDefault="00000000">
      <w:pPr>
        <w:pStyle w:val="Bibliography"/>
      </w:pPr>
      <w:bookmarkStart w:id="54" w:name="ref-Porter1973"/>
      <w:bookmarkEnd w:id="53"/>
      <w:r>
        <w:t xml:space="preserve">34. </w:t>
      </w:r>
      <w:r>
        <w:tab/>
        <w:t xml:space="preserve">Porter, W.P. </w:t>
      </w:r>
      <w:r>
        <w:rPr>
          <w:i/>
          <w:iCs/>
        </w:rPr>
        <w:t>et al.</w:t>
      </w:r>
      <w:r>
        <w:t xml:space="preserve"> (1973) </w:t>
      </w:r>
      <w:hyperlink r:id="rId31">
        <w:r>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6A5169D3" w14:textId="77777777" w:rsidR="00542893" w:rsidRDefault="00000000">
      <w:pPr>
        <w:pStyle w:val="Bibliography"/>
      </w:pPr>
      <w:bookmarkStart w:id="55" w:name="ref-Porter1969"/>
      <w:bookmarkEnd w:id="54"/>
      <w:r>
        <w:t xml:space="preserve">35. </w:t>
      </w:r>
      <w:r>
        <w:tab/>
        <w:t xml:space="preserve">Porter, W.P. and Gates, D.M. (1969) </w:t>
      </w:r>
      <w:hyperlink r:id="rId32">
        <w:r>
          <w:rPr>
            <w:rStyle w:val="Hyperlink"/>
          </w:rPr>
          <w:t>Thermodynamic equilibria of animals with environment</w:t>
        </w:r>
      </w:hyperlink>
      <w:r>
        <w:t xml:space="preserve">. </w:t>
      </w:r>
      <w:r>
        <w:rPr>
          <w:i/>
          <w:iCs/>
        </w:rPr>
        <w:t>Ecol. Monogr.</w:t>
      </w:r>
      <w:r>
        <w:t xml:space="preserve"> 39, 227–244</w:t>
      </w:r>
    </w:p>
    <w:p w14:paraId="5055AA4E" w14:textId="77777777" w:rsidR="00542893" w:rsidRDefault="00000000">
      <w:pPr>
        <w:pStyle w:val="Bibliography"/>
      </w:pPr>
      <w:bookmarkStart w:id="56" w:name="ref-Riddell2017"/>
      <w:bookmarkEnd w:id="55"/>
      <w:r>
        <w:t xml:space="preserve">36. </w:t>
      </w:r>
      <w:r>
        <w:tab/>
        <w:t xml:space="preserve">Riddell, E.A. </w:t>
      </w:r>
      <w:r>
        <w:rPr>
          <w:i/>
          <w:iCs/>
        </w:rPr>
        <w:t>et al.</w:t>
      </w:r>
      <w:r>
        <w:t xml:space="preserve"> (2017) </w:t>
      </w:r>
      <w:hyperlink r:id="rId33">
        <w:r>
          <w:rPr>
            <w:rStyle w:val="Hyperlink"/>
          </w:rPr>
          <w:t>Physical calculations of resistance to water loss improve predictions of species range models</w:t>
        </w:r>
      </w:hyperlink>
      <w:r>
        <w:t xml:space="preserve">. </w:t>
      </w:r>
      <w:r>
        <w:rPr>
          <w:i/>
          <w:iCs/>
        </w:rPr>
        <w:t>Ecol. Monogr.</w:t>
      </w:r>
      <w:r>
        <w:t xml:space="preserve"> 87, 21–33</w:t>
      </w:r>
    </w:p>
    <w:p w14:paraId="01734656" w14:textId="77777777" w:rsidR="00542893" w:rsidRDefault="00000000">
      <w:pPr>
        <w:pStyle w:val="Bibliography"/>
      </w:pPr>
      <w:bookmarkStart w:id="57" w:name="ref-Duursma2015"/>
      <w:bookmarkEnd w:id="56"/>
      <w:r>
        <w:t xml:space="preserve">37. </w:t>
      </w:r>
      <w:r>
        <w:tab/>
        <w:t xml:space="preserve">Duursma, R.A. (2015) </w:t>
      </w:r>
      <w:hyperlink r:id="rId34">
        <w:r>
          <w:rPr>
            <w:rStyle w:val="Hyperlink"/>
          </w:rPr>
          <w:t>Plantecophys–an R package for analysing and modelling leaf gas exchange data</w:t>
        </w:r>
      </w:hyperlink>
      <w:r>
        <w:t xml:space="preserve">. </w:t>
      </w:r>
      <w:r>
        <w:rPr>
          <w:i/>
          <w:iCs/>
        </w:rPr>
        <w:t>PLoS One</w:t>
      </w:r>
      <w:r>
        <w:t xml:space="preserve"> 10, e0143346</w:t>
      </w:r>
    </w:p>
    <w:p w14:paraId="3E5DF61B" w14:textId="77777777" w:rsidR="00542893" w:rsidRDefault="00000000">
      <w:pPr>
        <w:pStyle w:val="Bibliography"/>
      </w:pPr>
      <w:bookmarkStart w:id="58" w:name="ref-Wild2025"/>
      <w:bookmarkEnd w:id="57"/>
      <w:r>
        <w:t xml:space="preserve">38. </w:t>
      </w:r>
      <w:r>
        <w:tab/>
        <w:t xml:space="preserve">Wild, K.H. </w:t>
      </w:r>
      <w:r>
        <w:rPr>
          <w:i/>
          <w:iCs/>
        </w:rPr>
        <w:t>et al.</w:t>
      </w:r>
      <w:r>
        <w:t xml:space="preserve"> (2025) </w:t>
      </w:r>
      <w:hyperlink r:id="rId35">
        <w:r>
          <w:rPr>
            <w:rStyle w:val="Hyperlink"/>
          </w:rPr>
          <w:t>Climate change and the cost-of-living squeeze in desert lizards</w:t>
        </w:r>
      </w:hyperlink>
      <w:r>
        <w:t xml:space="preserve">. </w:t>
      </w:r>
      <w:r>
        <w:rPr>
          <w:i/>
          <w:iCs/>
        </w:rPr>
        <w:t>Science</w:t>
      </w:r>
      <w:r>
        <w:t xml:space="preserve"> 387, 303–309</w:t>
      </w:r>
    </w:p>
    <w:p w14:paraId="35B751BC" w14:textId="77777777" w:rsidR="00542893" w:rsidRDefault="00000000">
      <w:pPr>
        <w:pStyle w:val="Bibliography"/>
      </w:pPr>
      <w:bookmarkStart w:id="59" w:name="ref-Briscoe2022"/>
      <w:bookmarkEnd w:id="58"/>
      <w:r>
        <w:t xml:space="preserve">39. </w:t>
      </w:r>
      <w:r>
        <w:tab/>
        <w:t xml:space="preserve">Briscoe, N.J. </w:t>
      </w:r>
      <w:r>
        <w:rPr>
          <w:i/>
          <w:iCs/>
        </w:rPr>
        <w:t>et al.</w:t>
      </w:r>
      <w:r>
        <w:t xml:space="preserve"> (2022) </w:t>
      </w:r>
      <w:hyperlink r:id="rId36">
        <w:r>
          <w:rPr>
            <w:rStyle w:val="Hyperlink"/>
          </w:rPr>
          <w:t>Too hot to hunt: Mechanistic predictions of thermal refuge from cat predation risk</w:t>
        </w:r>
      </w:hyperlink>
      <w:r>
        <w:t xml:space="preserve">. </w:t>
      </w:r>
      <w:r>
        <w:rPr>
          <w:i/>
          <w:iCs/>
        </w:rPr>
        <w:t>Conserv. Lett.</w:t>
      </w:r>
      <w:r>
        <w:t xml:space="preserve"> 15</w:t>
      </w:r>
    </w:p>
    <w:p w14:paraId="54C77C20" w14:textId="77777777" w:rsidR="00542893" w:rsidRDefault="00000000">
      <w:pPr>
        <w:pStyle w:val="Bibliography"/>
      </w:pPr>
      <w:bookmarkStart w:id="60" w:name="ref-Duursma2019"/>
      <w:bookmarkEnd w:id="59"/>
      <w:r>
        <w:t xml:space="preserve">40. </w:t>
      </w:r>
      <w:r>
        <w:tab/>
        <w:t xml:space="preserve">Duursma, R.A. </w:t>
      </w:r>
      <w:r>
        <w:rPr>
          <w:i/>
          <w:iCs/>
        </w:rPr>
        <w:t>et al.</w:t>
      </w:r>
      <w:r>
        <w:t xml:space="preserve"> (2019) </w:t>
      </w:r>
      <w:hyperlink r:id="rId37">
        <w:r>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03F1C7DF" w14:textId="77777777" w:rsidR="00542893" w:rsidRDefault="00000000">
      <w:pPr>
        <w:pStyle w:val="Bibliography"/>
      </w:pPr>
      <w:bookmarkStart w:id="61" w:name="ref-Loughran2020"/>
      <w:bookmarkEnd w:id="60"/>
      <w:r>
        <w:lastRenderedPageBreak/>
        <w:t xml:space="preserve">41. </w:t>
      </w:r>
      <w:r>
        <w:tab/>
        <w:t xml:space="preserve">Loughran, C.L. and Wolf, B.O. (2020) </w:t>
      </w:r>
      <w:hyperlink r:id="rId38">
        <w:r>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6D8D6D3B" w14:textId="77777777" w:rsidR="00542893" w:rsidRDefault="00000000">
      <w:pPr>
        <w:pStyle w:val="Bibliography"/>
      </w:pPr>
      <w:bookmarkStart w:id="62" w:name="ref-Sharpe2022"/>
      <w:bookmarkEnd w:id="61"/>
      <w:r>
        <w:t xml:space="preserve">42. </w:t>
      </w:r>
      <w:r>
        <w:tab/>
        <w:t xml:space="preserve">Sharpe, L.L. </w:t>
      </w:r>
      <w:r>
        <w:rPr>
          <w:i/>
          <w:iCs/>
        </w:rPr>
        <w:t>et al.</w:t>
      </w:r>
      <w:r>
        <w:t xml:space="preserve"> (2022) </w:t>
      </w:r>
      <w:hyperlink r:id="rId39">
        <w:r>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65A46B9D" w14:textId="77777777" w:rsidR="00542893" w:rsidRDefault="00000000">
      <w:pPr>
        <w:pStyle w:val="Bibliography"/>
      </w:pPr>
      <w:bookmarkStart w:id="63" w:name="ref-Posch2024"/>
      <w:bookmarkEnd w:id="62"/>
      <w:r>
        <w:t xml:space="preserve">43. </w:t>
      </w:r>
      <w:r>
        <w:tab/>
        <w:t xml:space="preserve">Posch, B.C. </w:t>
      </w:r>
      <w:r>
        <w:rPr>
          <w:i/>
          <w:iCs/>
        </w:rPr>
        <w:t>et al.</w:t>
      </w:r>
      <w:r>
        <w:t xml:space="preserve"> (2024) </w:t>
      </w:r>
      <w:hyperlink r:id="rId40">
        <w:r>
          <w:rPr>
            <w:rStyle w:val="Hyperlink"/>
          </w:rPr>
          <w:t>Intensive leaf cooling promotes tree survival during a record heatwave</w:t>
        </w:r>
      </w:hyperlink>
      <w:r>
        <w:t xml:space="preserve">. </w:t>
      </w:r>
      <w:r>
        <w:rPr>
          <w:i/>
          <w:iCs/>
        </w:rPr>
        <w:t>Proc. Natl. Acad. Sci. U. S. A.</w:t>
      </w:r>
      <w:r>
        <w:t xml:space="preserve"> 121, e2408583121</w:t>
      </w:r>
    </w:p>
    <w:p w14:paraId="6FC1578D" w14:textId="77777777" w:rsidR="00542893" w:rsidRDefault="00000000">
      <w:pPr>
        <w:pStyle w:val="Bibliography"/>
      </w:pPr>
      <w:bookmarkStart w:id="64" w:name="ref-Orsted2022"/>
      <w:bookmarkEnd w:id="63"/>
      <w:r>
        <w:t xml:space="preserve">44.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7489D2E" w14:textId="77777777" w:rsidR="00542893" w:rsidRDefault="00000000">
      <w:pPr>
        <w:pStyle w:val="Bibliography"/>
      </w:pPr>
      <w:bookmarkStart w:id="65" w:name="ref-Jagadish2021"/>
      <w:bookmarkEnd w:id="64"/>
      <w:r>
        <w:t xml:space="preserve">45. </w:t>
      </w:r>
      <w:r>
        <w:tab/>
        <w:t xml:space="preserve">Jagadish, S.V.K. </w:t>
      </w:r>
      <w:r>
        <w:rPr>
          <w:i/>
          <w:iCs/>
        </w:rPr>
        <w:t>et al.</w:t>
      </w:r>
      <w:r>
        <w:t xml:space="preserve"> (2021) </w:t>
      </w:r>
      <w:hyperlink r:id="rId41">
        <w:r>
          <w:rPr>
            <w:rStyle w:val="Hyperlink"/>
          </w:rPr>
          <w:t>Plant heat stress: Concepts directing future research</w:t>
        </w:r>
      </w:hyperlink>
      <w:r>
        <w:t xml:space="preserve">. </w:t>
      </w:r>
      <w:r>
        <w:rPr>
          <w:i/>
          <w:iCs/>
        </w:rPr>
        <w:t>Plant Cell Environ.</w:t>
      </w:r>
      <w:r>
        <w:t xml:space="preserve"> 44, 1992–2005</w:t>
      </w:r>
    </w:p>
    <w:p w14:paraId="67C2C932" w14:textId="77777777" w:rsidR="00542893" w:rsidRDefault="00000000">
      <w:pPr>
        <w:pStyle w:val="Bibliography"/>
      </w:pPr>
      <w:bookmarkStart w:id="66" w:name="ref-Faber2024"/>
      <w:bookmarkEnd w:id="65"/>
      <w:r>
        <w:t xml:space="preserve">46. </w:t>
      </w:r>
      <w:r>
        <w:tab/>
        <w:t xml:space="preserve">Faber, A.H. </w:t>
      </w:r>
      <w:r>
        <w:rPr>
          <w:i/>
          <w:iCs/>
        </w:rPr>
        <w:t>et al.</w:t>
      </w:r>
      <w:r>
        <w:t xml:space="preserve"> (2024) </w:t>
      </w:r>
      <w:hyperlink r:id="rId42">
        <w:r>
          <w:rPr>
            <w:rStyle w:val="Hyperlink"/>
          </w:rPr>
          <w:t>Application of the thermal death time model in predicting thermal damage accumulation in plants</w:t>
        </w:r>
      </w:hyperlink>
      <w:r>
        <w:t xml:space="preserve">. </w:t>
      </w:r>
      <w:r>
        <w:rPr>
          <w:i/>
          <w:iCs/>
        </w:rPr>
        <w:t>J. Exp. Bot.</w:t>
      </w:r>
      <w:r>
        <w:t xml:space="preserve"> 75, 3467–3482</w:t>
      </w:r>
    </w:p>
    <w:p w14:paraId="36AD7B0D" w14:textId="77777777" w:rsidR="00542893" w:rsidRDefault="00000000">
      <w:pPr>
        <w:pStyle w:val="Bibliography"/>
      </w:pPr>
      <w:bookmarkStart w:id="67" w:name="ref-Martinez-De_Leon2024"/>
      <w:bookmarkEnd w:id="66"/>
      <w:r>
        <w:t xml:space="preserve">47. </w:t>
      </w:r>
      <w:r>
        <w:tab/>
        <w:t xml:space="preserve">Martínez-De León, G. and Thakur, M.P. (2024) Ecological debts induced by heat extremes. </w:t>
      </w:r>
      <w:r>
        <w:rPr>
          <w:i/>
          <w:iCs/>
        </w:rPr>
        <w:t>Trends Ecol. Evol.</w:t>
      </w:r>
    </w:p>
    <w:p w14:paraId="38566D2D" w14:textId="77777777" w:rsidR="00542893" w:rsidRDefault="00000000">
      <w:pPr>
        <w:pStyle w:val="Bibliography"/>
      </w:pPr>
      <w:bookmarkStart w:id="68" w:name="ref-Marchin2022"/>
      <w:bookmarkEnd w:id="67"/>
      <w:r>
        <w:t xml:space="preserve">48. </w:t>
      </w:r>
      <w:r>
        <w:tab/>
        <w:t xml:space="preserve">Marchin, R.M. </w:t>
      </w:r>
      <w:r>
        <w:rPr>
          <w:i/>
          <w:iCs/>
        </w:rPr>
        <w:t>et al.</w:t>
      </w:r>
      <w:r>
        <w:t xml:space="preserve"> (2022) </w:t>
      </w:r>
      <w:hyperlink r:id="rId43">
        <w:r>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66A72DD0" w14:textId="77777777" w:rsidR="00542893" w:rsidRDefault="00000000">
      <w:pPr>
        <w:pStyle w:val="Bibliography"/>
      </w:pPr>
      <w:bookmarkStart w:id="69" w:name="ref-Youngblood2025"/>
      <w:bookmarkEnd w:id="68"/>
      <w:r>
        <w:t xml:space="preserve">49.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4">
        <w:r>
          <w:rPr>
            <w:rStyle w:val="Hyperlink"/>
          </w:rPr>
          <w:t>10.1111/1365-2435.70038</w:t>
        </w:r>
      </w:hyperlink>
    </w:p>
    <w:p w14:paraId="369575EE" w14:textId="77777777" w:rsidR="00542893" w:rsidRDefault="00000000">
      <w:pPr>
        <w:pStyle w:val="Bibliography"/>
      </w:pPr>
      <w:bookmarkStart w:id="70" w:name="ref-Mengutay2013"/>
      <w:bookmarkEnd w:id="69"/>
      <w:r>
        <w:t xml:space="preserve">50. </w:t>
      </w:r>
      <w:r>
        <w:tab/>
        <w:t xml:space="preserve">Mengutay, M. </w:t>
      </w:r>
      <w:r>
        <w:rPr>
          <w:i/>
          <w:iCs/>
        </w:rPr>
        <w:t>et al.</w:t>
      </w:r>
      <w:r>
        <w:t xml:space="preserve"> (2013) </w:t>
      </w:r>
      <w:hyperlink r:id="rId45">
        <w:r>
          <w:rPr>
            <w:rStyle w:val="Hyperlink"/>
          </w:rPr>
          <w:t>Adequate magnesium nutrition mitigates adverse effects of heat stress on maize and wheat</w:t>
        </w:r>
      </w:hyperlink>
      <w:r>
        <w:t xml:space="preserve">. </w:t>
      </w:r>
      <w:r>
        <w:rPr>
          <w:i/>
          <w:iCs/>
        </w:rPr>
        <w:t>Plant Soil</w:t>
      </w:r>
      <w:r>
        <w:t xml:space="preserve"> 368, 57–72</w:t>
      </w:r>
    </w:p>
    <w:p w14:paraId="1ED9FE7C" w14:textId="77777777" w:rsidR="00542893" w:rsidRDefault="00000000">
      <w:pPr>
        <w:pStyle w:val="Bibliography"/>
      </w:pPr>
      <w:bookmarkStart w:id="71" w:name="ref-Andersen2010"/>
      <w:bookmarkEnd w:id="70"/>
      <w:r>
        <w:t xml:space="preserve">51. </w:t>
      </w:r>
      <w:r>
        <w:tab/>
        <w:t xml:space="preserve">Andersen, L.H. </w:t>
      </w:r>
      <w:r>
        <w:rPr>
          <w:i/>
          <w:iCs/>
        </w:rPr>
        <w:t>et al.</w:t>
      </w:r>
      <w:r>
        <w:t xml:space="preserve"> (2010) </w:t>
      </w:r>
      <w:hyperlink r:id="rId46">
        <w:r>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2C04986A" w14:textId="77777777" w:rsidR="00542893" w:rsidRDefault="00000000">
      <w:pPr>
        <w:pStyle w:val="Bibliography"/>
      </w:pPr>
      <w:bookmarkStart w:id="72" w:name="ref-Chouhan2023"/>
      <w:bookmarkEnd w:id="71"/>
      <w:r>
        <w:t xml:space="preserve">52. </w:t>
      </w:r>
      <w:r>
        <w:tab/>
        <w:t xml:space="preserve">Chouhan, D. </w:t>
      </w:r>
      <w:r>
        <w:rPr>
          <w:i/>
          <w:iCs/>
        </w:rPr>
        <w:t>et al.</w:t>
      </w:r>
      <w:r>
        <w:t xml:space="preserve"> (2023) </w:t>
      </w:r>
      <w:hyperlink r:id="rId47">
        <w:r>
          <w:rPr>
            <w:rStyle w:val="Hyperlink"/>
          </w:rPr>
          <w:t>Plant-microbe interaction and their role in mitigation of heat stress</w:t>
        </w:r>
      </w:hyperlink>
      <w:r>
        <w:t xml:space="preserve">. In </w:t>
      </w:r>
      <w:r>
        <w:rPr>
          <w:i/>
          <w:iCs/>
        </w:rPr>
        <w:t>Rhizosphere biology</w:t>
      </w:r>
      <w:r>
        <w:t>, pp. 127–147, Springer Nature Singapore</w:t>
      </w:r>
    </w:p>
    <w:p w14:paraId="4757EB48" w14:textId="77777777" w:rsidR="00542893" w:rsidRDefault="00000000">
      <w:pPr>
        <w:pStyle w:val="Bibliography"/>
      </w:pPr>
      <w:bookmarkStart w:id="73" w:name="ref-Marquez2007"/>
      <w:bookmarkEnd w:id="72"/>
      <w:r>
        <w:t xml:space="preserve">53.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2E9FBA8" w14:textId="77777777" w:rsidR="00542893" w:rsidRDefault="00000000">
      <w:pPr>
        <w:pStyle w:val="Bibliography"/>
      </w:pPr>
      <w:bookmarkStart w:id="74" w:name="ref-Hoang2019"/>
      <w:bookmarkEnd w:id="73"/>
      <w:r>
        <w:t xml:space="preserve">54. </w:t>
      </w:r>
      <w:r>
        <w:tab/>
        <w:t xml:space="preserve">Hoang, K.L. </w:t>
      </w:r>
      <w:r>
        <w:rPr>
          <w:i/>
          <w:iCs/>
        </w:rPr>
        <w:t>et al.</w:t>
      </w:r>
      <w:r>
        <w:t xml:space="preserve"> (2019) </w:t>
      </w:r>
      <w:hyperlink r:id="rId48">
        <w:r>
          <w:rPr>
            <w:rStyle w:val="Hyperlink"/>
          </w:rPr>
          <w:t>The effects of bacillus subtilis on caenorhabditis elegans fitness after heat stress</w:t>
        </w:r>
      </w:hyperlink>
      <w:r>
        <w:t xml:space="preserve">. </w:t>
      </w:r>
      <w:r>
        <w:rPr>
          <w:i/>
          <w:iCs/>
        </w:rPr>
        <w:t>Ecol. Evol.</w:t>
      </w:r>
      <w:r>
        <w:t xml:space="preserve"> 9, 3491–3499</w:t>
      </w:r>
    </w:p>
    <w:p w14:paraId="35680EFC" w14:textId="77777777" w:rsidR="00542893" w:rsidRDefault="00000000">
      <w:pPr>
        <w:pStyle w:val="Bibliography"/>
      </w:pPr>
      <w:bookmarkStart w:id="75" w:name="ref-Kearney2020a"/>
      <w:bookmarkEnd w:id="74"/>
      <w:r>
        <w:t xml:space="preserve">55. </w:t>
      </w:r>
      <w:r>
        <w:tab/>
        <w:t xml:space="preserve">Kearney, M.R. and Porter, W.P. (2020) </w:t>
      </w:r>
      <w:hyperlink r:id="rId49">
        <w:r>
          <w:rPr>
            <w:rStyle w:val="Hyperlink"/>
          </w:rPr>
          <w:t>NicheMapR – an R package for biophysical modelling: The ectotherm and dynamic energy budget models</w:t>
        </w:r>
      </w:hyperlink>
      <w:r>
        <w:t xml:space="preserve">. </w:t>
      </w:r>
      <w:r>
        <w:rPr>
          <w:i/>
          <w:iCs/>
        </w:rPr>
        <w:t>Ecography (Cop.)</w:t>
      </w:r>
      <w:r>
        <w:t xml:space="preserve"> 43, 85–96</w:t>
      </w:r>
    </w:p>
    <w:p w14:paraId="7413A0CD" w14:textId="77777777" w:rsidR="00542893" w:rsidRDefault="00000000">
      <w:pPr>
        <w:pStyle w:val="Bibliography"/>
      </w:pPr>
      <w:bookmarkStart w:id="76" w:name="ref-Nisbet2000"/>
      <w:bookmarkEnd w:id="75"/>
      <w:r>
        <w:t xml:space="preserve">56. </w:t>
      </w:r>
      <w:r>
        <w:tab/>
        <w:t xml:space="preserve">Nisbet, R. </w:t>
      </w:r>
      <w:r>
        <w:rPr>
          <w:i/>
          <w:iCs/>
        </w:rPr>
        <w:t>et al.</w:t>
      </w:r>
      <w:r>
        <w:t xml:space="preserve"> (2000) </w:t>
      </w:r>
      <w:hyperlink r:id="rId50">
        <w:r>
          <w:rPr>
            <w:rStyle w:val="Hyperlink"/>
          </w:rPr>
          <w:t>From molecules to ecosystems through dynamic energy budget models</w:t>
        </w:r>
      </w:hyperlink>
      <w:r>
        <w:t xml:space="preserve">. </w:t>
      </w:r>
      <w:r>
        <w:rPr>
          <w:i/>
          <w:iCs/>
        </w:rPr>
        <w:t>Journal of Animal Ecology</w:t>
      </w:r>
      <w:r>
        <w:t xml:space="preserve"> 69, 913–926</w:t>
      </w:r>
    </w:p>
    <w:p w14:paraId="300CCEB6" w14:textId="77777777" w:rsidR="00542893" w:rsidRDefault="00000000">
      <w:pPr>
        <w:pStyle w:val="Bibliography"/>
      </w:pPr>
      <w:bookmarkStart w:id="77" w:name="ref-Jager2020"/>
      <w:bookmarkEnd w:id="76"/>
      <w:r>
        <w:t xml:space="preserve">57. </w:t>
      </w:r>
      <w:r>
        <w:tab/>
        <w:t xml:space="preserve">Jager, T. (2020) </w:t>
      </w:r>
      <w:hyperlink r:id="rId51">
        <w:r>
          <w:rPr>
            <w:rStyle w:val="Hyperlink"/>
          </w:rPr>
          <w:t>Revisiting simplified DEBtox models for analysing ecotoxicity data</w:t>
        </w:r>
      </w:hyperlink>
      <w:r>
        <w:t xml:space="preserve">. </w:t>
      </w:r>
      <w:r>
        <w:rPr>
          <w:i/>
          <w:iCs/>
        </w:rPr>
        <w:t>Ecol. Modell.</w:t>
      </w:r>
      <w:r>
        <w:t xml:space="preserve"> 416, 108904</w:t>
      </w:r>
    </w:p>
    <w:p w14:paraId="7662E7B8" w14:textId="77777777" w:rsidR="00542893" w:rsidRDefault="00000000">
      <w:pPr>
        <w:pStyle w:val="Bibliography"/>
      </w:pPr>
      <w:bookmarkStart w:id="78" w:name="ref-Kearney2013"/>
      <w:bookmarkEnd w:id="77"/>
      <w:r>
        <w:t xml:space="preserve">58.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B60623F" w14:textId="77777777" w:rsidR="00542893" w:rsidRDefault="00000000">
      <w:pPr>
        <w:pStyle w:val="Bibliography"/>
      </w:pPr>
      <w:bookmarkStart w:id="79" w:name="ref-Kearney2010"/>
      <w:bookmarkEnd w:id="78"/>
      <w:r>
        <w:t xml:space="preserve">59. </w:t>
      </w:r>
      <w:r>
        <w:tab/>
        <w:t xml:space="preserve">Kearney, M. </w:t>
      </w:r>
      <w:r>
        <w:rPr>
          <w:i/>
          <w:iCs/>
        </w:rPr>
        <w:t>et al.</w:t>
      </w:r>
      <w:r>
        <w:t xml:space="preserve"> (2010) </w:t>
      </w:r>
      <w:hyperlink r:id="rId52">
        <w:r>
          <w:rPr>
            <w:rStyle w:val="Hyperlink"/>
          </w:rPr>
          <w:t>Modelling the ecological niche from functional traits</w:t>
        </w:r>
      </w:hyperlink>
      <w:r>
        <w:t xml:space="preserve">. </w:t>
      </w:r>
      <w:r>
        <w:rPr>
          <w:i/>
          <w:iCs/>
        </w:rPr>
        <w:t>Philos. Trans. R. Soc. Lond. B Biol. Sci.</w:t>
      </w:r>
      <w:r>
        <w:t xml:space="preserve"> 365, 3469–3483</w:t>
      </w:r>
    </w:p>
    <w:p w14:paraId="4BA5F403" w14:textId="77777777" w:rsidR="00542893" w:rsidRDefault="00000000">
      <w:pPr>
        <w:pStyle w:val="Bibliography"/>
      </w:pPr>
      <w:bookmarkStart w:id="80" w:name="ref-Marques2018"/>
      <w:bookmarkEnd w:id="79"/>
      <w:r>
        <w:lastRenderedPageBreak/>
        <w:t xml:space="preserve">60. </w:t>
      </w:r>
      <w:r>
        <w:tab/>
        <w:t xml:space="preserve">Marques, G.M. </w:t>
      </w:r>
      <w:r>
        <w:rPr>
          <w:i/>
          <w:iCs/>
        </w:rPr>
        <w:t>et al.</w:t>
      </w:r>
      <w:r>
        <w:t xml:space="preserve"> (2018) </w:t>
      </w:r>
      <w:hyperlink r:id="rId53">
        <w:r>
          <w:rPr>
            <w:rStyle w:val="Hyperlink"/>
          </w:rPr>
          <w:t>The AmP project: Comparing species on the basis of dynamic energy budget parameters</w:t>
        </w:r>
      </w:hyperlink>
      <w:r>
        <w:t xml:space="preserve">. </w:t>
      </w:r>
      <w:r>
        <w:rPr>
          <w:i/>
          <w:iCs/>
        </w:rPr>
        <w:t>PLoS Comput. Biol.</w:t>
      </w:r>
      <w:r>
        <w:t xml:space="preserve"> 14, e1006100</w:t>
      </w:r>
    </w:p>
    <w:p w14:paraId="388EEADC" w14:textId="77777777" w:rsidR="00542893" w:rsidRDefault="00000000">
      <w:pPr>
        <w:pStyle w:val="Bibliography"/>
      </w:pPr>
      <w:bookmarkStart w:id="81" w:name="ref-Kooijman2021"/>
      <w:bookmarkEnd w:id="80"/>
      <w:r>
        <w:t xml:space="preserve">61. </w:t>
      </w:r>
      <w:r>
        <w:tab/>
        <w:t xml:space="preserve">Kooijman, S.A.L.M. </w:t>
      </w:r>
      <w:r>
        <w:rPr>
          <w:i/>
          <w:iCs/>
        </w:rPr>
        <w:t>et al.</w:t>
      </w:r>
      <w:r>
        <w:t xml:space="preserve"> (2021) </w:t>
      </w:r>
      <w:hyperlink r:id="rId54">
        <w:r>
          <w:rPr>
            <w:rStyle w:val="Hyperlink"/>
          </w:rPr>
          <w:t>Multidimensional scaling for animal traits in the context of dynamic energy budget theory</w:t>
        </w:r>
      </w:hyperlink>
      <w:r>
        <w:t xml:space="preserve">. </w:t>
      </w:r>
      <w:r>
        <w:rPr>
          <w:i/>
          <w:iCs/>
        </w:rPr>
        <w:t>Conserv. Physiol.</w:t>
      </w:r>
      <w:r>
        <w:t xml:space="preserve"> 9, coab086</w:t>
      </w:r>
    </w:p>
    <w:p w14:paraId="5DD4D69B" w14:textId="77777777" w:rsidR="00542893" w:rsidRDefault="00000000">
      <w:pPr>
        <w:pStyle w:val="Bibliography"/>
      </w:pPr>
      <w:bookmarkStart w:id="82" w:name="ref-Bruggeman2009"/>
      <w:bookmarkEnd w:id="81"/>
      <w:r>
        <w:t xml:space="preserve">62. </w:t>
      </w:r>
      <w:r>
        <w:tab/>
        <w:t xml:space="preserve">Bruggeman, J. </w:t>
      </w:r>
      <w:r>
        <w:rPr>
          <w:i/>
          <w:iCs/>
        </w:rPr>
        <w:t>et al.</w:t>
      </w:r>
      <w:r>
        <w:t xml:space="preserve"> (2009) </w:t>
      </w:r>
      <w:hyperlink r:id="rId55">
        <w:r>
          <w:rPr>
            <w:rStyle w:val="Hyperlink"/>
          </w:rPr>
          <w:t>PhyloPars: Estimation of missing parameter values using phylogeny</w:t>
        </w:r>
      </w:hyperlink>
      <w:r>
        <w:t xml:space="preserve">. </w:t>
      </w:r>
      <w:r>
        <w:rPr>
          <w:i/>
          <w:iCs/>
        </w:rPr>
        <w:t>Nucleic Acids Research</w:t>
      </w:r>
      <w:r>
        <w:t xml:space="preserve"> 37, W179–W184</w:t>
      </w:r>
    </w:p>
    <w:p w14:paraId="4939EC99" w14:textId="77777777" w:rsidR="00542893" w:rsidRDefault="00000000">
      <w:pPr>
        <w:pStyle w:val="Bibliography"/>
      </w:pPr>
      <w:bookmarkStart w:id="83" w:name="ref-Bonan2019"/>
      <w:bookmarkEnd w:id="82"/>
      <w:r>
        <w:t xml:space="preserve">63. </w:t>
      </w:r>
      <w:r>
        <w:tab/>
        <w:t xml:space="preserve">Bonan, G. (2019) </w:t>
      </w:r>
      <w:r>
        <w:rPr>
          <w:i/>
          <w:iCs/>
        </w:rPr>
        <w:t>Climate change and terrestrial ecosystem modeling</w:t>
      </w:r>
      <w:r>
        <w:t>, Cambridge University Press</w:t>
      </w:r>
    </w:p>
    <w:p w14:paraId="4E367FD3" w14:textId="77777777" w:rsidR="00542893" w:rsidRDefault="00000000">
      <w:pPr>
        <w:pStyle w:val="Bibliography"/>
      </w:pPr>
      <w:bookmarkStart w:id="84" w:name="ref-Kumarathunge2019"/>
      <w:bookmarkEnd w:id="83"/>
      <w:r>
        <w:t xml:space="preserve">64. </w:t>
      </w:r>
      <w:r>
        <w:tab/>
        <w:t xml:space="preserve">Kumarathunge, D.P. </w:t>
      </w:r>
      <w:r>
        <w:rPr>
          <w:i/>
          <w:iCs/>
        </w:rPr>
        <w:t>et al.</w:t>
      </w:r>
      <w:r>
        <w:t xml:space="preserve"> (2019) </w:t>
      </w:r>
      <w:hyperlink r:id="rId56">
        <w:r>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1BD29E1E" w14:textId="77777777" w:rsidR="00542893" w:rsidRDefault="00000000">
      <w:pPr>
        <w:pStyle w:val="Bibliography"/>
      </w:pPr>
      <w:bookmarkStart w:id="85" w:name="ref-De_Kauwe2020"/>
      <w:bookmarkEnd w:id="84"/>
      <w:r>
        <w:t xml:space="preserve">65. </w:t>
      </w:r>
      <w:r>
        <w:tab/>
        <w:t xml:space="preserve">De Kauwe, M.G. </w:t>
      </w:r>
      <w:r>
        <w:rPr>
          <w:i/>
          <w:iCs/>
        </w:rPr>
        <w:t>et al.</w:t>
      </w:r>
      <w:r>
        <w:t xml:space="preserve"> (2020) </w:t>
      </w:r>
      <w:hyperlink r:id="rId57">
        <w:r>
          <w:rPr>
            <w:rStyle w:val="Hyperlink"/>
          </w:rPr>
          <w:t>Identifying areas at risk of drought-induced tree mortality across south-eastern australia</w:t>
        </w:r>
      </w:hyperlink>
      <w:r>
        <w:t xml:space="preserve">. </w:t>
      </w:r>
      <w:r>
        <w:rPr>
          <w:i/>
          <w:iCs/>
        </w:rPr>
        <w:t>Glob. Chang. Biol.</w:t>
      </w:r>
      <w:r>
        <w:t xml:space="preserve"> 26, 5716–5733</w:t>
      </w:r>
    </w:p>
    <w:p w14:paraId="7A089DEA" w14:textId="77777777" w:rsidR="00542893" w:rsidRDefault="00000000">
      <w:pPr>
        <w:pStyle w:val="Bibliography"/>
      </w:pPr>
      <w:bookmarkStart w:id="86" w:name="ref-Chesson2000"/>
      <w:bookmarkEnd w:id="85"/>
      <w:r>
        <w:t xml:space="preserve">66. </w:t>
      </w:r>
      <w:r>
        <w:tab/>
        <w:t xml:space="preserve">Chesson, P. (2000) </w:t>
      </w:r>
      <w:hyperlink r:id="rId58">
        <w:r>
          <w:rPr>
            <w:rStyle w:val="Hyperlink"/>
          </w:rPr>
          <w:t>General theory of competitive coexistence in spatially-varying environments</w:t>
        </w:r>
      </w:hyperlink>
      <w:r>
        <w:t xml:space="preserve">. </w:t>
      </w:r>
      <w:r>
        <w:rPr>
          <w:i/>
          <w:iCs/>
        </w:rPr>
        <w:t>Theor. Popul. Biol.</w:t>
      </w:r>
      <w:r>
        <w:t xml:space="preserve"> 58, 211–237</w:t>
      </w:r>
    </w:p>
    <w:p w14:paraId="379F22FA" w14:textId="77777777" w:rsidR="00542893" w:rsidRDefault="00000000">
      <w:pPr>
        <w:pStyle w:val="Bibliography"/>
      </w:pPr>
      <w:bookmarkStart w:id="87" w:name="ref-Ricker1954a"/>
      <w:bookmarkEnd w:id="86"/>
      <w:r>
        <w:t xml:space="preserve">67. </w:t>
      </w:r>
      <w:r>
        <w:tab/>
        <w:t xml:space="preserve">Ricker, W.E. (1954) </w:t>
      </w:r>
      <w:hyperlink r:id="rId59">
        <w:r>
          <w:rPr>
            <w:rStyle w:val="Hyperlink"/>
          </w:rPr>
          <w:t>Stock and recruitment</w:t>
        </w:r>
      </w:hyperlink>
      <w:r>
        <w:t xml:space="preserve">. </w:t>
      </w:r>
      <w:r>
        <w:rPr>
          <w:i/>
          <w:iCs/>
        </w:rPr>
        <w:t>J. Fish. Res. Board Can.</w:t>
      </w:r>
      <w:r>
        <w:t xml:space="preserve"> 11, 559–623</w:t>
      </w:r>
    </w:p>
    <w:p w14:paraId="6F0DAC28" w14:textId="77777777" w:rsidR="00542893" w:rsidRDefault="00000000">
      <w:pPr>
        <w:pStyle w:val="Bibliography"/>
      </w:pPr>
      <w:bookmarkStart w:id="88" w:name="ref-Beverton2012"/>
      <w:bookmarkEnd w:id="87"/>
      <w:r>
        <w:t xml:space="preserve">68. </w:t>
      </w:r>
      <w:r>
        <w:tab/>
        <w:t xml:space="preserve">Beverton, R.J.H. and Holt, S. (2012) </w:t>
      </w:r>
      <w:hyperlink r:id="rId60">
        <w:r>
          <w:rPr>
            <w:rStyle w:val="Hyperlink"/>
            <w:i/>
            <w:iCs/>
          </w:rPr>
          <w:t>On the dynamics of exploited fish populations</w:t>
        </w:r>
      </w:hyperlink>
      <w:r>
        <w:t>, Springer</w:t>
      </w:r>
    </w:p>
    <w:p w14:paraId="7A92647A" w14:textId="77777777" w:rsidR="00542893" w:rsidRDefault="00000000">
      <w:pPr>
        <w:pStyle w:val="Bibliography"/>
      </w:pPr>
      <w:bookmarkStart w:id="89" w:name="ref-Mayfield2017"/>
      <w:bookmarkEnd w:id="88"/>
      <w:r>
        <w:t xml:space="preserve">69. </w:t>
      </w:r>
      <w:r>
        <w:tab/>
        <w:t xml:space="preserve">Mayfield, M. and Stouffer, D.B. (2017) </w:t>
      </w:r>
      <w:hyperlink r:id="rId61">
        <w:r>
          <w:rPr>
            <w:rStyle w:val="Hyperlink"/>
          </w:rPr>
          <w:t>Higher-order interactions capture unexplained complexity in diverse communities</w:t>
        </w:r>
      </w:hyperlink>
      <w:r>
        <w:t xml:space="preserve">. </w:t>
      </w:r>
      <w:r>
        <w:rPr>
          <w:i/>
          <w:iCs/>
        </w:rPr>
        <w:t>Nature Ecology &amp;Evolution</w:t>
      </w:r>
      <w:r>
        <w:t xml:space="preserve"> 1, 0062</w:t>
      </w:r>
    </w:p>
    <w:p w14:paraId="5D259661" w14:textId="77777777" w:rsidR="00542893" w:rsidRDefault="00000000">
      <w:pPr>
        <w:pStyle w:val="Bibliography"/>
      </w:pPr>
      <w:bookmarkStart w:id="90" w:name="ref-Buche2025"/>
      <w:bookmarkEnd w:id="89"/>
      <w:r>
        <w:t xml:space="preserve">70. </w:t>
      </w:r>
      <w:r>
        <w:tab/>
        <w:t xml:space="preserve">Buche, L. </w:t>
      </w:r>
      <w:r>
        <w:rPr>
          <w:i/>
          <w:iCs/>
        </w:rPr>
        <w:t>et al.</w:t>
      </w:r>
      <w:r>
        <w:t xml:space="preserve"> (2025) </w:t>
      </w:r>
      <w:hyperlink r:id="rId62">
        <w:r>
          <w:rPr>
            <w:rStyle w:val="Hyperlink"/>
          </w:rPr>
          <w:t>A continuum from positive to negative interactions drives plant species’ performance in a diverse community</w:t>
        </w:r>
      </w:hyperlink>
      <w:r>
        <w:t xml:space="preserve">. </w:t>
      </w:r>
      <w:r>
        <w:rPr>
          <w:i/>
          <w:iCs/>
        </w:rPr>
        <w:t>Ecol. Lett.</w:t>
      </w:r>
      <w:r>
        <w:t xml:space="preserve"> 28, e70059</w:t>
      </w:r>
    </w:p>
    <w:p w14:paraId="0606DD09" w14:textId="77777777" w:rsidR="00542893" w:rsidRDefault="00000000">
      <w:pPr>
        <w:pStyle w:val="Bibliography"/>
      </w:pPr>
      <w:bookmarkStart w:id="91" w:name="ref-Bimler2024"/>
      <w:bookmarkEnd w:id="90"/>
      <w:r>
        <w:t xml:space="preserve">71. </w:t>
      </w:r>
      <w:r>
        <w:tab/>
        <w:t xml:space="preserve">Bimler, M.D. </w:t>
      </w:r>
      <w:r>
        <w:rPr>
          <w:i/>
          <w:iCs/>
        </w:rPr>
        <w:t>et al.</w:t>
      </w:r>
      <w:r>
        <w:t xml:space="preserve"> (2024) </w:t>
      </w:r>
      <w:hyperlink r:id="rId63">
        <w:r>
          <w:rPr>
            <w:rStyle w:val="Hyperlink"/>
          </w:rPr>
          <w:t>Plant interaction networks reveal the limits of our understanding of diversity maintenance</w:t>
        </w:r>
      </w:hyperlink>
      <w:r>
        <w:t xml:space="preserve">. </w:t>
      </w:r>
      <w:r>
        <w:rPr>
          <w:i/>
          <w:iCs/>
        </w:rPr>
        <w:t>Ecol. Lett.</w:t>
      </w:r>
      <w:r>
        <w:t xml:space="preserve"> 27, e14376</w:t>
      </w:r>
    </w:p>
    <w:p w14:paraId="505A54EC" w14:textId="77777777" w:rsidR="00542893" w:rsidRDefault="00000000">
      <w:pPr>
        <w:pStyle w:val="Bibliography"/>
      </w:pPr>
      <w:bookmarkStart w:id="92" w:name="ref-Martyn2021"/>
      <w:bookmarkEnd w:id="91"/>
      <w:r>
        <w:t xml:space="preserve">72. </w:t>
      </w:r>
      <w:r>
        <w:tab/>
        <w:t xml:space="preserve">Martyn, T.E. </w:t>
      </w:r>
      <w:r>
        <w:rPr>
          <w:i/>
          <w:iCs/>
        </w:rPr>
        <w:t>et al.</w:t>
      </w:r>
      <w:r>
        <w:t xml:space="preserve"> (2021) </w:t>
      </w:r>
      <w:hyperlink r:id="rId64">
        <w:r>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3478B37B" w14:textId="77777777" w:rsidR="00542893" w:rsidRDefault="00000000">
      <w:pPr>
        <w:pStyle w:val="Bibliography"/>
      </w:pPr>
      <w:bookmarkStart w:id="93" w:name="ref-Llandres2015"/>
      <w:bookmarkEnd w:id="92"/>
      <w:r>
        <w:t xml:space="preserve">73. </w:t>
      </w:r>
      <w:r>
        <w:tab/>
        <w:t xml:space="preserve">Llandres, A.L. </w:t>
      </w:r>
      <w:r>
        <w:rPr>
          <w:i/>
          <w:iCs/>
        </w:rPr>
        <w:t>et al.</w:t>
      </w:r>
      <w:r>
        <w:t xml:space="preserve"> (2015) </w:t>
      </w:r>
      <w:hyperlink r:id="rId65">
        <w:r>
          <w:rPr>
            <w:rStyle w:val="Hyperlink"/>
          </w:rPr>
          <w:t>A dynamic energy budget for the whole life-cycle of holometabolous insects</w:t>
        </w:r>
      </w:hyperlink>
      <w:r>
        <w:t xml:space="preserve">. </w:t>
      </w:r>
      <w:r>
        <w:rPr>
          <w:i/>
          <w:iCs/>
        </w:rPr>
        <w:t>Ecol. Monogr.</w:t>
      </w:r>
      <w:r>
        <w:t xml:space="preserve"> 85, 353–371</w:t>
      </w:r>
    </w:p>
    <w:p w14:paraId="158A560B" w14:textId="77777777" w:rsidR="00542893" w:rsidRDefault="00000000">
      <w:pPr>
        <w:pStyle w:val="Bibliography"/>
      </w:pPr>
      <w:bookmarkStart w:id="94" w:name="ref-Shekhawat2022"/>
      <w:bookmarkEnd w:id="93"/>
      <w:r>
        <w:t xml:space="preserve">74. </w:t>
      </w:r>
      <w:r>
        <w:tab/>
        <w:t xml:space="preserve">Shekhawat, K. </w:t>
      </w:r>
      <w:r>
        <w:rPr>
          <w:i/>
          <w:iCs/>
        </w:rPr>
        <w:t>et al.</w:t>
      </w:r>
      <w:r>
        <w:t xml:space="preserve"> (2022) </w:t>
      </w:r>
      <w:hyperlink r:id="rId66">
        <w:r>
          <w:rPr>
            <w:rStyle w:val="Hyperlink"/>
          </w:rPr>
          <w:t>Beat the heat: Plant- and microbe-mediated strategies for crop thermotolerance</w:t>
        </w:r>
      </w:hyperlink>
      <w:r>
        <w:t xml:space="preserve">. </w:t>
      </w:r>
      <w:r>
        <w:rPr>
          <w:i/>
          <w:iCs/>
        </w:rPr>
        <w:t>Trends Plant Sci.</w:t>
      </w:r>
      <w:r>
        <w:t xml:space="preserve"> 27, 802–813</w:t>
      </w:r>
    </w:p>
    <w:p w14:paraId="7713AE19" w14:textId="77777777" w:rsidR="00542893" w:rsidRDefault="00000000">
      <w:pPr>
        <w:pStyle w:val="Bibliography"/>
      </w:pPr>
      <w:bookmarkStart w:id="95" w:name="ref-Baeckens2025"/>
      <w:bookmarkEnd w:id="94"/>
      <w:r>
        <w:t xml:space="preserve">75. </w:t>
      </w:r>
      <w:r>
        <w:tab/>
        <w:t xml:space="preserve">Baeckens, S. and Donihue, C.M. (2025) Evolutionary consequences of extreme climate events. </w:t>
      </w:r>
      <w:r>
        <w:rPr>
          <w:i/>
          <w:iCs/>
        </w:rPr>
        <w:t>Current Biology</w:t>
      </w:r>
      <w:r>
        <w:t xml:space="preserve"> 35, R850–R864</w:t>
      </w:r>
    </w:p>
    <w:p w14:paraId="490AE792" w14:textId="77777777" w:rsidR="00542893" w:rsidRDefault="00000000">
      <w:pPr>
        <w:pStyle w:val="Bibliography"/>
      </w:pPr>
      <w:bookmarkStart w:id="96" w:name="ref-Urban2024"/>
      <w:bookmarkEnd w:id="95"/>
      <w:r>
        <w:t xml:space="preserve">76. </w:t>
      </w:r>
      <w:r>
        <w:tab/>
        <w:t xml:space="preserve">Urban, M.C. (2024) </w:t>
      </w:r>
      <w:hyperlink r:id="rId67">
        <w:r>
          <w:rPr>
            <w:rStyle w:val="Hyperlink"/>
          </w:rPr>
          <w:t>Climate change extinctions</w:t>
        </w:r>
      </w:hyperlink>
      <w:r>
        <w:t xml:space="preserve">. </w:t>
      </w:r>
      <w:r>
        <w:rPr>
          <w:i/>
          <w:iCs/>
        </w:rPr>
        <w:t>Science</w:t>
      </w:r>
      <w:r>
        <w:t xml:space="preserve"> 386, 1123–1128</w:t>
      </w:r>
    </w:p>
    <w:p w14:paraId="4262BADC" w14:textId="77777777" w:rsidR="00542893" w:rsidRDefault="00000000">
      <w:pPr>
        <w:pStyle w:val="Bibliography"/>
      </w:pPr>
      <w:bookmarkStart w:id="97" w:name="ref-Munoz-Sabater2021"/>
      <w:bookmarkEnd w:id="96"/>
      <w:r>
        <w:t xml:space="preserve">77.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0A75632" w14:textId="77777777" w:rsidR="00542893" w:rsidRDefault="00000000">
      <w:pPr>
        <w:pStyle w:val="Bibliography"/>
      </w:pPr>
      <w:bookmarkStart w:id="98" w:name="ref-Eyring2016"/>
      <w:bookmarkEnd w:id="97"/>
      <w:r>
        <w:t xml:space="preserve">78. </w:t>
      </w:r>
      <w:r>
        <w:tab/>
        <w:t xml:space="preserve">Eyring, V. </w:t>
      </w:r>
      <w:r>
        <w:rPr>
          <w:i/>
          <w:iCs/>
        </w:rPr>
        <w:t>et al.</w:t>
      </w:r>
      <w:r>
        <w:t xml:space="preserve"> (2016) </w:t>
      </w:r>
      <w:hyperlink r:id="rId68">
        <w:r>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0EA2B8EC" w14:textId="77777777" w:rsidR="00542893" w:rsidRDefault="00000000">
      <w:pPr>
        <w:pStyle w:val="Bibliography"/>
      </w:pPr>
      <w:bookmarkStart w:id="99" w:name="ref-Chevin2017"/>
      <w:bookmarkEnd w:id="98"/>
      <w:r>
        <w:t xml:space="preserve">79. </w:t>
      </w:r>
      <w:r>
        <w:tab/>
        <w:t xml:space="preserve">Chevin, L.-M. and Hoffmann, A.A. (2017) </w:t>
      </w:r>
      <w:hyperlink r:id="rId69">
        <w:r>
          <w:rPr>
            <w:rStyle w:val="Hyperlink"/>
          </w:rPr>
          <w:t>Evolution of phenotypic plasticity in extreme environments</w:t>
        </w:r>
      </w:hyperlink>
      <w:r>
        <w:t xml:space="preserve">. </w:t>
      </w:r>
      <w:r>
        <w:rPr>
          <w:i/>
          <w:iCs/>
        </w:rPr>
        <w:t>Philos. Trans. R. Soc. Lond. B Biol. Sci.</w:t>
      </w:r>
      <w:r>
        <w:t xml:space="preserve"> 372</w:t>
      </w:r>
    </w:p>
    <w:p w14:paraId="139CF9C6" w14:textId="77777777" w:rsidR="00542893" w:rsidRDefault="00000000">
      <w:pPr>
        <w:pStyle w:val="Bibliography"/>
      </w:pPr>
      <w:bookmarkStart w:id="100" w:name="ref-Hoffmann2022"/>
      <w:bookmarkEnd w:id="99"/>
      <w:r>
        <w:lastRenderedPageBreak/>
        <w:t xml:space="preserve">80. </w:t>
      </w:r>
      <w:r>
        <w:tab/>
        <w:t xml:space="preserve">Hoffmann, A.A. and Bridle, J. (2022) </w:t>
      </w:r>
      <w:hyperlink r:id="rId70">
        <w:r>
          <w:rPr>
            <w:rStyle w:val="Hyperlink"/>
          </w:rPr>
          <w:t>The dangers of irreversibility in an age of increased uncertainty: Revisiting plasticity in invertebrates</w:t>
        </w:r>
      </w:hyperlink>
      <w:r>
        <w:t xml:space="preserve">. </w:t>
      </w:r>
      <w:r>
        <w:rPr>
          <w:i/>
          <w:iCs/>
        </w:rPr>
        <w:t>Oikos</w:t>
      </w:r>
      <w:r>
        <w:t xml:space="preserve"> 2022</w:t>
      </w:r>
    </w:p>
    <w:p w14:paraId="0826D1B6" w14:textId="77777777" w:rsidR="00542893" w:rsidRDefault="00000000">
      <w:pPr>
        <w:pStyle w:val="Bibliography"/>
      </w:pPr>
      <w:bookmarkStart w:id="101" w:name="ref-Hoffmann2011"/>
      <w:bookmarkEnd w:id="100"/>
      <w:r>
        <w:t xml:space="preserve">81. </w:t>
      </w:r>
      <w:r>
        <w:tab/>
        <w:t>Hoffmann, A.A. and Sgrò, C.M. (2011) Climate change and evolutionary adaptation. 470, 479–485</w:t>
      </w:r>
    </w:p>
    <w:p w14:paraId="5447F01C" w14:textId="77777777" w:rsidR="00542893" w:rsidRDefault="00000000">
      <w:pPr>
        <w:pStyle w:val="Bibliography"/>
      </w:pPr>
      <w:bookmarkStart w:id="102" w:name="ref-Catullo2019"/>
      <w:bookmarkEnd w:id="101"/>
      <w:r>
        <w:t xml:space="preserve">82. </w:t>
      </w:r>
      <w:r>
        <w:tab/>
        <w:t xml:space="preserve">Catullo, R.A. </w:t>
      </w:r>
      <w:r>
        <w:rPr>
          <w:i/>
          <w:iCs/>
        </w:rPr>
        <w:t>et al.</w:t>
      </w:r>
      <w:r>
        <w:t xml:space="preserve"> (2019) The potential for rapid evolution under anthropogenic climate change. 29, R996–R1007</w:t>
      </w:r>
    </w:p>
    <w:p w14:paraId="66D33677" w14:textId="77777777" w:rsidR="00542893" w:rsidRDefault="00000000">
      <w:pPr>
        <w:pStyle w:val="Bibliography"/>
      </w:pPr>
      <w:bookmarkStart w:id="103" w:name="ref-Ghalambor2015"/>
      <w:bookmarkEnd w:id="102"/>
      <w:r>
        <w:t xml:space="preserve">83. </w:t>
      </w:r>
      <w:r>
        <w:tab/>
        <w:t xml:space="preserve">Ghalambor, C. </w:t>
      </w:r>
      <w:r>
        <w:rPr>
          <w:i/>
          <w:iCs/>
        </w:rPr>
        <w:t>et al.</w:t>
      </w:r>
      <w:r>
        <w:t xml:space="preserve"> (2015) </w:t>
      </w:r>
      <w:hyperlink r:id="rId71">
        <w:r>
          <w:rPr>
            <w:rStyle w:val="Hyperlink"/>
          </w:rPr>
          <w:t>Non-adaptive plasticity potentiates rapid adaptive evolution of gene expression in nature</w:t>
        </w:r>
      </w:hyperlink>
      <w:r>
        <w:t xml:space="preserve">. </w:t>
      </w:r>
      <w:r>
        <w:rPr>
          <w:i/>
          <w:iCs/>
        </w:rPr>
        <w:t>Nature</w:t>
      </w:r>
      <w:r>
        <w:t xml:space="preserve"> 525, 372–375</w:t>
      </w:r>
    </w:p>
    <w:p w14:paraId="4FDD5A55" w14:textId="77777777" w:rsidR="00542893" w:rsidRDefault="00000000">
      <w:pPr>
        <w:pStyle w:val="Bibliography"/>
      </w:pPr>
      <w:bookmarkStart w:id="104" w:name="ref-Sousa2010"/>
      <w:bookmarkEnd w:id="103"/>
      <w:r>
        <w:t xml:space="preserve">84. </w:t>
      </w:r>
      <w:r>
        <w:tab/>
        <w:t xml:space="preserve">Sousa, T. </w:t>
      </w:r>
      <w:r>
        <w:rPr>
          <w:i/>
          <w:iCs/>
        </w:rPr>
        <w:t>et al.</w:t>
      </w:r>
      <w:r>
        <w:t xml:space="preserve"> (2010) </w:t>
      </w:r>
      <w:hyperlink r:id="rId72">
        <w:r>
          <w:rPr>
            <w:rStyle w:val="Hyperlink"/>
          </w:rPr>
          <w:t>Dynamic energy budget theory restores coherence in biology</w:t>
        </w:r>
      </w:hyperlink>
      <w:r>
        <w:t xml:space="preserve">. </w:t>
      </w:r>
      <w:r>
        <w:rPr>
          <w:i/>
          <w:iCs/>
        </w:rPr>
        <w:t>Philos. Trans. R. Soc. Lond. B Biol. Sci.</w:t>
      </w:r>
      <w:r>
        <w:t xml:space="preserve"> 365, 3413–3428</w:t>
      </w:r>
    </w:p>
    <w:p w14:paraId="79DF4651" w14:textId="77777777" w:rsidR="00542893" w:rsidRDefault="00000000">
      <w:pPr>
        <w:pStyle w:val="Bibliography"/>
      </w:pPr>
      <w:bookmarkStart w:id="105" w:name="ref-Kearney2009a"/>
      <w:bookmarkEnd w:id="104"/>
      <w:r>
        <w:t xml:space="preserve">85.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059990A8" w14:textId="77777777" w:rsidR="00542893" w:rsidRDefault="00000000">
      <w:pPr>
        <w:pStyle w:val="Bibliography"/>
      </w:pPr>
      <w:bookmarkStart w:id="106" w:name="ref-Lande1979"/>
      <w:bookmarkEnd w:id="105"/>
      <w:r>
        <w:t xml:space="preserve">86. </w:t>
      </w:r>
      <w:r>
        <w:tab/>
        <w:t xml:space="preserve">Lande, R. (1979) </w:t>
      </w:r>
      <w:hyperlink r:id="rId73">
        <w:r>
          <w:rPr>
            <w:rStyle w:val="Hyperlink"/>
          </w:rPr>
          <w:t>Quantitative genetic analysis of multivariate evolution, applied to brain:body size allometry</w:t>
        </w:r>
      </w:hyperlink>
      <w:r>
        <w:t xml:space="preserve">. </w:t>
      </w:r>
      <w:r>
        <w:rPr>
          <w:i/>
          <w:iCs/>
        </w:rPr>
        <w:t>Evolution</w:t>
      </w:r>
      <w:r>
        <w:t xml:space="preserve"> 33</w:t>
      </w:r>
    </w:p>
    <w:p w14:paraId="6F4F40D7" w14:textId="77777777" w:rsidR="00542893" w:rsidRDefault="00000000">
      <w:pPr>
        <w:pStyle w:val="Bibliography"/>
      </w:pPr>
      <w:bookmarkStart w:id="107" w:name="ref-Walsh2018"/>
      <w:bookmarkEnd w:id="106"/>
      <w:r>
        <w:t xml:space="preserve">87. </w:t>
      </w:r>
      <w:r>
        <w:tab/>
        <w:t xml:space="preserve">Walsh, B. and Lynch, M. (2018) </w:t>
      </w:r>
      <w:hyperlink r:id="rId74">
        <w:r>
          <w:rPr>
            <w:rStyle w:val="Hyperlink"/>
            <w:i/>
            <w:iCs/>
          </w:rPr>
          <w:t>Evolution and selection of quantitative traits</w:t>
        </w:r>
      </w:hyperlink>
      <w:r>
        <w:t>, Oxford University Press</w:t>
      </w:r>
    </w:p>
    <w:p w14:paraId="4E7760B4" w14:textId="77777777" w:rsidR="00542893" w:rsidRDefault="00000000">
      <w:pPr>
        <w:pStyle w:val="Bibliography"/>
      </w:pPr>
      <w:bookmarkStart w:id="108" w:name="ref-McGlothlin2014a"/>
      <w:bookmarkEnd w:id="107"/>
      <w:r>
        <w:t xml:space="preserve">88. </w:t>
      </w:r>
      <w:r>
        <w:tab/>
        <w:t xml:space="preserve">McGlothlin, J. and Galloway, L. (2014) </w:t>
      </w:r>
      <w:hyperlink r:id="rId75">
        <w:r>
          <w:rPr>
            <w:rStyle w:val="Hyperlink"/>
          </w:rPr>
          <w:t>The contribution of maternal effects to selection response: An empirical test of competing models</w:t>
        </w:r>
      </w:hyperlink>
      <w:r>
        <w:t xml:space="preserve">. </w:t>
      </w:r>
      <w:r>
        <w:rPr>
          <w:i/>
          <w:iCs/>
        </w:rPr>
        <w:t>Evolution</w:t>
      </w:r>
      <w:r>
        <w:t xml:space="preserve"> 68</w:t>
      </w:r>
    </w:p>
    <w:p w14:paraId="54C5C91C" w14:textId="77777777" w:rsidR="00542893" w:rsidRDefault="00000000">
      <w:pPr>
        <w:pStyle w:val="Bibliography"/>
      </w:pPr>
      <w:bookmarkStart w:id="109" w:name="ref-Urban2016"/>
      <w:bookmarkEnd w:id="108"/>
      <w:r>
        <w:t xml:space="preserve">89. </w:t>
      </w:r>
      <w:r>
        <w:tab/>
        <w:t xml:space="preserve">Urban, M.C. </w:t>
      </w:r>
      <w:r>
        <w:rPr>
          <w:i/>
          <w:iCs/>
        </w:rPr>
        <w:t>et al.</w:t>
      </w:r>
      <w:r>
        <w:t xml:space="preserve"> (2016) </w:t>
      </w:r>
      <w:hyperlink r:id="rId76">
        <w:r>
          <w:rPr>
            <w:rStyle w:val="Hyperlink"/>
          </w:rPr>
          <w:t>Improving the forecast for biodiversity under climate change</w:t>
        </w:r>
      </w:hyperlink>
      <w:r>
        <w:t xml:space="preserve">. </w:t>
      </w:r>
      <w:r>
        <w:rPr>
          <w:i/>
          <w:iCs/>
        </w:rPr>
        <w:t>Science</w:t>
      </w:r>
      <w:r>
        <w:t xml:space="preserve"> 353, aad8466–aad8466</w:t>
      </w:r>
    </w:p>
    <w:p w14:paraId="42C10A58" w14:textId="77777777" w:rsidR="00542893" w:rsidRDefault="00000000">
      <w:pPr>
        <w:pStyle w:val="Bibliography"/>
      </w:pPr>
      <w:bookmarkStart w:id="110" w:name="ref-Kattge2020"/>
      <w:bookmarkEnd w:id="109"/>
      <w:r>
        <w:t xml:space="preserve">90. </w:t>
      </w:r>
      <w:r>
        <w:tab/>
        <w:t xml:space="preserve">Kattge, J. </w:t>
      </w:r>
      <w:r>
        <w:rPr>
          <w:i/>
          <w:iCs/>
        </w:rPr>
        <w:t>et al.</w:t>
      </w:r>
      <w:r>
        <w:t xml:space="preserve"> (2020) </w:t>
      </w:r>
      <w:hyperlink r:id="rId77">
        <w:r>
          <w:rPr>
            <w:rStyle w:val="Hyperlink"/>
          </w:rPr>
          <w:t>TRY plant trait database - enhanced coverage and open access</w:t>
        </w:r>
      </w:hyperlink>
      <w:r>
        <w:t xml:space="preserve">. </w:t>
      </w:r>
      <w:r>
        <w:rPr>
          <w:i/>
          <w:iCs/>
        </w:rPr>
        <w:t>Glob. Chang. Biol.</w:t>
      </w:r>
      <w:r>
        <w:t xml:space="preserve"> 26, 119–188</w:t>
      </w:r>
    </w:p>
    <w:p w14:paraId="02B69D47" w14:textId="77777777" w:rsidR="00542893" w:rsidRDefault="00000000">
      <w:pPr>
        <w:pStyle w:val="Bibliography"/>
      </w:pPr>
      <w:bookmarkStart w:id="111" w:name="ref-Leiva2025"/>
      <w:bookmarkEnd w:id="110"/>
      <w:r>
        <w:t xml:space="preserve">91.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78">
        <w:r>
          <w:rPr>
            <w:rStyle w:val="Hyperlink"/>
          </w:rPr>
          <w:t>10.1111/1365-2435.70147</w:t>
        </w:r>
      </w:hyperlink>
    </w:p>
    <w:p w14:paraId="32BC4EF6" w14:textId="77777777" w:rsidR="00542893" w:rsidRDefault="00000000">
      <w:pPr>
        <w:pStyle w:val="Bibliography"/>
      </w:pPr>
      <w:bookmarkStart w:id="112" w:name="ref-Dudney2025"/>
      <w:bookmarkEnd w:id="111"/>
      <w:r>
        <w:t xml:space="preserve">92. </w:t>
      </w:r>
      <w:r>
        <w:tab/>
        <w:t xml:space="preserve">Dudney, J. </w:t>
      </w:r>
      <w:r>
        <w:rPr>
          <w:i/>
          <w:iCs/>
        </w:rPr>
        <w:t>et al.</w:t>
      </w:r>
      <w:r>
        <w:t xml:space="preserve"> (2025) </w:t>
      </w:r>
      <w:hyperlink r:id="rId79">
        <w:r>
          <w:rPr>
            <w:rStyle w:val="Hyperlink"/>
          </w:rPr>
          <w:t>A causal inference framework for climate change attribution in ecology</w:t>
        </w:r>
      </w:hyperlink>
      <w:r>
        <w:t xml:space="preserve">. </w:t>
      </w:r>
      <w:r>
        <w:rPr>
          <w:i/>
          <w:iCs/>
        </w:rPr>
        <w:t>Ecol. Lett.</w:t>
      </w:r>
      <w:r>
        <w:t xml:space="preserve"> 28, e70192</w:t>
      </w:r>
    </w:p>
    <w:p w14:paraId="7D2E069D" w14:textId="77777777" w:rsidR="00542893" w:rsidRDefault="00000000">
      <w:pPr>
        <w:pStyle w:val="Bibliography"/>
      </w:pPr>
      <w:bookmarkStart w:id="113" w:name="ref-Carroll2023"/>
      <w:bookmarkEnd w:id="112"/>
      <w:r>
        <w:t xml:space="preserve">93. </w:t>
      </w:r>
      <w:r>
        <w:tab/>
        <w:t xml:space="preserve">Carroll, T. </w:t>
      </w:r>
      <w:r>
        <w:rPr>
          <w:i/>
          <w:iCs/>
        </w:rPr>
        <w:t>et al.</w:t>
      </w:r>
      <w:r>
        <w:t xml:space="preserve"> (2023) </w:t>
      </w:r>
      <w:hyperlink r:id="rId80">
        <w:r>
          <w:rPr>
            <w:rStyle w:val="Hyperlink"/>
          </w:rPr>
          <w:t>Biodiversity change under adaptive community dynamics</w:t>
        </w:r>
      </w:hyperlink>
      <w:r>
        <w:t xml:space="preserve">. </w:t>
      </w:r>
      <w:r>
        <w:rPr>
          <w:i/>
          <w:iCs/>
        </w:rPr>
        <w:t>Glob. Chang. Biol.</w:t>
      </w:r>
      <w:r>
        <w:t xml:space="preserve"> 29, 3525–3538</w:t>
      </w:r>
    </w:p>
    <w:p w14:paraId="69C09E4F" w14:textId="77777777" w:rsidR="00542893" w:rsidRDefault="00000000">
      <w:pPr>
        <w:pStyle w:val="Bibliography"/>
      </w:pPr>
      <w:bookmarkStart w:id="114" w:name="ref-Dornhaus2022"/>
      <w:bookmarkEnd w:id="113"/>
      <w:r>
        <w:t xml:space="preserve">94. </w:t>
      </w:r>
      <w:r>
        <w:tab/>
        <w:t xml:space="preserve">Dornhaus, A. </w:t>
      </w:r>
      <w:r>
        <w:rPr>
          <w:i/>
          <w:iCs/>
        </w:rPr>
        <w:t>et al.</w:t>
      </w:r>
      <w:r>
        <w:t xml:space="preserve"> (2022) </w:t>
      </w:r>
      <w:hyperlink r:id="rId81">
        <w:r>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9"/>
    <w:bookmarkEnd w:id="21"/>
    <w:bookmarkEnd w:id="114"/>
    <w:p w14:paraId="1D861E7C" w14:textId="77777777" w:rsidR="00542893" w:rsidRDefault="00542893">
      <w:pPr>
        <w:pStyle w:val="BodyText"/>
      </w:pPr>
    </w:p>
    <w:sectPr w:rsidR="00542893"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5374E8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471289555">
    <w:abstractNumId w:val="10"/>
  </w:num>
  <w:num w:numId="86" w16cid:durableId="20321033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91E3A"/>
    <w:rsid w:val="000F6847"/>
    <w:rsid w:val="00234AC1"/>
    <w:rsid w:val="00316EC7"/>
    <w:rsid w:val="003D57A2"/>
    <w:rsid w:val="00542893"/>
    <w:rsid w:val="00553B80"/>
    <w:rsid w:val="005A5007"/>
    <w:rsid w:val="00676013"/>
    <w:rsid w:val="006A2A8B"/>
    <w:rsid w:val="006A579B"/>
    <w:rsid w:val="008F43C3"/>
    <w:rsid w:val="00951576"/>
    <w:rsid w:val="00A5574C"/>
    <w:rsid w:val="00A846BF"/>
    <w:rsid w:val="00AC0813"/>
    <w:rsid w:val="00CD0962"/>
    <w:rsid w:val="00D24293"/>
    <w:rsid w:val="00D76B28"/>
    <w:rsid w:val="00EF10CD"/>
    <w:rsid w:val="00F4402A"/>
    <w:rsid w:val="00FD1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66277"/>
  <w15:docId w15:val="{189988CD-EA23-9540-96AE-FB5F8E237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4476" TargetMode="External"/><Relationship Id="rId21" Type="http://schemas.openxmlformats.org/officeDocument/2006/relationships/hyperlink" Target="https://doi.org/10.1111/2041-210x.13093" TargetMode="External"/><Relationship Id="rId42" Type="http://schemas.openxmlformats.org/officeDocument/2006/relationships/hyperlink" Target="https://doi.org/10.1093/jxb/erae096" TargetMode="External"/><Relationship Id="rId47" Type="http://schemas.openxmlformats.org/officeDocument/2006/relationships/hyperlink" Target="https://doi.org/10.1007/978-981-99-0030-5\_6" TargetMode="External"/><Relationship Id="rId63" Type="http://schemas.openxmlformats.org/officeDocument/2006/relationships/hyperlink" Target="https://doi.org/10.1111/ele.14376" TargetMode="External"/><Relationship Id="rId68" Type="http://schemas.openxmlformats.org/officeDocument/2006/relationships/hyperlink" Target="https://doi.org/10.5194/gmd-9-1937-2016" TargetMode="External"/><Relationship Id="rId16" Type="http://schemas.openxmlformats.org/officeDocument/2006/relationships/hyperlink" Target="https://doi.org/10.1111/1365-2435.12268" TargetMode="External"/><Relationship Id="rId11" Type="http://schemas.openxmlformats.org/officeDocument/2006/relationships/hyperlink" Target="https://doi.org/10.1126/science.adv5413" TargetMode="External"/><Relationship Id="rId32" Type="http://schemas.openxmlformats.org/officeDocument/2006/relationships/hyperlink" Target="https://doi.org/10.2307/1948545" TargetMode="External"/><Relationship Id="rId37" Type="http://schemas.openxmlformats.org/officeDocument/2006/relationships/hyperlink" Target="https://doi.org/10.1111/nph.15395" TargetMode="External"/><Relationship Id="rId53" Type="http://schemas.openxmlformats.org/officeDocument/2006/relationships/hyperlink" Target="https://doi.org/10.1371/journal.pcbi.1006100" TargetMode="External"/><Relationship Id="rId58" Type="http://schemas.openxmlformats.org/officeDocument/2006/relationships/hyperlink" Target="https://doi.org/10.1006/tpbi.2000.1486" TargetMode="External"/><Relationship Id="rId74" Type="http://schemas.openxmlformats.org/officeDocument/2006/relationships/hyperlink" Target="https://doi.org/10.1093/oso/9780198830870.001.0001" TargetMode="External"/><Relationship Id="rId79" Type="http://schemas.openxmlformats.org/officeDocument/2006/relationships/hyperlink" Target="https://doi.org/10.1111/ele.70192" TargetMode="External"/><Relationship Id="rId5" Type="http://schemas.openxmlformats.org/officeDocument/2006/relationships/image" Target="media/image1.png"/><Relationship Id="rId61" Type="http://schemas.openxmlformats.org/officeDocument/2006/relationships/hyperlink" Target="https://doi.org/10.1038/s41559-016-0062" TargetMode="External"/><Relationship Id="rId82" Type="http://schemas.openxmlformats.org/officeDocument/2006/relationships/fontTable" Target="fontTable.xml"/><Relationship Id="rId19" Type="http://schemas.openxmlformats.org/officeDocument/2006/relationships/hyperlink" Target="https://doi.org/10.1111/ele.14011" TargetMode="External"/><Relationship Id="rId14" Type="http://schemas.openxmlformats.org/officeDocument/2006/relationships/hyperlink" Target="https://doi.org/10.1111/pce.15040" TargetMode="External"/><Relationship Id="rId22" Type="http://schemas.openxmlformats.org/officeDocument/2006/relationships/hyperlink" Target="https://doi.org/10.1111/2041-210x.13330" TargetMode="External"/><Relationship Id="rId27" Type="http://schemas.openxmlformats.org/officeDocument/2006/relationships/hyperlink" Target="https://doi.org/10.1002/ecs2.4506" TargetMode="External"/><Relationship Id="rId30" Type="http://schemas.openxmlformats.org/officeDocument/2006/relationships/hyperlink" Target="https://doi.org/10.1111/j.1365-2486.2010.02375.x" TargetMode="External"/><Relationship Id="rId35" Type="http://schemas.openxmlformats.org/officeDocument/2006/relationships/hyperlink" Target="https://doi.org/10.1126/science.adq4372" TargetMode="External"/><Relationship Id="rId43" Type="http://schemas.openxmlformats.org/officeDocument/2006/relationships/hyperlink" Target="https://doi.org/10.1111/gcb.15976" TargetMode="External"/><Relationship Id="rId48" Type="http://schemas.openxmlformats.org/officeDocument/2006/relationships/hyperlink" Target="https://doi.org/10.1002/ece3.4983" TargetMode="External"/><Relationship Id="rId56" Type="http://schemas.openxmlformats.org/officeDocument/2006/relationships/hyperlink" Target="https://doi.org/10.1111/nph.15668" TargetMode="External"/><Relationship Id="rId64" Type="http://schemas.openxmlformats.org/officeDocument/2006/relationships/hyperlink" Target="https://doi.org/10.1086/713082" TargetMode="External"/><Relationship Id="rId69" Type="http://schemas.openxmlformats.org/officeDocument/2006/relationships/hyperlink" Target="https://doi.org/10.1098/rstb.2016.0138" TargetMode="External"/><Relationship Id="rId77" Type="http://schemas.openxmlformats.org/officeDocument/2006/relationships/hyperlink" Target="https://doi.org/10.1111/gcb.14904" TargetMode="External"/><Relationship Id="rId8" Type="http://schemas.openxmlformats.org/officeDocument/2006/relationships/image" Target="media/image4.png"/><Relationship Id="rId51" Type="http://schemas.openxmlformats.org/officeDocument/2006/relationships/hyperlink" Target="https://doi.org/10.1016/j.ecolmodel.2019.108904" TargetMode="External"/><Relationship Id="rId72" Type="http://schemas.openxmlformats.org/officeDocument/2006/relationships/hyperlink" Target="https://doi.org/10.1098/rstb.2010.0166" TargetMode="External"/><Relationship Id="rId80" Type="http://schemas.openxmlformats.org/officeDocument/2006/relationships/hyperlink" Target="https://doi.org/10.1111/gcb.16680" TargetMode="External"/><Relationship Id="rId3" Type="http://schemas.openxmlformats.org/officeDocument/2006/relationships/settings" Target="settings.xml"/><Relationship Id="rId12" Type="http://schemas.openxmlformats.org/officeDocument/2006/relationships/hyperlink" Target="https://doi.org/10.1111/jen.13127" TargetMode="External"/><Relationship Id="rId17" Type="http://schemas.openxmlformats.org/officeDocument/2006/relationships/hyperlink" Target="https://doi.org/10.1111/gcb.70315" TargetMode="External"/><Relationship Id="rId25" Type="http://schemas.openxmlformats.org/officeDocument/2006/relationships/hyperlink" Target="https://doi.org/10.1002/ecy.1444" TargetMode="External"/><Relationship Id="rId33" Type="http://schemas.openxmlformats.org/officeDocument/2006/relationships/hyperlink" Target="https://doi.org/10.1002/ecm.1240" TargetMode="External"/><Relationship Id="rId38" Type="http://schemas.openxmlformats.org/officeDocument/2006/relationships/hyperlink" Target="https://doi.org/10.1242/jeb.224139" TargetMode="External"/><Relationship Id="rId46" Type="http://schemas.openxmlformats.org/officeDocument/2006/relationships/hyperlink" Target="https://doi.org/10.1016/j.jinsphys.2009.11.006" TargetMode="External"/><Relationship Id="rId59" Type="http://schemas.openxmlformats.org/officeDocument/2006/relationships/hyperlink" Target="https://doi.org/10.1139/f54-039" TargetMode="External"/><Relationship Id="rId67" Type="http://schemas.openxmlformats.org/officeDocument/2006/relationships/hyperlink" Target="https://doi.org/10.1126/science.adp4461" TargetMode="External"/><Relationship Id="rId20" Type="http://schemas.openxmlformats.org/officeDocument/2006/relationships/hyperlink" Target="https://doi.org/10.1111/ecog.02360" TargetMode="External"/><Relationship Id="rId41" Type="http://schemas.openxmlformats.org/officeDocument/2006/relationships/hyperlink" Target="https://doi.org/10.1111/pce.14050" TargetMode="External"/><Relationship Id="rId54" Type="http://schemas.openxmlformats.org/officeDocument/2006/relationships/hyperlink" Target="https://doi.org/10.1093/conphys/coab086" TargetMode="External"/><Relationship Id="rId62" Type="http://schemas.openxmlformats.org/officeDocument/2006/relationships/hyperlink" Target="https://doi.org/10.1111/ele.70059" TargetMode="External"/><Relationship Id="rId70" Type="http://schemas.openxmlformats.org/officeDocument/2006/relationships/hyperlink" Target="https://doi.org/10.1111/oik.08715" TargetMode="External"/><Relationship Id="rId75" Type="http://schemas.openxmlformats.org/officeDocument/2006/relationships/hyperlink" Target="https://doi.org/10.1111/evo.12235"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111/2041-210x.14373" TargetMode="External"/><Relationship Id="rId23" Type="http://schemas.openxmlformats.org/officeDocument/2006/relationships/hyperlink" Target="https://doi.org/10.1111/2041-210x.13627" TargetMode="External"/><Relationship Id="rId28" Type="http://schemas.openxmlformats.org/officeDocument/2006/relationships/hyperlink" Target="https://doi.org/10.1111/gcb.14037" TargetMode="External"/><Relationship Id="rId36" Type="http://schemas.openxmlformats.org/officeDocument/2006/relationships/hyperlink" Target="https://doi.org/10.1111/conl.12906" TargetMode="External"/><Relationship Id="rId49" Type="http://schemas.openxmlformats.org/officeDocument/2006/relationships/hyperlink" Target="https://doi.org/10.1111/ecog.04680" TargetMode="External"/><Relationship Id="rId57" Type="http://schemas.openxmlformats.org/officeDocument/2006/relationships/hyperlink" Target="https://doi.org/10.1111/gcb.15215" TargetMode="External"/><Relationship Id="rId10" Type="http://schemas.openxmlformats.org/officeDocument/2006/relationships/hyperlink" Target="https://doi.org/10.1126/science.adv7597" TargetMode="External"/><Relationship Id="rId31" Type="http://schemas.openxmlformats.org/officeDocument/2006/relationships/hyperlink" Target="https://doi.org/10.1007/BF00379617" TargetMode="External"/><Relationship Id="rId44" Type="http://schemas.openxmlformats.org/officeDocument/2006/relationships/hyperlink" Target="https://doi.org/10.1111/1365-2435.70038" TargetMode="External"/><Relationship Id="rId52" Type="http://schemas.openxmlformats.org/officeDocument/2006/relationships/hyperlink" Target="https://doi.org/10.1098/rstb.2010.0034" TargetMode="External"/><Relationship Id="rId60" Type="http://schemas.openxmlformats.org/officeDocument/2006/relationships/hyperlink" Target="https://doi.org/10.1007/978-94-011-2106-4" TargetMode="External"/><Relationship Id="rId65" Type="http://schemas.openxmlformats.org/officeDocument/2006/relationships/hyperlink" Target="https://doi.org/10.1890/14-0976.1" TargetMode="External"/><Relationship Id="rId73" Type="http://schemas.openxmlformats.org/officeDocument/2006/relationships/hyperlink" Target="https://doi.org/10.1111/j.1558-5646.1979.tb04694.x" TargetMode="External"/><Relationship Id="rId78" Type="http://schemas.openxmlformats.org/officeDocument/2006/relationships/hyperlink" Target="https://doi.org/10.1111/1365-2435.70147" TargetMode="External"/><Relationship Id="rId81" Type="http://schemas.openxmlformats.org/officeDocument/2006/relationships/hyperlink" Target="https://doi.org/10.1093/icb/icab142" TargetMode="External"/><Relationship Id="rId4" Type="http://schemas.openxmlformats.org/officeDocument/2006/relationships/webSettings" Target="webSettings.xml"/><Relationship Id="rId9" Type="http://schemas.openxmlformats.org/officeDocument/2006/relationships/hyperlink" Target="https://doi.org/10.1038/s41467-020-16970-7" TargetMode="External"/><Relationship Id="rId13" Type="http://schemas.openxmlformats.org/officeDocument/2006/relationships/hyperlink" Target="https://doi.org/10.1126/science.aba9287" TargetMode="External"/><Relationship Id="rId18" Type="http://schemas.openxmlformats.org/officeDocument/2006/relationships/hyperlink" Target="https://doi.org/10.1111/1365-2745.13030" TargetMode="External"/><Relationship Id="rId39" Type="http://schemas.openxmlformats.org/officeDocument/2006/relationships/hyperlink" Target="https://doi.org/10.3389/fevo.2022.813567" TargetMode="External"/><Relationship Id="rId34" Type="http://schemas.openxmlformats.org/officeDocument/2006/relationships/hyperlink" Target="https://doi.org/10.1371/journal.pone.0143346" TargetMode="External"/><Relationship Id="rId50" Type="http://schemas.openxmlformats.org/officeDocument/2006/relationships/hyperlink" Target="https://doi.org/10.1111/J.1365-2656.2000.00448.X" TargetMode="External"/><Relationship Id="rId55" Type="http://schemas.openxmlformats.org/officeDocument/2006/relationships/hyperlink" Target="https://doi.org/10.1093/nar/gkp370" TargetMode="External"/><Relationship Id="rId76" Type="http://schemas.openxmlformats.org/officeDocument/2006/relationships/hyperlink" Target="https://doi.org/10.1126/science.aad8466" TargetMode="External"/><Relationship Id="rId7" Type="http://schemas.openxmlformats.org/officeDocument/2006/relationships/image" Target="media/image3.png"/><Relationship Id="rId71" Type="http://schemas.openxmlformats.org/officeDocument/2006/relationships/hyperlink" Target="https://doi.org/10.1038/nature15256" TargetMode="External"/><Relationship Id="rId2" Type="http://schemas.openxmlformats.org/officeDocument/2006/relationships/styles" Target="styles.xml"/><Relationship Id="rId29" Type="http://schemas.openxmlformats.org/officeDocument/2006/relationships/hyperlink" Target="https://doi.org/10.1016/j.envsoft.2018.02.002" TargetMode="External"/><Relationship Id="rId24" Type="http://schemas.openxmlformats.org/officeDocument/2006/relationships/hyperlink" Target="https://doi.org/10.1371/journal.pclm.0000139" TargetMode="External"/><Relationship Id="rId40" Type="http://schemas.openxmlformats.org/officeDocument/2006/relationships/hyperlink" Target="https://doi.org/10.1073/pnas.2408583121" TargetMode="External"/><Relationship Id="rId45" Type="http://schemas.openxmlformats.org/officeDocument/2006/relationships/hyperlink" Target="https://doi.org/10.1007/s11104-013-1761-6" TargetMode="External"/><Relationship Id="rId66" Type="http://schemas.openxmlformats.org/officeDocument/2006/relationships/hyperlink" Target="https://doi.org/10.1016/j.tplants.2022.02.0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20</Pages>
  <Words>8999</Words>
  <Characters>51295</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13</cp:revision>
  <dcterms:created xsi:type="dcterms:W3CDTF">2025-11-02T06:25:00Z</dcterms:created>
  <dcterms:modified xsi:type="dcterms:W3CDTF">2025-11-02T06:45:00Z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