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systems-modelling</w:t>
      </w:r>
      <w:r>
        <w:t xml:space="preserve"> </w:t>
      </w:r>
      <w:r>
        <w:t xml:space="preserve">approach</w:t>
      </w:r>
      <w:r>
        <w:t xml:space="preserve"> </w:t>
      </w:r>
      <w:r>
        <w:t xml:space="preserve">to</w:t>
      </w:r>
      <w:r>
        <w:t xml:space="preserve"> </w:t>
      </w:r>
      <w:r>
        <w:t xml:space="preserve">predict</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p>
      <w:pPr>
        <w:pStyle w:val="FirstParagraph"/>
      </w:pPr>
      <w:r>
        <w:t xml:space="preserve">Daniel W.A. Noble</w:t>
      </w:r>
      <w:r>
        <w:rPr>
          <w:vertAlign w:val="superscript"/>
        </w:rPr>
        <w:t xml:space="preserve">1</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w:t>
      </w:r>
      <m:oMath>
        <m:r>
          <m:rPr>
            <m:sty m:val="p"/>
          </m:rPr>
          <m:t>†</m:t>
        </m:r>
      </m:oMath>
      <w:r>
        <w:t xml:space="preserve">, Zhong-Hua Chen</w:t>
      </w:r>
      <w:r>
        <w:rPr>
          <w:vertAlign w:val="superscript"/>
        </w:rPr>
        <w:t xml:space="preserve">3</w:t>
      </w:r>
      <w:r>
        <w:t xml:space="preserve"> </w:t>
      </w:r>
      <m:oMath>
        <m:r>
          <m:rPr>
            <m:sty m:val="p"/>
          </m:rPr>
          <m:t>†</m:t>
        </m:r>
      </m:oMath>
      <w:r>
        <w:t xml:space="preserve">, Steven Lade</w:t>
      </w:r>
      <w:r>
        <w:rPr>
          <w:vertAlign w:val="superscript"/>
        </w:rPr>
        <w:t xml:space="preserve">5</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Danielle Way</w:t>
      </w:r>
      <w:r>
        <w:rPr>
          <w:vertAlign w:val="superscript"/>
        </w:rPr>
        <w:t xml:space="preserve">4</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Adrienne Nicotra</w:t>
      </w:r>
      <w:r>
        <w:rPr>
          <w:vertAlign w:val="superscript"/>
        </w:rPr>
        <w:t xml:space="preserve">1,4</w:t>
      </w:r>
      <w:r>
        <w:t xml:space="preserve"> </w:t>
      </w:r>
      <m:oMath>
        <m:r>
          <m:rPr>
            <m:sty m:val="p"/>
          </m:rPr>
          <m:t>†</m:t>
        </m:r>
      </m:oMath>
      <w:r>
        <w:t xml:space="preserve">, James Cook</w:t>
      </w:r>
      <w:r>
        <w:rPr>
          <w:vertAlign w:val="superscript"/>
        </w:rPr>
        <w:t xml:space="preserve">3</w:t>
      </w:r>
      <w:r>
        <w:t xml:space="preserve">, Brajesh Singh</w:t>
      </w:r>
      <w:r>
        <w:rPr>
          <w:vertAlign w:val="superscript"/>
        </w:rPr>
        <w:t xml:space="preserve">3</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 &amp; m.kearney@unimelb.edu.au</w:t>
      </w:r>
      <w:r>
        <w:br/>
      </w:r>
      <m:oMath>
        <m:r>
          <m:rPr>
            <m:sty m:val="p"/>
          </m:rPr>
          <m:t>†</m:t>
        </m:r>
      </m:oMath>
      <w:r>
        <w:t xml:space="preserve"> </w:t>
      </w:r>
      <w:r>
        <w:t xml:space="preserve">These authors contributed equally to this work.</w:t>
      </w:r>
    </w:p>
    <w:bookmarkStart w:id="20" w:name="abstract"/>
    <w:p>
      <w:pPr>
        <w:pStyle w:val="Heading1"/>
      </w:pPr>
      <w:r>
        <w:t xml:space="preserve">Abstract</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show how existing models in disparate fields can be linked to achieve a level of understanding necessary for calculated responses to extreme heat from individuals to socioecological systems, now and into the future.</w:t>
      </w:r>
    </w:p>
    <w:bookmarkEnd w:id="20"/>
    <w:bookmarkStart w:id="21" w:name="Xc0831f1701f048ac9db6a8899b8a6521f0db317"/>
    <w:p>
      <w:pPr>
        <w:pStyle w:val="Heading1"/>
      </w:pPr>
      <w:r>
        <w:t xml:space="preserve">A need for a mechanistically informed modelling framework for interpreting and predicting the effects of extreme heat on community assemblages</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plant and animal performance, resulting in reduced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[11,12,21,22]</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[23,24]</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w:t>
      </w:r>
      <w:r>
        <w:t xml:space="preserve">extreme heat</w:t>
      </w:r>
      <w:r>
        <w:t xml:space="preserve">’</w:t>
      </w:r>
      <w:r>
        <w:t xml:space="preserve"> </w:t>
      </w:r>
      <w:r>
        <w:t xml:space="preserve">can take on a different meaning for these diverse organisms. For example, plants and animals have different thermal tolerances or can exploit microthermal environments in different ways to dampen the effects of extreme atmospheric heat events. As such,</w:t>
      </w:r>
      <w:r>
        <w:t xml:space="preserve"> </w:t>
      </w:r>
      <w:r>
        <w:t xml:space="preserve">‘</w:t>
      </w:r>
      <w:r>
        <w:t xml:space="preserve">extreme</w:t>
      </w:r>
      <w:r>
        <w:t xml:space="preserve">’</w:t>
      </w:r>
      <w:r>
        <w:t xml:space="preserve"> </w:t>
      </w:r>
      <w:r>
        <w:t xml:space="preserve">will be relative to the biology of the organism in question. Our framework can capture these complexities and be extended to incorporate other, diverse interactions.</w:t>
      </w:r>
    </w:p>
    <w:bookmarkEnd w:id="21"/>
    <w:bookmarkStart w:id="26" w:name="X2b97b971c201f11017c10c1d6e4dbfd69043166"/>
    <w:p>
      <w:pPr>
        <w:pStyle w:val="Heading1"/>
      </w:pPr>
      <w:r>
        <w:t xml:space="preserve">A systems-modelling approach to modelling biotic impacts of heatwaves</w:t>
      </w:r>
    </w:p>
    <w:p>
      <w:pPr>
        <w:pStyle w:val="FirstParagraph"/>
      </w:pPr>
      <w:r>
        <w:t xml:space="preserve">We propose a systems-modelling approach to model biotic impacts of heatwaves (</w:t>
      </w:r>
      <w:hyperlink w:anchor="fig-sys">
        <w:r>
          <w:rPr>
            <w:rStyle w:val="Hyperlink"/>
          </w:rPr>
          <w:t xml:space="preserve">Figure 1</w:t>
        </w:r>
      </w:hyperlink>
      <w:r>
        <w:t xml:space="preserve">), scaling from the level of the atmosphere to</w:t>
      </w:r>
      <w:r>
        <w:t xml:space="preserve"> </w:t>
      </w:r>
      <w:r>
        <w:rPr>
          <w:b/>
          <w:bCs/>
        </w:rPr>
        <w:t xml:space="preserve">microclimate</w:t>
      </w:r>
      <w:r>
        <w:t xml:space="preserve">, and from individuals to populations and communities. Ultimately, the impacts of extreme heat events on a community are driven by responses of individuals. Therefore, to understand extreme heat impacts on a community of organisms, we must characterize the proximal thermal environments – the</w:t>
      </w:r>
      <w:r>
        <w:t xml:space="preserve"> </w:t>
      </w:r>
      <w:r>
        <w:t xml:space="preserve">‘</w:t>
      </w:r>
      <w:r>
        <w:t xml:space="preserve">microclimates</w:t>
      </w:r>
      <w:r>
        <w:t xml:space="preserve">’</w:t>
      </w:r>
      <w:r>
        <w:t xml:space="preserve"> </w:t>
      </w:r>
      <w:r>
        <w:t xml:space="preserve">– experienced by individuals of different species under a given atmospheric event. These microclimates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trajectories across life cycles to drive population and community models of the resulting interactions.</w:t>
      </w:r>
    </w:p>
    <w:p>
      <w:pPr>
        <w:pStyle w:val="BodyText"/>
      </w:pPr>
      <w:r>
        <w:t xml:space="preserve">In the next sections, we outline new developments that enable us to model all the components in</w:t>
      </w:r>
      <w:r>
        <w:t xml:space="preserve"> </w:t>
      </w:r>
      <w:hyperlink w:anchor="fig-sys">
        <w:r>
          <w:rPr>
            <w:rStyle w:val="Hyperlink"/>
          </w:rPr>
          <w:t xml:space="preserve">Figure 1</w:t>
        </w:r>
      </w:hyperlink>
      <w:r>
        <w:t xml:space="preserve"> </w:t>
      </w:r>
      <w:r>
        <w:t xml:space="preserve">such that a truly systems-based approach to modelling biotic impacts of heatwaves is now possible. We highlight the immense opportunities such an integration may provide through a greater understanding of the ways in which extreme heat stress manifests across species. Such an integration will help elucidate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w:t>
      </w:r>
    </w:p>
    <w:tbl>
      <w:tblPr>
        <w:tblStyle w:val="Table"/>
        <w:tblW w:type="pct" w:w="5000"/>
        <w:tblLayout w:type="fixed"/>
        <w:tblLook w:firstRow="0" w:lastRow="0" w:firstColumn="0" w:lastColumn="0" w:noHBand="0" w:noVBand="0" w:val="0000"/>
      </w:tblPr>
      <w:tblGrid>
        <w:gridCol w:w="7920"/>
      </w:tblGrid>
      <w:tr>
        <w:tc>
          <w:tcPr/>
          <w:bookmarkStart w:id="25" w:name="fig-sys"/>
          <w:p>
            <w:pPr>
              <w:pStyle w:val="Compact"/>
              <w:jc w:val="center"/>
            </w:pPr>
            <w:r>
              <w:drawing>
                <wp:inline>
                  <wp:extent cx="6096000" cy="4876800"/>
                  <wp:effectExtent b="0" l="0" r="0" t="0"/>
                  <wp:docPr descr="" title="" id="23" name="Picture"/>
                  <a:graphic>
                    <a:graphicData uri="http://schemas.openxmlformats.org/drawingml/2006/picture">
                      <pic:pic>
                        <pic:nvPicPr>
                          <pic:cNvPr descr="ms_files/figure-docx/fig-sys-1.png" id="24" name="Picture"/>
                          <pic:cNvPicPr>
                            <a:picLocks noChangeArrowheads="1" noChangeAspect="1"/>
                          </pic:cNvPicPr>
                        </pic:nvPicPr>
                        <pic:blipFill>
                          <a:blip r:embed="rId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proposed modelling integration developed here integrates (1) climate/biophysical models to predict the temperatures species experience in their respective microhabitats. (2) Temperatures experienced by organisms provide inputs for damage-repair and dynamic energy budget models that integrate temperature exposure with explicit physiological models that simulate development, behavior,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We discuss how (4) environment-mediated feedbacks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p>
          <w:bookmarkEnd w:id="25"/>
        </w:tc>
      </w:tr>
    </w:tbl>
    <w:bookmarkEnd w:id="26"/>
    <w:bookmarkStart w:id="27" w:name="Xbb8a3512749f7fb1c67948ca8a2ad003fcd6253"/>
    <w:p>
      <w:pPr>
        <w:pStyle w:val="Heading1"/>
      </w:pPr>
      <w:r>
        <w:t xml:space="preserve">The current climate of extreme weather modelling</w:t>
      </w:r>
    </w:p>
    <w:p>
      <w:pPr>
        <w:pStyle w:val="FirstParagraph"/>
      </w:pPr>
      <w:r>
        <w:t xml:space="preserve">An understanding of heatwave impacts on biology requires environmental inputs about weather conditions. These data may come from weather stations or models. Weather station observations of air temperature, radiation, wind speed, cloud cover and humidity are readily available as raw timeseries from the stations themselves, and as interpolated products such as WorldClim</w:t>
      </w:r>
      <w:r>
        <w:t xml:space="preserve"> </w:t>
      </w:r>
      <w:r>
        <w:t xml:space="preserve">[25]</w:t>
      </w:r>
      <w:r>
        <w:t xml:space="preserve">.</w:t>
      </w:r>
    </w:p>
    <w:p>
      <w:pPr>
        <w:pStyle w:val="BodyText"/>
      </w:pPr>
      <w:r>
        <w:t xml:space="preserve">Weather stations can of course only tell us about past heat wave events.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w:t>
      </w:r>
      <w:r>
        <w:t xml:space="preserve"> </w:t>
      </w:r>
      <w:r>
        <w:t xml:space="preserve">‘</w:t>
      </w:r>
      <w:r>
        <w:t xml:space="preserve">reanalysis</w:t>
      </w:r>
      <w:r>
        <w:t xml:space="preserve">’</w:t>
      </w:r>
      <w:r>
        <w:t xml:space="preserve"> </w:t>
      </w:r>
      <w:r>
        <w:t xml:space="preserve">datasets produced by calibrating GCMs with observations to produce continuous gridded weather data, including</w:t>
      </w:r>
      <w:r>
        <w:t xml:space="preserve"> </w:t>
      </w:r>
      <w:r>
        <w:t xml:space="preserve">‘</w:t>
      </w:r>
      <w:r>
        <w:t xml:space="preserve">surface</w:t>
      </w:r>
      <w:r>
        <w:t xml:space="preserve">’</w:t>
      </w:r>
      <w:r>
        <w:t xml:space="preserve"> </w:t>
      </w:r>
      <w:r>
        <w:t xml:space="preserve">temperatures, soil temperatures and profiles of temperature, pressure, wind speed and humidity at different levels in the atmosphere</w:t>
      </w:r>
      <w:r>
        <w:t xml:space="preserve"> </w:t>
      </w:r>
      <w:r>
        <w:t xml:space="preserve">[26–30]</w:t>
      </w:r>
      <w:r>
        <w:t xml:space="preserve">. The most state-of-the-art of these are ERA5 and ERA5-Land, hourly products at ~31km and ~9km resolutions, respectively.</w:t>
      </w:r>
    </w:p>
    <w:p>
      <w:pPr>
        <w:pStyle w:val="BodyText"/>
      </w:pPr>
      <w:r>
        <w:t xml:space="preserve">Historically, GCMs were coded in fast but inflexible languages like Fortran and C. The emergence of the Julia language</w:t>
      </w:r>
      <w:r>
        <w:t xml:space="preserve"> </w:t>
      </w:r>
      <w:r>
        <w:t xml:space="preserve">[31]</w:t>
      </w:r>
      <w:r>
        <w:t xml:space="preserve"> </w:t>
      </w:r>
      <w:r>
        <w:t xml:space="preserve">for scientific computing has created an opportunity to rebuild climate models in a more modular manner, allowing easier interfacing between discipline-specific models and easier integration of the massive emerging power of AI for data assimilation and machine learning</w:t>
      </w:r>
      <w:r>
        <w:t xml:space="preserve"> </w:t>
      </w:r>
      <w:r>
        <w:t xml:space="preserve">[32]</w:t>
      </w:r>
      <w:r>
        <w:t xml:space="preserve">. The translation of GCMs and associated land-surface models into more accessible and modular languages opens up new opportunities for collaboration between biologists and earth scientists to better integrate the processes in the atmosphere and the biosphere to generate better predictions of weather events and their biological impacts.</w:t>
      </w:r>
    </w:p>
    <w:bookmarkEnd w:id="27"/>
    <w:bookmarkStart w:id="29" w:name="X4da05dea4acdb2054c1e59c2f12913febac8a0c"/>
    <w:p>
      <w:pPr>
        <w:pStyle w:val="Heading1"/>
      </w:pPr>
      <w:r>
        <w:t xml:space="preserve">From weather to microclimates: predicting community wide exposure to extreme heat</w:t>
      </w:r>
    </w:p>
    <w:p>
      <w:pPr>
        <w:pStyle w:val="FirstParagraph"/>
      </w:pPr>
      <w:r>
        <w:t xml:space="preserve">Extreme weather events are experienced differently across species in a community. For example, while air temperature may be 50°C, an organism a metre below the soil surface may be 25°C cooler (</w:t>
      </w:r>
      <w:hyperlink w:anchor="fig-sys">
        <w:r>
          <w:rPr>
            <w:rStyle w:val="Hyperlink"/>
          </w:rPr>
          <w:t xml:space="preserve">Figure 1</w:t>
        </w:r>
      </w:hyperlink>
      <w:r>
        <w:t xml:space="preserve">). Exactly how much the soil lags and dampens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may have led to leaf loss and hence increased radiation exposure of the soil surface, while stomatal behavior alters transpiration and hence soil moisture conditions. Strong</w:t>
      </w:r>
      <w:r>
        <w:t xml:space="preserve"> </w:t>
      </w:r>
      <w:r>
        <w:t xml:space="preserve">‘</w:t>
      </w:r>
      <w:r>
        <w:t xml:space="preserve">memory</w:t>
      </w:r>
      <w:r>
        <w:t xml:space="preserve">’</w:t>
      </w:r>
      <w:r>
        <w:t xml:space="preserve"> </w:t>
      </w:r>
      <w:r>
        <w:t xml:space="preserve">effects of past weather conditions can determine how a given heat wave manifests through a habitat, so the same atmospheric heat wave conditions can have different implications for microclimatic conditions depending on the recent history of rainfall and temperature. Despite the complexity and non-linearity of these interactions across the soil-plant-atmosphere continuum (SPAC), there is existing capacity, and growing potential, to model them and determine individual-specific exposure to extreme heat.</w:t>
      </w:r>
    </w:p>
    <w:p>
      <w:pPr>
        <w:pStyle w:val="BodyText"/>
      </w:pPr>
      <w:r>
        <w:t xml:space="preserve">To some extent, the GCMs described in the previous section have these dynamics built into them via modules called</w:t>
      </w:r>
      <w:r>
        <w:t xml:space="preserve"> </w:t>
      </w:r>
      <w:r>
        <w:t xml:space="preserve">‘</w:t>
      </w:r>
      <w:r>
        <w:t xml:space="preserve">land-surface models</w:t>
      </w:r>
      <w:r>
        <w:t xml:space="preserve">’</w:t>
      </w:r>
      <w:r>
        <w:t xml:space="preserve"> </w:t>
      </w:r>
      <w:r>
        <w:t xml:space="preserve">(LSMs), which aim to capture feedbacks between the land surface and associated vegetation. These LSMs will at minimum represent air, soil and canopy temperatures. LSMs that represent the plant canopy with multiple layers will represent the change in leaf temperature with canopy depth; models may also represent thermal gradients through the soil. Land surface schemes will typically do this using energy balance approaches. In contrast dynamic vegetation models may use simpler empirical regression approaches to estimate soil and understory temperatures</w:t>
      </w:r>
      <w:r>
        <w:t xml:space="preserve"> </w:t>
      </w:r>
      <w:r>
        <w:t xml:space="preserve">[e.g. 33]</w:t>
      </w:r>
      <w:r>
        <w:t xml:space="preserve">.</w:t>
      </w:r>
    </w:p>
    <w:p>
      <w:pPr>
        <w:pStyle w:val="BodyText"/>
      </w:pPr>
      <w:r>
        <w: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[leaf/plant-area index, leaf area index (LAI) and soil properties (thermal and hydraulic properties)] to predict how radiation, wind speed, air temperature, humidity, soil temperature and soil moisture vary on centimeter scales. The available models vary in the processes they incorporate and the extent that they use physical first principles</w:t>
      </w:r>
      <w:r>
        <w:t xml:space="preserve"> </w:t>
      </w:r>
      <w:r>
        <w:t xml:space="preserve">[34–40]</w:t>
      </w:r>
      <w:r>
        <w:t xml:space="preserve">. Our</w:t>
      </w:r>
      <w:r>
        <w:t xml:space="preserve"> </w:t>
      </w:r>
      <w:hyperlink r:id="rId28">
        <w:r>
          <w:rPr>
            <w:rStyle w:val="Hyperlink"/>
            <w:i/>
            <w:iCs/>
          </w:rPr>
          <w:t xml:space="preserve">Supplementary Online Material</w:t>
        </w:r>
      </w:hyperlink>
      <w:r>
        <w:t xml:space="preserve"> </w:t>
      </w:r>
      <w:r>
        <w:t xml:space="preserve">provides a tutorial on how to use the</w:t>
      </w:r>
      <w:r>
        <w:t xml:space="preserve"> </w:t>
      </w:r>
      <w:r>
        <w:rPr>
          <w:i/>
          <w:iCs/>
        </w:rPr>
        <w:t xml:space="preserve">NicheMapR</w:t>
      </w:r>
      <w:r>
        <w:t xml:space="preserve"> </w:t>
      </w:r>
      <w:r>
        <w:t xml:space="preserve">model</w:t>
      </w:r>
      <w:r>
        <w:t xml:space="preserve"> </w:t>
      </w:r>
      <w:r>
        <w:t xml:space="preserve">[34,36]</w:t>
      </w:r>
      <w:r>
        <w:t xml:space="preserve"> </w:t>
      </w:r>
      <w:r>
        <w:t xml:space="preserve">to predict microclimates from climate data.</w:t>
      </w:r>
    </w:p>
    <w:p>
      <w:pPr>
        <w:pStyle w:val="BodyText"/>
      </w:pPr>
      <w:r>
        <w:t xml:space="preserve">The above advanced create opportunities to more closely couple the dynamics of the atmosphere and vegetation with microclimate models. In particular, plant water use dynamics during heatwaves can amplify or reduce high temperatures via effects on photosynthetic capacity, stomatal decoupling, cuticular conductance, leaf damage and plant mortality. These impacts obviously are important for the plants themselves, but also for thermal regimes within the plant canopy. Thus, forecasting future thermal regimes also involves forecasting future vegetation dynamics, with interesting challenges that include interactions between high LAI and canopy shading</w:t>
      </w:r>
      <w:r>
        <w:t xml:space="preserve"> </w:t>
      </w:r>
      <w:r>
        <w:t xml:space="preserve">[41]</w:t>
      </w:r>
      <w:r>
        <w:t xml:space="preserve">.</w:t>
      </w:r>
    </w:p>
    <w:bookmarkEnd w:id="29"/>
    <w:bookmarkStart w:id="30" w:name="X5a6e6d313f4187bfc77082e5e5979262b26b081"/>
    <w:p>
      <w:pPr>
        <w:pStyle w:val="Heading1"/>
      </w:pPr>
      <w:r>
        <w:t xml:space="preserve">Translating exposure to organism temperature: biophysics to the rescue!</w:t>
      </w:r>
    </w:p>
    <w:p>
      <w:pPr>
        <w:pStyle w:val="FirstParagraph"/>
      </w:pPr>
      <w:r>
        <w:t xml:space="preserve">Once microclimates are quantified, it is now straight-forward to compute heat-budgets of organisms as a function of their traits using the principles of biophysical ecology. Biophysical models have a long history</w:t>
      </w:r>
      <w:r>
        <w:t xml:space="preserve"> </w:t>
      </w:r>
      <w:r>
        <w:t xml:space="preserve">[e.g. 42,43]</w:t>
      </w:r>
      <w:r>
        <w:t xml:space="preserve"> </w:t>
      </w:r>
      <w:r>
        <w:t xml:space="preserve">but have become more widely applied in ecology in the past 20 years, facilitated by developments in environmental datasets, microclimate modelling, and the emergence of high-level programming languages such as R</w:t>
      </w:r>
      <w:r>
        <w:t xml:space="preserve"> </w:t>
      </w:r>
      <w:r>
        <w:t xml:space="preserve">[20]</w:t>
      </w:r>
      <w:r>
        <w:t xml:space="preserve">. Biophysical models of ectothermic animals can account for complex radiative heat transfer and the role of evaporative water loss from the skin, breath and eyes</w:t>
      </w:r>
      <w:r>
        <w:t xml:space="preserve"> </w:t>
      </w:r>
      <w:r>
        <w:t xml:space="preserve">[34,44]</w:t>
      </w:r>
      <w:r>
        <w:t xml:space="preserve">. Equivalent models of leaves incorporate the dynamic role of stomata</w:t>
      </w:r>
      <w:r>
        <w:t xml:space="preserve"> </w:t>
      </w:r>
      <w:r>
        <w:t xml:space="preserve">[19,45]</w:t>
      </w:r>
      <w:r>
        <w:t xml:space="preserve">, while models of endotherms can account for the role of insulation and metabolic heat production</w:t>
      </w:r>
      <w:r>
        <w:t xml:space="preserve"> </w:t>
      </w:r>
      <w:r>
        <w:t xml:space="preserve">[46]</w:t>
      </w:r>
      <w:r>
        <w:t xml:space="preserve">. Future development in biophysical modelling of organismal temperature under extreme heat involves understanding the nuances of plastic physiological and behavioral responses. For example, lizards may pant when exposed to high temperatures</w:t>
      </w:r>
      <w:r>
        <w:t xml:space="preserve"> </w:t>
      </w:r>
      <w:r>
        <w:t xml:space="preserve">[47]</w:t>
      </w:r>
      <w:r>
        <w:t xml:space="preserve">, birds may</w:t>
      </w:r>
      <w:r>
        <w:t xml:space="preserve"> </w:t>
      </w:r>
      <w:r>
        <w:t xml:space="preserve">‘</w:t>
      </w:r>
      <w:r>
        <w:t xml:space="preserve">wind surf</w:t>
      </w:r>
      <w:r>
        <w:t xml:space="preserve">’</w:t>
      </w:r>
      <w:r>
        <w:t xml:space="preserve"> </w:t>
      </w:r>
      <w:r>
        <w:t xml:space="preserve">or seek thermal micro-refugia</w:t>
      </w:r>
      <w:r>
        <w:t xml:space="preserve"> </w:t>
      </w:r>
      <w:r>
        <w:t xml:space="preserve">[48]</w:t>
      </w:r>
      <w:r>
        <w:t xml:space="preserve">, and stomatal behavior may depart from the typical responses to vapor pressure and light intensity to allow emergency cooling</w:t>
      </w:r>
      <w:r>
        <w:t xml:space="preserve"> </w:t>
      </w:r>
      <w:r>
        <w:t xml:space="preserve">[49]</w:t>
      </w:r>
      <w:r>
        <w:t xml:space="preserve">, though this response may depend on prior soil moisture conditions</w:t>
      </w:r>
      <w:r>
        <w:t xml:space="preserve"> </w:t>
      </w:r>
      <w:r>
        <w:t xml:space="preserve">[50]</w:t>
      </w:r>
      <w:r>
        <w:t xml:space="preserve">. The application of biophysical heat budget models in concert with microclimate models can thus be used to infer differential exposure of members of a community to specific temperatures to predict relative exposure with different degrees of detail, from rank-order stress exposure to hourly trajectories that can be linked to physiological models of damage and repair.</w:t>
      </w:r>
    </w:p>
    <w:bookmarkEnd w:id="30"/>
    <w:bookmarkStart w:id="36" w:name="X752901143b666c2de4864497e2cadc133843d53"/>
    <w:p>
      <w:pPr>
        <w:pStyle w:val="Heading1"/>
      </w:pPr>
      <w:r>
        <w:t xml:space="preserve">Capturing the balance between physiological damage and repair to predict multi-species thermal sensitivity</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[21,51]</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[21,22]</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w:t>
      </w:r>
      <w:r>
        <w:t xml:space="preserve"> </w:t>
      </w:r>
      <w:r>
        <w:t xml:space="preserve">[22]</w:t>
      </w:r>
      <w:r>
        <w:t xml:space="preserve">. Endpoints are predicted by assuming the effect of time at a given temperature decreases survival or fertility exponentially</w:t>
      </w:r>
      <w:r>
        <w:t xml:space="preserve"> </w:t>
      </w:r>
      <w:r>
        <w:t xml:space="preserve">[11,12,21,51]</w:t>
      </w:r>
      <w:r>
        <w:t xml:space="preserve">. For example, Ørsted</w:t>
      </w:r>
      <w:r>
        <w:t xml:space="preserve"> </w:t>
      </w:r>
      <w:r>
        <w:rPr>
          <w:i/>
          <w:iCs/>
        </w:rPr>
        <w:t xml:space="preserve">et al.</w:t>
      </w:r>
      <w:r>
        <w:t xml:space="preserve"> </w:t>
      </w:r>
      <w:r>
        <w:t xml:space="preserve">[12]</w:t>
      </w:r>
      <w:r>
        <w:t xml:space="preserve"> </w:t>
      </w:r>
      <w:r>
        <w:t xml:space="preserve">show that both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[52,53]</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important for understanding how heat waves affect organisms because both processes can result in lagged responses to heat stress – a common feature of extreme heat events</w:t>
      </w:r>
      <w:r>
        <w:t xml:space="preserve"> </w:t>
      </w:r>
      <w:r>
        <w:t xml:space="preserve">[22,54]</w:t>
      </w:r>
      <w:r>
        <w:t xml:space="preserve">. Once the thermal sensitivity (i.e., the slope</w:t>
      </w:r>
      <w:r>
        <w:t xml:space="preserve"> </w:t>
      </w:r>
      <m:oMath>
        <m:r>
          <m:t>z</m:t>
        </m:r>
      </m:oMath>
      <w:r>
        <w:t xml:space="preserve">, Figure 1) for a particular endpoint has been quantified it can be used to predict the accumulation of damage during stressful temperatures experienced under realistic conditions</w:t>
      </w:r>
      <w:r>
        <w:t xml:space="preserve"> </w:t>
      </w:r>
      <w:r>
        <w:t xml:space="preserve">[11,12,22,51]</w:t>
      </w:r>
      <w:r>
        <w:t xml:space="preserve">. Several approaches can be used to capture the accumulation of damage</w:t>
      </w:r>
      <w:r>
        <w:t xml:space="preserve"> </w:t>
      </w:r>
      <w:r>
        <w:t xml:space="preserve">[11,12,51]</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31"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endChr m:val=")"/>
                      <m:sepChr m:val=""/>
                      <m:grow/>
                    </m:dPr>
                    <m:e>
                      <m:sSub>
                        <m:e>
                          <m:r>
                            <m:t>t</m:t>
                          </m:r>
                        </m:e>
                        <m:sub>
                          <m:r>
                            <m:t>i</m:t>
                          </m:r>
                          <m:r>
                            <m:rPr>
                              <m:sty m:val="p"/>
                            </m:rPr>
                            <m:t>+</m:t>
                          </m:r>
                          <m:r>
                            <m:t>1</m:t>
                          </m:r>
                        </m:sub>
                      </m:sSub>
                      <m:r>
                        <m:rPr>
                          <m:sty m:val="p"/>
                        </m:rPr>
                        <m:t>−</m:t>
                      </m:r>
                      <m:sSub>
                        <m:e>
                          <m:r>
                            <m:t>t</m:t>
                          </m:r>
                        </m:e>
                        <m:sub>
                          <m:r>
                            <m:t>i</m:t>
                          </m:r>
                        </m:sub>
                      </m:sSub>
                    </m:e>
                  </m:d>
                </m:num>
                <m:den>
                  <m:sSup>
                    <m:e>
                      <m:r>
                        <m:t>10</m:t>
                      </m:r>
                    </m:e>
                    <m:sup>
                      <m:d>
                        <m:dPr>
                          <m:begChr m:val="("/>
                          <m:endChr m:val=")"/>
                          <m:sepChr m:val=""/>
                          <m:grow/>
                        </m:dPr>
                        <m:e>
                          <m:r>
                            <m:rPr>
                              <m:sty m:val="p"/>
                            </m:rPr>
                            <m:t>−</m:t>
                          </m:r>
                          <m:f>
                            <m:fPr>
                              <m:type m:val="bar"/>
                            </m:fPr>
                            <m:num>
                              <m:r>
                                <m:t>1</m:t>
                              </m:r>
                            </m:num>
                            <m:den>
                              <m:r>
                                <m:t>z</m:t>
                              </m:r>
                            </m:den>
                          </m:f>
                          <m:r>
                            <m:rPr>
                              <m:sty m:val="p"/>
                            </m:rPr>
                            <m:t>⋅</m:t>
                          </m:r>
                          <m:r>
                            <m:t>m</m:t>
                          </m:r>
                          <m:r>
                            <m:t>a</m:t>
                          </m:r>
                          <m:r>
                            <m:t>x</m:t>
                          </m:r>
                          <m:d>
                            <m:dPr>
                              <m:begChr m:val="("/>
                              <m:endChr m:val=")"/>
                              <m:sep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endChr m:val=")"/>
              <m:sepChr m:val=""/>
              <m:grow/>
            </m:dPr>
            <m:e>
              <m:r>
                <m:t>1</m:t>
              </m:r>
            </m:e>
          </m:d>
        </m:oMath>
      </m:oMathPara>
      <w:bookmarkEnd w:id="31"/>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w:t>
      </w:r>
      <w:r>
        <w:t xml:space="preserve"> </w:t>
      </w:r>
      <w:r>
        <w:t xml:space="preserve">[22]</w:t>
      </w:r>
      <w:r>
        <w:t xml:space="preserve"> </w:t>
      </w:r>
      <w:r>
        <w:t xml:space="preserve">provide a framework for integrating damage and repair processes into these models more explicitly. Modelling the intricate balance between damage and repair for a suite of different species can help identify susceptible species, life stages and tissues that are most at risk from extreme heat events, which allows for more accurate predictions of the varying sensitivity of species across a community.</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1: Sensitivity to extreme heat is mediated by environmental feedbacks</w:t>
            </w:r>
          </w:p>
          <w:p>
            <w:pPr>
              <w:pStyle w:val="BodyText"/>
            </w:pPr>
            <w:pPr>
              <w:spacing w:before="16"/>
            </w:pPr>
            <w:r>
              <w:t xml:space="preserve">Natural and anthropogenic environments shape thermal sensitivity and should be considered in any systems modelling approach</w:t>
            </w:r>
            <w:r>
              <w:t xml:space="preserve"> </w:t>
            </w:r>
            <w:r>
              <w:t xml:space="preserve">[22]</w:t>
            </w:r>
            <w:r>
              <w:t xml:space="preserve">. Some examples across plant and animals include:</w:t>
            </w:r>
          </w:p>
          <w:p>
            <w:pPr>
              <w:pStyle w:val="BodyText"/>
            </w:pPr>
            <w:r>
              <w:rPr>
                <w:b/>
                <w:bCs/>
              </w:rPr>
              <w:t xml:space="preserve">Microbial Interactions</w:t>
            </w:r>
            <w:r>
              <w:t xml:space="preserve">: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w:t>
            </w:r>
            <w:r>
              <w:t xml:space="preserve"> </w:t>
            </w:r>
            <w:r>
              <w:t xml:space="preserve">[55–57]</w:t>
            </w:r>
            <w:r>
              <w:t xml:space="preserve"> </w:t>
            </w:r>
            <w:r>
              <w:t xml:space="preserve">(Box</w:t>
            </w:r>
            <w:r>
              <w:t xml:space="preserve"> </w:t>
            </w:r>
            <w:hyperlink w:anchor="fig-box1">
              <w:r>
                <w:rPr>
                  <w:rStyle w:val="Hyperlink"/>
                </w:rPr>
                <w:t xml:space="preserve">Figure 2</w:t>
              </w:r>
            </w:hyperlink>
            <w:r>
              <w:t xml:space="preserve">A). These interactions are usually achieved by stimulating the production of essential phytohormones, secondary metabolites, organic acids, and amino acids that helps the plant to mitigate heat stress</w:t>
            </w:r>
            <w:r>
              <w:t xml:space="preserve"> </w:t>
            </w:r>
            <w:r>
              <w:t xml:space="preserve">[58,59]</w:t>
            </w:r>
            <w:r>
              <w:t xml:space="preserve">. Heat tolerance in animals can also be influenced by gut mircobiota or other associted symbiotes. For example,</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[60]</w:t>
            </w:r>
            <w:r>
              <w:t xml:space="preserve"> </w:t>
            </w:r>
            <w:r>
              <w:t xml:space="preserve">(Box</w:t>
            </w:r>
            <w:r>
              <w:t xml:space="preserve"> </w:t>
            </w:r>
            <w:hyperlink w:anchor="fig-box1">
              <w:r>
                <w:rPr>
                  <w:rStyle w:val="Hyperlink"/>
                </w:rPr>
                <w:t xml:space="preserve">Figure 2</w:t>
              </w:r>
            </w:hyperlink>
            <w:r>
              <w:t xml:space="preserve">B). Moreover, this protective effect can influence the ability of the host to evolve further resistance to the heat shock and harboured more bacteria</w:t>
            </w:r>
            <w:r>
              <w:t xml:space="preserve"> </w:t>
            </w:r>
            <w:r>
              <w:t xml:space="preserve">[61]</w:t>
            </w:r>
            <w:r>
              <w:t xml:space="preserve">.</w:t>
            </w:r>
          </w:p>
          <w:p>
            <w:pPr>
              <w:pStyle w:val="BodyText"/>
            </w:pPr>
            <w:r>
              <w:rPr>
                <w:b/>
                <w:bCs/>
              </w:rPr>
              <w:t xml:space="preserve">Drought and Water Stress</w:t>
            </w:r>
            <w:r>
              <w:t xml:space="preserve">: Drought, often associated with periods of extreme heat, can reduce thermal tolerance in plants by impacting their ability to cool through transpiration leading to leaf damage</w:t>
            </w:r>
            <w:r>
              <w:t xml:space="preserve"> </w:t>
            </w:r>
            <w:r>
              <w:t xml:space="preserve">[62]</w:t>
            </w:r>
            <w:r>
              <w:t xml:space="preserve"> </w:t>
            </w:r>
            <w:r>
              <w:t xml:space="preserve">(Box</w:t>
            </w:r>
            <w:r>
              <w:t xml:space="preserve"> </w:t>
            </w:r>
            <w:hyperlink w:anchor="fig-box1">
              <w:r>
                <w:rPr>
                  <w:rStyle w:val="Hyperlink"/>
                </w:rPr>
                <w:t xml:space="preserve">Figure 2</w:t>
              </w:r>
            </w:hyperlink>
            <w:r>
              <w:t xml:space="preserve">C). Extended periods of water stress (e.g., several days or more) have also been shown to increase thermal sensitivity in insects, reducing the time they could deal with extreme heat</w:t>
            </w:r>
            <w:r>
              <w:t xml:space="preserve"> </w:t>
            </w:r>
            <w:r>
              <w:t xml:space="preserve">[63]</w:t>
            </w:r>
            <w:r>
              <w:t xml:space="preserve"> </w:t>
            </w:r>
            <w:r>
              <w:t xml:space="preserve">(Box</w:t>
            </w:r>
            <w:r>
              <w:t xml:space="preserve"> </w:t>
            </w:r>
            <w:hyperlink w:anchor="fig-box1">
              <w:r>
                <w:rPr>
                  <w:rStyle w:val="Hyperlink"/>
                </w:rPr>
                <w:t xml:space="preserve">Figure 2</w:t>
              </w:r>
            </w:hyperlink>
            <w:r>
              <w:t xml:space="preserve">D).</w:t>
            </w:r>
          </w:p>
          <w:p>
            <w:pPr>
              <w:pStyle w:val="BodyText"/>
            </w:pPr>
            <w:r>
              <w:rPr>
                <w:b/>
                <w:bCs/>
              </w:rPr>
              <w:t xml:space="preserve">Nutrition and Diet</w:t>
            </w:r>
            <w:r>
              <w:t xml:space="preserve">: Nutritional composition of the diet has also been shown to affect heat tolerance in insects and plants, possibly through the modification of lipid membranes, substrate availability for ATP synthesis, availability of key amino acids and/or alleviating oxidative stress.</w:t>
            </w:r>
            <w:r>
              <w:t xml:space="preserve"> </w:t>
            </w:r>
            <w:r>
              <w:t xml:space="preserve">[64]</w:t>
            </w:r>
            <w:r>
              <w:t xml:space="preserve"> </w:t>
            </w:r>
            <w:r>
              <w:t xml:space="preserve">show how supplementation of a key mineral, magnesium (Mg), can improve heat tolerance in maize and wheat, with visual leaf damage being aggravated in both species under heat stress when in low supply resulting from increased oxidative cellular damage (Box</w:t>
            </w:r>
            <w:r>
              <w:t xml:space="preserve"> </w:t>
            </w:r>
            <w:hyperlink w:anchor="fig-box1">
              <w:r>
                <w:rPr>
                  <w:rStyle w:val="Hyperlink"/>
                </w:rPr>
                <w:t xml:space="preserve">Figure 2</w:t>
              </w:r>
            </w:hyperlink>
            <w:r>
              <w:t xml:space="preserve">E). In</w:t>
            </w:r>
            <w:r>
              <w:t xml:space="preserve"> </w:t>
            </w:r>
            <w:r>
              <w:rPr>
                <w:i/>
                <w:iCs/>
              </w:rPr>
              <w:t xml:space="preserve">Drosophila melanogaster</w:t>
            </w:r>
            <w:r>
              <w:t xml:space="preserve"> </w:t>
            </w:r>
            <w:r>
              <w:t xml:space="preserve">larvae fed a diet with high protein content were also able to withstand higher temperatures than those fed a high carbohydrate diet, with some evidence for sex-dependent effects</w:t>
            </w:r>
            <w:r>
              <w:t xml:space="preserve"> </w:t>
            </w:r>
            <w:r>
              <w:t xml:space="preserve">[65]</w:t>
            </w:r>
            <w:r>
              <w:t xml:space="preserve"> </w:t>
            </w:r>
            <w:r>
              <w:t xml:space="preserve">(Box</w:t>
            </w:r>
            <w:r>
              <w:t xml:space="preserve"> </w:t>
            </w:r>
            <w:hyperlink w:anchor="fig-box1">
              <w:r>
                <w:rPr>
                  <w:rStyle w:val="Hyperlink"/>
                </w:rPr>
                <w:t xml:space="preserve">Figure 2</w:t>
              </w:r>
            </w:hyperlink>
            <w:r>
              <w:t xml:space="preserve">F).</w:t>
            </w:r>
          </w:p>
          <w:p>
            <w:pPr>
              <w:pStyle w:val="BodyText"/>
            </w:pPr>
            <w:r>
              <w:t xml:space="preserve">The above list is not exhaustive, and other environmental stressors, such as pollution, salinity, and heavy metals, in addition to interactions between those environmental stressors above, can also impact thermal sensitivity</w:t>
            </w:r>
            <w:r>
              <w:t xml:space="preserve"> </w:t>
            </w:r>
            <w:r>
              <w:t xml:space="preserve">[22,54]</w:t>
            </w:r>
            <w:r>
              <w:t xml:space="preserve">.</w:t>
            </w:r>
          </w:p>
          <w:tbl>
            <w:tblPr>
              <w:tblStyle w:val="Table"/>
              <w:tblW w:type="pct" w:w="5000"/>
              <w:tblLayout w:type="fixed"/>
              <w:tblLook w:firstRow="0" w:lastRow="0" w:firstColumn="0" w:lastColumn="0" w:noHBand="0" w:noVBand="0" w:val="0000"/>
            </w:tblPr>
            <w:tblGrid>
              <w:gridCol w:w="7920"/>
            </w:tblGrid>
            <w:tr>
              <w:tc>
                <w:tcPr/>
                <w:bookmarkStart w:id="35" w:name="fig-box1"/>
                <w:p>
                  <w:pPr>
                    <w:pStyle w:val="Compact"/>
                    <w:jc w:val="center"/>
                  </w:pPr>
                  <w:r>
                    <w:drawing>
                      <wp:inline>
                        <wp:extent cx="6096000" cy="4876800"/>
                        <wp:effectExtent b="0" l="0" r="0" t="0"/>
                        <wp:docPr descr="" title="" id="33" name="Picture"/>
                        <a:graphic>
                          <a:graphicData uri="http://schemas.openxmlformats.org/drawingml/2006/picture">
                            <pic:pic>
                              <pic:nvPicPr>
                                <pic:cNvPr descr="ms_files/figure-docx/fig-box1-1.png" id="34" name="Picture"/>
                                <pic:cNvPicPr>
                                  <a:picLocks noChangeArrowheads="1" noChangeAspect="1"/>
                                </pic:cNvPicPr>
                              </pic:nvPicPr>
                              <pic:blipFill>
                                <a:blip r:embed="rId3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w:t>
                  </w:r>
                </w:p>
                <w:bookmarkEnd w:id="35"/>
              </w:tc>
            </w:tr>
          </w:tbl>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Glossary</w:t>
            </w:r>
          </w:p>
          <w:p>
            <w:pPr>
              <w:pStyle w:val="BodyText"/>
            </w:pPr>
            <w:pPr>
              <w:spacing w:before="16"/>
            </w:pPr>
            <w:r>
              <w:rPr>
                <w:b/>
                <w:bCs/>
              </w:rPr>
              <w:t xml:space="preserve">Coexistence</w:t>
            </w:r>
            <w:r>
              <w:t xml:space="preserve">: Coexistence occurs when two species are able to persist in each others presence indefinitely under constant, equilibrium conditions. While highly variable natural environments compromise these assumptions, coexistence models still have a lot of potential as tools for exploring whole community responses to extreme events</w:t>
            </w:r>
          </w:p>
          <w:p>
            <w:pPr>
              <w:pStyle w:val="BodyText"/>
            </w:pPr>
            <w:r>
              <w:rPr>
                <w:b/>
                <w:bCs/>
              </w:rPr>
              <w:t xml:space="preserve">Microclimate</w:t>
            </w:r>
            <w:r>
              <w:t xml:space="preserve">: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pPr>
              <w:pStyle w:val="BodyText"/>
            </w:pPr>
            <w:pPr>
              <w:spacing w:after="16"/>
            </w:pPr>
            <w:r>
              <w:rPr>
                <w:b/>
                <w:bCs/>
              </w:rPr>
              <w:t xml:space="preserve">Functional traits</w:t>
            </w:r>
            <w:r>
              <w:t xml:space="preserve">: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tc>
      </w:tr>
    </w:tbl>
    <w:bookmarkEnd w:id="36"/>
    <w:bookmarkStart w:id="37" w:name="Xd0cd64f0f8eecda3c17ee56ce2248b9a39e3d6a"/>
    <w:p>
      <w:pPr>
        <w:pStyle w:val="Heading1"/>
      </w:pPr>
      <w:r>
        <w:t xml:space="preserve">Dynamic Energy Budget (DEB) models that capture the effects of extreme heat across life</w:t>
      </w:r>
    </w:p>
    <w:p>
      <w:pPr>
        <w:pStyle w:val="FirstParagraph"/>
      </w:pPr>
      <w:r>
        <w:t xml:space="preserve">Dynamic Energy Budget (DEB) models are physiologically explicit life-cycle models of energy and mass uptake and conversion that predict key life-history transitions, growth, reproduction and survival through time</w:t>
      </w:r>
      <w:r>
        <w:t xml:space="preserve"> </w:t>
      </w:r>
      <w:r>
        <w:t xml:space="preserve">[16,66]</w:t>
      </w:r>
      <w:r>
        <w:t xml:space="preserve">. DEB models consider organisms as a thermodynamic system (adhering to energy-mass balance) capturing the exchange of food, water, respiratory gases and metabolic waste throughout the life cycle</w:t>
      </w:r>
      <w:r>
        <w:t xml:space="preserve"> </w:t>
      </w:r>
      <w:r>
        <w:t xml:space="preserve">[20]</w:t>
      </w:r>
      <w:r>
        <w:t xml:space="preserve">. DEB models can translate short-term (hourly) variation in factors, such as temperature, toxins (e.g., toxicants,</w:t>
      </w:r>
      <w:r>
        <w:t xml:space="preserve"> </w:t>
      </w:r>
      <w:r>
        <w:t xml:space="preserve">[68]</w:t>
      </w:r>
      <w:r>
        <w:t xml:space="preserve">) and resource availability (nutrients)</w:t>
      </w:r>
      <w:r>
        <w:t xml:space="preserve"> </w:t>
      </w:r>
      <w:r>
        <w:t xml:space="preserve">[69,70]</w:t>
      </w:r>
      <w:r>
        <w:t xml:space="preserve"> </w:t>
      </w:r>
      <w:r>
        <w:t xml:space="preserve">into long-term (days, months, years) effects on development, growth, reproduction and survival</w:t>
      </w:r>
      <w:r>
        <w:t xml:space="preserve"> </w:t>
      </w:r>
      <w:r>
        <w:t xml:space="preserve">[17,20]</w:t>
      </w:r>
      <w:r>
        <w:t xml:space="preserve">, though they have been applied to plants much less than for animal and microbial systems</w:t>
      </w:r>
      <w:r>
        <w:t xml:space="preserve">[71]</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of an organism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[72,73]</w:t>
      </w:r>
      <w:r>
        <w:t xml:space="preserve"> </w:t>
      </w:r>
      <w:r>
        <w:t xml:space="preserve">and approaches for using DEB theory to model plant growth and performance are being developed</w:t>
      </w:r>
      <w:r>
        <w:t xml:space="preserve"> </w:t>
      </w:r>
      <w:r>
        <w:t xml:space="preserve">[71]</w:t>
      </w:r>
      <w:r>
        <w:t xml:space="preserve">. New analytical approaches using phylogenetic imputation methods allow for models to be developed independently for all species even when data are lacking. These methods show promise in predicting DEB parameters for over 1.3 million species</w:t>
      </w:r>
      <w:r>
        <w:t xml:space="preserve"> </w:t>
      </w:r>
      <w:r>
        <w:t xml:space="preserve">[see, 74]</w:t>
      </w:r>
      <w:r>
        <w:t xml:space="preserve">. In addition, software packages such as</w:t>
      </w:r>
      <w:r>
        <w:t xml:space="preserve"> </w:t>
      </w:r>
      <w:r>
        <w:rPr>
          <w:i/>
          <w:iCs/>
        </w:rPr>
        <w:t xml:space="preserve">NicheMapR</w:t>
      </w:r>
      <w:r>
        <w:t xml:space="preserve"> </w:t>
      </w:r>
      <w:r>
        <w:t xml:space="preserve">[34,75]</w:t>
      </w:r>
      <w:r>
        <w:t xml:space="preserve"> </w:t>
      </w:r>
      <w:r>
        <w:t xml:space="preserve">allow for simulations of life-cycles using parameters for diverse species. From these models key outputs on organisms such as body mass and size, reproductive success and events, along with survival can be used to parameterize vital rates needed for population and community models.</w:t>
      </w:r>
    </w:p>
    <w:bookmarkEnd w:id="37"/>
    <w:bookmarkStart w:id="39" w:name="Xe20b556bb99a49ef81dd5b1307d42fae8e49e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w:t>
      </w:r>
    </w:p>
    <w:p>
      <w:pPr>
        <w:pStyle w:val="FirstParagraph"/>
      </w:pPr>
      <w:r>
        <w:t xml:space="preserve">Coexistence frameworks offer an intriguing approach for how to bring the many elements discussed above together to understand whole community responses to extreme climate events. Modern coexistence theory [MCT;</w:t>
      </w:r>
      <w:r>
        <w:t xml:space="preserve"> </w:t>
      </w:r>
      <w:r>
        <w:t xml:space="preserve">[76]</w:t>
      </w:r>
      <w:r>
        <w:t xml:space="preserve">] uses simple two-species individual-based population growth models, such as Beverton-Holt or Ricker models</w:t>
      </w:r>
      <w:r>
        <w:t xml:space="preserve"> </w:t>
      </w:r>
      <w:r>
        <w:t xml:space="preserve">[77,78]</w:t>
      </w:r>
      <w:r>
        <w:t xml:space="preserve">, to determine how interactions between species at the individual level lead to indefinite</w:t>
      </w:r>
      <w:r>
        <w:t xml:space="preserve"> </w:t>
      </w:r>
      <w:r>
        <w:t xml:space="preserve">“</w:t>
      </w:r>
      <w:r>
        <w:rPr>
          <w:b/>
          <w:bCs/>
        </w:rPr>
        <w:t xml:space="preserve">coexistence</w:t>
      </w:r>
      <w:r>
        <w:t xml:space="preserve">”</w:t>
      </w:r>
      <w:r>
        <w:t xml:space="preserve">.</w:t>
      </w:r>
    </w:p>
    <w:p>
      <w:pPr>
        <w:pStyle w:val="BodyText"/>
      </w:pPr>
      <w:r>
        <w:t xml:space="preserve">The population growth models used in coexistence frameworks are best suited to sessile organisms, like plants,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w:t>
      </w:r>
      <w:r>
        <w:t xml:space="preserve"> </w:t>
      </w:r>
      <w:r>
        <w:t xml:space="preserve">[e.g., 24]</w:t>
      </w:r>
      <w:r>
        <w:t xml:space="preserve">. Another useful advancement is the development of horizontal network models parameterized with outcomes of population dynamical models</w:t>
      </w:r>
      <w:r>
        <w:t xml:space="preserve"> </w:t>
      </w:r>
      <w:r>
        <w:t xml:space="preserve">[79]</w:t>
      </w:r>
      <w:r>
        <w:t xml:space="preserve">.</w:t>
      </w:r>
    </w:p>
    <w:p>
      <w:pPr>
        <w:pStyle w:val="BodyText"/>
      </w:pPr>
      <w:r>
        <w:t xml:space="preserve">What population dynamic models do is calculate the individual fitness effect of interactions</w:t>
      </w:r>
      <w:r>
        <w:t xml:space="preserve"> </w:t>
      </w:r>
      <w:r>
        <w:t xml:space="preserve">[80]</w:t>
      </w:r>
      <w:r>
        <w:t xml:space="preserve">. These models can incorporate variation in the environment</w:t>
      </w:r>
      <w:r>
        <w:t xml:space="preserve"> </w:t>
      </w:r>
      <w:r>
        <w:t xml:space="preserve">[23]</w:t>
      </w:r>
      <w:r>
        <w:t xml:space="preserve"> </w:t>
      </w:r>
      <w:r>
        <w:t xml:space="preserve">and in the outcome of interactions themselves</w:t>
      </w:r>
      <w:r>
        <w:t xml:space="preserve"> </w:t>
      </w:r>
      <w:r>
        <w:t xml:space="preserve">[81]</w:t>
      </w:r>
      <w:r>
        <w:t xml:space="preserve">. As these models use the same fitness measures as DEB models they offer a population modelling framework to add thermal biology to community diversity predictions. This is because population dynamical models can be put together, for example as networks</w:t>
      </w:r>
      <w:r>
        <w:t xml:space="preserve"> </w:t>
      </w:r>
      <w:r>
        <w:t xml:space="preserve">[79]</w:t>
      </w:r>
      <w:r>
        <w:t xml:space="preserve"> </w:t>
      </w:r>
      <w:r>
        <w:t xml:space="preserve">and compared between microsites with different biophysical properties and composed of species with different thermal responses to their microenvironment. For example,</w:t>
      </w:r>
      <w:r>
        <w:t xml:space="preserve"> </w:t>
      </w:r>
      <w:r>
        <w:t xml:space="preserve">[79]</w:t>
      </w:r>
      <w:r>
        <w:t xml:space="preserve">, used this approach to determine which species were keystone species under shady and sunny portions of the same plant communities.</w:t>
      </w:r>
    </w:p>
    <w:p>
      <w:pPr>
        <w:pStyle w:val="BodyText"/>
      </w:pPr>
      <w:r>
        <w:t xml:space="preserve">Modified vital rate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establish</w:t>
      </w:r>
      <w:r>
        <w:t xml:space="preserve"> </w:t>
      </w:r>
      <w:r>
        <w:rPr>
          <w:b/>
          <w:bCs/>
        </w:rPr>
        <w:t xml:space="preserve">functional traits</w:t>
      </w:r>
      <w:r>
        <w:t xml:space="preserve">, which at a community scale can be used to categorize species with different response and effect profiles. Horizontal interaction networks can them be developed for microclimates with different biophysical properties from which plants (defined by their fitness responses to their thermal environment) can be identified that have particularly types of interaction effects or responses during extreme heat events, or areas with particular thermal landscapes. The limitation of these methods is that they are data hungry, but even this can be handled by categorizing species by</w:t>
      </w:r>
      <w:r>
        <w:t xml:space="preserve"> </w:t>
      </w:r>
      <w:r>
        <w:t xml:space="preserve">‘</w:t>
      </w:r>
      <w:r>
        <w:t xml:space="preserve">trait</w:t>
      </w:r>
      <w:r>
        <w:t xml:space="preserve">’</w:t>
      </w:r>
      <w:r>
        <w:t xml:space="preserve"> </w:t>
      </w:r>
      <w:r>
        <w:t xml:space="preserve">which has been shown to be an effective way of reducing model complexity without sacrificing accuracy</w:t>
      </w:r>
      <w:r>
        <w:t xml:space="preserve"> </w:t>
      </w:r>
      <w:r>
        <w:t xml:space="preserve">[82]</w:t>
      </w:r>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2: Integrating eco-evolutionary feedbacks within a systems-modelling framework</w:t>
            </w:r>
          </w:p>
          <w:p>
            <w:pPr>
              <w:pStyle w:val="BodyText"/>
            </w:pPr>
            <w:pPr>
              <w:spacing w:before="16"/>
            </w:pPr>
            <w:r>
              <w:t xml:space="preserve">Extreme environments both impact trait development and act as a potent selective force triggering evolutionary change in populations</w:t>
            </w:r>
            <w:r>
              <w:t xml:space="preserve"> </w:t>
            </w:r>
            <w:r>
              <w:t xml:space="preserve">[83–85]</w:t>
            </w:r>
            <w:r>
              <w:t xml:space="preserve">.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w:t>
            </w:r>
            <w:r>
              <w:t xml:space="preserve"> </w:t>
            </w:r>
            <w:r>
              <w:t xml:space="preserve">[83]</w:t>
            </w:r>
            <w:r>
              <w:t xml:space="preserve">.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w:t>
            </w:r>
            <w:r>
              <w:t xml:space="preserve"> </w:t>
            </w:r>
            <w:r>
              <w:t xml:space="preserve">[84,86–89]</w:t>
            </w:r>
            <w:r>
              <w:t xml:space="preserve">.</w:t>
            </w:r>
          </w:p>
          <w:p>
            <w:pPr>
              <w:pStyle w:val="BodyText"/>
            </w:pPr>
            <w:r>
              <w:t xml:space="preserve">Plasticity and evolution can be incorporated into a systems modelling framework by allowing environments to govern</w:t>
            </w:r>
            <w:r>
              <w:t xml:space="preserve"> </w:t>
            </w:r>
            <w:r>
              <w:t xml:space="preserve">‘</w:t>
            </w:r>
            <w:r>
              <w:t xml:space="preserve">trait</w:t>
            </w:r>
            <w:r>
              <w:t xml:space="preserve">’</w:t>
            </w:r>
            <w:r>
              <w:t xml:space="preserve"> </w:t>
            </w:r>
            <w:r>
              <w:t xml:space="preserve">development (plasticity) and by incorporating selection and genetic (co)variance estimates for</w:t>
            </w:r>
            <w:r>
              <w:t xml:space="preserve"> </w:t>
            </w:r>
            <w:r>
              <w:t xml:space="preserve">‘</w:t>
            </w:r>
            <w:r>
              <w:t xml:space="preserve">traits</w:t>
            </w:r>
            <w:r>
              <w:t xml:space="preserve">’</w:t>
            </w:r>
            <w:r>
              <w:t xml:space="preserve"> </w:t>
            </w:r>
            <w:r>
              <w:t xml:space="preserve">within these models (evolution). We speak of</w:t>
            </w:r>
            <w:r>
              <w:t xml:space="preserve"> </w:t>
            </w:r>
            <w:r>
              <w:t xml:space="preserve">‘</w:t>
            </w:r>
            <w:r>
              <w:t xml:space="preserve">traits</w:t>
            </w:r>
            <w:r>
              <w:t xml:space="preserve">’</w:t>
            </w:r>
            <w:r>
              <w:t xml:space="preserve"> </w:t>
            </w:r>
            <w:r>
              <w:t xml:space="preserve">broadly here because these need not be traits typically thought of by evolutionary ecologists (e.g., body mass, morphology). Rather,</w:t>
            </w:r>
            <w:r>
              <w:t xml:space="preserve"> </w:t>
            </w:r>
            <w:r>
              <w:t xml:space="preserve">‘</w:t>
            </w:r>
            <w:r>
              <w:t xml:space="preserve">traits</w:t>
            </w:r>
            <w:r>
              <w:t xml:space="preserve">’</w:t>
            </w:r>
            <w:r>
              <w:t xml:space="preserve"> </w:t>
            </w:r>
            <w:r>
              <w:t xml:space="preserve">can also include the parameters within models (e.g., DEB parameters) that allow functional traits to emerge</w:t>
            </w:r>
            <w:r>
              <w:t xml:space="preserve"> </w:t>
            </w:r>
            <w:r>
              <w:t xml:space="preserve">[90]</w:t>
            </w:r>
            <w:r>
              <w:t xml:space="preserve">. Plasticity can be captured by mapping trait development to the environment. In contrast, evolutionary change takes place in multivariate trait space where genetic variance and covariance between traits (i.e., constraints) along with varying patterns of selection can be used to predcit trait change across generations. One way to make such predictions is by using the multivariate breeders equation</w:t>
            </w:r>
            <w:r>
              <w:t xml:space="preserve"> </w:t>
            </w:r>
            <w:r>
              <w:t xml:space="preserve">[91]</w:t>
            </w:r>
            <w:r>
              <w:t xml:space="preserve">:</w:t>
            </w:r>
          </w:p>
          <w:p>
            <w:pPr>
              <w:pStyle w:val="BodyText"/>
            </w:pPr>
            <w:bookmarkStart w:id="38"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endChr m:val=")"/>
                    <m:sepChr m:val=""/>
                    <m:grow/>
                  </m:dPr>
                  <m:e>
                    <m:r>
                      <m:t>2</m:t>
                    </m:r>
                  </m:e>
                </m:d>
              </m:oMath>
            </m:oMathPara>
            <w:bookmarkEnd w:id="38"/>
          </w:p>
          <w:p>
            <w:pPr>
              <w:pStyle w:val="FirstParagraph"/>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[92]</w:t>
            </w:r>
            <w:r>
              <w:t xml:space="preserve">). While the multivariate breeders equation can be useful for predicting short term evolutionary responses (i.e., one or a few generations) it is likely limited in predictive power over longer timespans because of changes in heritability and selection through time</w:t>
            </w:r>
            <w:r>
              <w:t xml:space="preserve"> </w:t>
            </w:r>
            <w:r>
              <w:t xml:space="preserve">[85,92]</w:t>
            </w:r>
            <w:r>
              <w:t xml:space="preserve">.</w:t>
            </w:r>
          </w:p>
          <w:p>
            <w:pPr>
              <w:pStyle w:val="BodyText"/>
            </w:pPr>
            <w:pPr>
              <w:spacing w:after="16"/>
            </w:pPr>
            <w:r>
              <w:t xml:space="preserve">Measuring and incorporating both plasticity and evolution into our proposed systems modelling framework is challenging because such models usually focus on one or a few</w:t>
            </w:r>
            <w:r>
              <w:t xml:space="preserve"> </w:t>
            </w:r>
            <w:r>
              <w:t xml:space="preserve">‘</w:t>
            </w:r>
            <w:r>
              <w:t xml:space="preserve">traits</w:t>
            </w:r>
            <w:r>
              <w:t xml:space="preserve">’</w:t>
            </w:r>
            <w:r>
              <w:t xml:space="preserve">. Studies that have attempted to measure plasticity and evolutionary potential in traits demonstrate how such processes can shape outcomes in important ways</w:t>
            </w:r>
            <w:r>
              <w:t xml:space="preserve"> </w:t>
            </w:r>
            <w:r>
              <w:t xml:space="preserve">[63,93–97]</w:t>
            </w:r>
            <w:r>
              <w:t xml:space="preserve">. For example, using isogenic lines of</w:t>
            </w:r>
            <w:r>
              <w:t xml:space="preserve"> </w:t>
            </w:r>
            <w:r>
              <w:rPr>
                <w:i/>
                <w:iCs/>
              </w:rPr>
              <w:t xml:space="preserve">Drosophia melanogaster</w:t>
            </w:r>
            <w:r>
              <w:t xml:space="preserve">,</w:t>
            </w:r>
            <w:r>
              <w:t xml:space="preserve"> </w:t>
            </w:r>
            <w:r>
              <w:t xml:space="preserve">[97]</w:t>
            </w:r>
            <w:r>
              <w:t xml:space="preserve"> </w:t>
            </w:r>
            <w:r>
              <w:t xml:space="preserve">show evidence for genetic variation in both upper thermal limits (</w:t>
            </w:r>
            <m:oMath>
              <m:r>
                <m:t>C</m:t>
              </m:r>
              <m:sSub>
                <m:e>
                  <m:r>
                    <m:t>T</m:t>
                  </m:r>
                </m:e>
                <m:sub>
                  <m:r>
                    <m:t>m</m:t>
                  </m:r>
                  <m:r>
                    <m:t>a</m:t>
                  </m:r>
                  <m:r>
                    <m:t>x</m:t>
                  </m:r>
                </m:sub>
              </m:sSub>
            </m:oMath>
            <w:r>
              <w:t xml:space="preserve">) and thermal sensitivity (i.e,</w:t>
            </w:r>
            <w:r>
              <w:t xml:space="preserve"> </w:t>
            </w:r>
            <m:oMath>
              <m:r>
                <m:t>z</m:t>
              </m:r>
            </m:oMath>
            <w:r>
              <w:t xml:space="preserve">, slope from TDT curves) using a TDT framework. Simulations also show that selection on one parameter will also induce changes in the other. Additionally, thermal sensitivity in</w:t>
            </w:r>
            <w:r>
              <w:t xml:space="preserve"> </w:t>
            </w:r>
            <w:r>
              <w:rPr>
                <w:i/>
                <w:iCs/>
              </w:rPr>
              <w:t xml:space="preserve">Drosophia</w:t>
            </w:r>
            <w:r>
              <w:t xml:space="preserve"> </w:t>
            </w:r>
            <w:r>
              <w:t xml:space="preserve">species is also known to respond plastically to temperature</w:t>
            </w:r>
            <w:r>
              <w:t xml:space="preserve"> </w:t>
            </w:r>
            <w:r>
              <w:t xml:space="preserve">[93]</w:t>
            </w:r>
            <w:r>
              <w:t xml:space="preserve">. In the alpine plant</w:t>
            </w:r>
            <w:r>
              <w:t xml:space="preserve"> </w:t>
            </w:r>
            <w:r>
              <w:rPr>
                <w:i/>
                <w:iCs/>
              </w:rPr>
              <w:t xml:space="preserve">Wahlenbergia ceracea</w:t>
            </w:r>
            <w:r>
              <w:t xml:space="preserve"> </w:t>
            </w:r>
            <w:r>
              <w:t xml:space="preserve">despite ample plasticity in response to warming there is little genetic variation in plasticity, thus adaptive evolution of plasticity in response to extreme heat is unlikely</w:t>
            </w:r>
            <w:r>
              <w:t xml:space="preserve"> </w:t>
            </w:r>
            <w:r>
              <w:t xml:space="preserve">[98]</w:t>
            </w:r>
            <w:r>
              <w:t xml:space="preserve">. Indeed, few studies have attempted to quantify genetic variation in plasticity in response to warming, never mind extreme heat events, and among those that have there is little evidence that such plasticity is adaptive</w:t>
            </w:r>
            <w:r>
              <w:t xml:space="preserve"> </w:t>
            </w:r>
            <w:r>
              <w:t xml:space="preserve">[98,99]</w:t>
            </w:r>
            <w:r>
              <w:t xml:space="preserve">. One challenge in assessing the adaptive evolution of plasticity is that trait values themselves are also under selection in the different environments that elicit the plasticity; thus selection on plasticity reflects both selection on trait means in a given environment and selection on the full range of phenotypes across environments</w:t>
            </w:r>
            <w:r>
              <w:t xml:space="preserve"> </w:t>
            </w:r>
            <w:r>
              <w:t xml:space="preserve">[91,98]</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3: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[100]</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[101]</w:t>
            </w:r>
            <w:r>
              <w:t xml:space="preserve">. Thermal stressors may even influence producers’ psychological beliefs about their level of control over land management, and perceived resources available for management practices</w:t>
            </w:r>
            <w:r>
              <w:t xml:space="preserve"> </w:t>
            </w:r>
            <w:r>
              <w:t xml:space="preserve">[102]</w:t>
            </w:r>
            <w:r>
              <w:t xml:space="preserve">. Thermal risks to ecosystems may also precipitate declines in individual wellbeing, and these consequences may accrue differently across regions and across peoples</w:t>
            </w:r>
            <w:r>
              <w:t xml:space="preserve"> </w:t>
            </w:r>
            <w:r>
              <w:t xml:space="preserve">[103]</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[104,105]</w:t>
            </w:r>
            <w:r>
              <w:t xml:space="preserve">. On the other hand, adapting thermal risks in upper stream producers may also be influenced by the perception and behavior of downstream consumers</w:t>
            </w:r>
            <w:r>
              <w:t xml:space="preserve"> </w:t>
            </w:r>
            <w:r>
              <w:t xml:space="preserve">[106]</w:t>
            </w:r>
            <w:r>
              <w:t xml:space="preserve">. The cascading</w:t>
            </w:r>
            <w:r>
              <w:t xml:space="preserve"> </w:t>
            </w:r>
            <w:r>
              <w:t xml:space="preserve">[107]</w:t>
            </w:r>
            <w:r>
              <w:t xml:space="preserve"> </w:t>
            </w:r>
            <w:r>
              <w:t xml:space="preserve">and telecoupled</w:t>
            </w:r>
            <w:r>
              <w:t xml:space="preserve"> </w:t>
            </w:r>
            <w:r>
              <w:t xml:space="preserve">[108]</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[109]</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[110]</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[111]</w:t>
            </w:r>
            <w:r>
              <w:t xml:space="preserve">. Social-ecological models aim to capture the social systems, natural systems and their interactions</w:t>
            </w:r>
            <w:r>
              <w:t xml:space="preserve"> </w:t>
            </w:r>
            <w:r>
              <w:t xml:space="preserve">[112]</w:t>
            </w:r>
            <w:r>
              <w:t xml:space="preserve">. Such models can display non-trivial emergent behavior resulting from complex interactions within the social-ecological systems. For example, responding to decreased productivity from thermal stress by farming more intensively could lead to a maladaptation or</w:t>
            </w:r>
            <w:r>
              <w:t xml:space="preserve"> </w:t>
            </w:r>
            <w:r>
              <w:t xml:space="preserve">‘</w:t>
            </w:r>
            <w:r>
              <w:t xml:space="preserve">lock-in</w:t>
            </w:r>
            <w:r>
              <w:t xml:space="preserve">’</w:t>
            </w:r>
            <w:r>
              <w:t xml:space="preserve"> </w:t>
            </w:r>
            <w:r>
              <w:t xml:space="preserve">from which it is difficult to escape</w:t>
            </w:r>
            <w:r>
              <w:t xml:space="preserve"> </w:t>
            </w:r>
            <w:r>
              <w:t xml:space="preserve">[113]</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[114]</w:t>
            </w:r>
            <w:r>
              <w:t xml:space="preserve">. Process-based approaches are critical to understanding how emergent social-ecological phenomena develop</w:t>
            </w:r>
            <w:r>
              <w:t xml:space="preserve"> </w:t>
            </w:r>
            <w:r>
              <w:t xml:space="preserve">[115]</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behavioral theory and empirical data; and interactions between them in the system of interest. Since obtaining all these data can be challenging, social-ecological modelling is often performed in an exploratory mode</w:t>
            </w:r>
            <w:r>
              <w:t xml:space="preserve"> </w:t>
            </w:r>
            <w:r>
              <w:t xml:space="preserve">[116]</w:t>
            </w:r>
            <w:r>
              <w:t xml:space="preserve"> </w:t>
            </w:r>
            <w:r>
              <w:t xml:space="preserve">to anticipate possible future modes of behavior, such as the direction of change of human behavior and environmental state or the risk of emergent phenomena such as tipping points, rather than trying to predict specific outcomes.</w:t>
            </w:r>
          </w:p>
        </w:tc>
      </w:tr>
    </w:tbl>
    <w:bookmarkEnd w:id="39"/>
    <w:bookmarkStart w:id="44" w:name="hot-solutions-for-a-changing-world"/>
    <w:p>
      <w:pPr>
        <w:pStyle w:val="Heading1"/>
      </w:pPr>
      <w:r>
        <w:t xml:space="preserve">‘</w:t>
      </w:r>
      <w:r>
        <w:t xml:space="preserve">Hot</w:t>
      </w:r>
      <w:r>
        <w:t xml:space="preserve">’</w:t>
      </w:r>
      <w:r>
        <w:t xml:space="preserve"> </w:t>
      </w:r>
      <w:r>
        <w:t xml:space="preserve">solutions for a changing world</w:t>
      </w:r>
    </w:p>
    <w:p>
      <w:pPr>
        <w:pStyle w:val="FirstParagraph"/>
      </w:pPr>
      <w:r>
        <w:t xml:space="preserve">Extreme heat will have dramatic and widespread effects on the socioecological systems that humans rely upon (</w:t>
      </w:r>
      <w:r>
        <w:rPr>
          <w:b/>
          <w:bCs/>
        </w:rPr>
        <w:t xml:space="preserve">Box 3</w:t>
      </w:r>
      <w:r>
        <w:t xml:space="preserve">). For example, under current global climate change scenarios, each degree Celsius increase in global mean temperature is estimated to reduce the global yield of wheat by 6.0% and soybean by 3.1%</w:t>
      </w:r>
      <w:r>
        <w:t xml:space="preserve"> </w:t>
      </w:r>
      <w:r>
        <w:t xml:space="preserve">[117]</w:t>
      </w:r>
      <w:r>
        <w:t xml:space="preserve"> </w:t>
      </w:r>
      <w:r>
        <w:t xml:space="preserve">exacerbating food shortages globally. A systems modelling approach can provide us with quantitative tools to make informed predictions, plan interventions and evaluate various scenarios for mitigating the impacts of extreme heat. For example, microclimate and biophysical models, in combination with watering interventions, can allow us to make informed predictions about how to mitigate heat stress to crops (See</w:t>
      </w:r>
      <w:r>
        <w:t xml:space="preserve"> </w:t>
      </w:r>
      <w:hyperlink w:anchor="fig-2">
        <w:r>
          <w:rPr>
            <w:rStyle w:val="Hyperlink"/>
          </w:rPr>
          <w:t xml:space="preserve">Figure 3</w:t>
        </w:r>
      </w:hyperlink>
      <w:r>
        <w:t xml:space="preserve"> </w:t>
      </w:r>
      <w:r>
        <w:t xml:space="preserve">and Case Study 4/5 in the</w:t>
      </w:r>
      <w:r>
        <w:t xml:space="preserve"> </w:t>
      </w:r>
      <w:hyperlink r:id="rId28">
        <w:r>
          <w:rPr>
            <w:rStyle w:val="Hyperlink"/>
            <w:i/>
            <w:iCs/>
          </w:rPr>
          <w:t xml:space="preserve">Supplementary Online Material</w:t>
        </w:r>
      </w:hyperlink>
      <w:r>
        <w:t xml:space="preserve">). Identifying and/or modifying the thermal suitability of landscapes to benefit plants and animals under extreme heat shows immense promise</w:t>
      </w:r>
      <w:r>
        <w:t xml:space="preserve"> </w:t>
      </w:r>
      <w:r>
        <w:t xml:space="preserve">[20]</w:t>
      </w:r>
      <w:r>
        <w:t xml:space="preserve">. Additionally, as our understanding of the mechanisms associated with heat tolerance improve, genetic tools, environmental manipulations and artifical breeding can be used to enhance thermal tolerance creating more resilience to extreme heat events</w:t>
      </w:r>
      <w:r>
        <w:t xml:space="preserve"> </w:t>
      </w:r>
      <w:r>
        <w:t xml:space="preserve">[e.g., 57]</w:t>
      </w:r>
      <w:r>
        <w:t xml:space="preserve">. Integrating these solutions into a systems modelling framework will then allow for a calculated understanding of the viability of such approaches in real world situations.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6096000" cy="4876800"/>
                  <wp:effectExtent b="0" l="0" r="0" t="0"/>
                  <wp:docPr descr="" title="" id="41" name="Picture"/>
                  <a:graphic>
                    <a:graphicData uri="http://schemas.openxmlformats.org/drawingml/2006/picture">
                      <pic:pic>
                        <pic:nvPicPr>
                          <pic:cNvPr descr="ms_files/figure-docx/fig-2-1.png" id="42" name="Picture"/>
                          <pic:cNvPicPr>
                            <a:picLocks noChangeArrowheads="1" noChangeAspect="1"/>
                          </pic:cNvPicPr>
                        </pic:nvPicPr>
                        <pic:blipFill>
                          <a:blip r:embed="rId40"/>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How a systems modelling approach to extreme heat can be used to inform solutions. A hypothetical example of an insect-plant interaction. (A) To counteract an extreme heat wave event different watering scenerios to cool plants of agricultural importance during heat stress could be applied. Of critical importance is understanding how much water to apply to a system to keep plants cool while minimising: 1) water use, given that heat waves are often associated with extreme drought conditions and 2) pest outbreaks, given watering may create more ideal conditions for pest insects. (B) We can obtain actual or future climate data from weather stations or climate models for rainfall and create alternative scenerios where rainfall layers are manipulated by modifying the watering regimes during a heatwave event. We could add 2, 5, 10, or 20 mm of water and compare this to our original rainfall. (C) Adding water during an extreme heat event should result in cooling effects and using micriclimate and biophysical models we can quantify how much cooling would occur by calculating leaf temperature across all scenerios. We can see that adding 5 mm of water can result in a 3.63 Celsius decrease in leave temperature. Adding more water does not resulting in significant gains in cooling.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paremeter (i.e.,</w:t>
            </w:r>
            <w:r>
              <w:t xml:space="preserve"> </w:t>
            </w:r>
            <m:oMath>
              <m:sSub>
                <m:e>
                  <m:r>
                    <m:t>r</m:t>
                  </m:r>
                </m:e>
                <m:sub>
                  <m:r>
                    <m:t>m</m:t>
                  </m:r>
                  <m:r>
                    <m:t>a</m:t>
                  </m:r>
                  <m:r>
                    <m:t>x</m:t>
                  </m:r>
                </m:sub>
              </m:sSub>
            </m:oMath>
            <w:r>
              <w:t xml:space="preserve">) under the different scenerios. (E) Using our estimate of intrinsic growth rate we can then estimate the population growth rate of grasshoppers using a simple Ricker’s population growth model applied to the different scenerios. We can see that, assuming we would add 5 mm each season during heatwave events, populations would be supressed over time whereas adding 2mm results in population growth, which would lead to outbreaks. Here, the optimal solution is 5mm of water added to both 1) cool plants to protect them during a heat wave and 2) supress pest outbreaks.</w:t>
            </w:r>
          </w:p>
          <w:bookmarkEnd w:id="43"/>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Outstanding Questions</w:t>
            </w:r>
          </w:p>
          <w:p>
            <w:pPr>
              <w:pStyle w:val="Compact"/>
              <w:numPr>
                <w:ilvl w:val="0"/>
                <w:numId w:val="1001"/>
              </w:numPr>
            </w:pPr>
            <w:r>
              <w:t xml:space="preserve">How effective are models that use parameters of closely related species to predict the impacts of extreme heat for species lacking data?</w:t>
            </w:r>
          </w:p>
          <w:p>
            <w:pPr>
              <w:pStyle w:val="Compact"/>
              <w:numPr>
                <w:ilvl w:val="0"/>
                <w:numId w:val="1001"/>
              </w:numPr>
            </w:pPr>
            <w:r>
              <w:t xml:space="preserve">How can we capture longer-term evolutionary responses to extreme heat in a systems modelling framework?</w:t>
            </w:r>
          </w:p>
          <w:p>
            <w:pPr>
              <w:pStyle w:val="Compact"/>
              <w:numPr>
                <w:ilvl w:val="0"/>
                <w:numId w:val="1001"/>
              </w:numPr>
            </w:pPr>
            <w:r>
              <w:t xml:space="preserve">For modular plant species, can we build and couple dynamic energy budget models to predict how extreme heat will impact tissue and life cycle dynamics?</w:t>
            </w:r>
          </w:p>
          <w:p>
            <w:pPr>
              <w:pStyle w:val="Compact"/>
              <w:numPr>
                <w:ilvl w:val="0"/>
                <w:numId w:val="1001"/>
              </w:numPr>
            </w:pPr>
            <w:r>
              <w:t xml:space="preserve">How do multiple stressors in anthropogenically modified environments interact with extreme heat to impact organisms, populations and communities?</w:t>
            </w:r>
          </w:p>
        </w:tc>
      </w:tr>
    </w:tbl>
    <w:bookmarkEnd w:id="44"/>
    <w:bookmarkStart w:id="45" w:name="concluding-remarks"/>
    <w:p>
      <w:pPr>
        <w:pStyle w:val="Heading1"/>
      </w:pPr>
      <w:r>
        <w:t xml:space="preserve">Concluding Remarks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w:t>
      </w:r>
      <w:r>
        <w:t xml:space="preserve"> </w:t>
      </w:r>
      <w:hyperlink r:id="rId28">
        <w:r>
          <w:rPr>
            <w:rStyle w:val="Hyperlink"/>
            <w:i/>
            <w:iCs/>
          </w:rPr>
          <w:t xml:space="preserve">Supplementary Online Material</w:t>
        </w:r>
      </w:hyperlink>
      <w:r>
        <w:t xml:space="preserve">). While our case studies are necessarily hypothetical in nature they move us one step closer to implementing these models in real-world systems. However, there are still many challenges and gaps (see</w:t>
      </w:r>
      <w:r>
        <w:t xml:space="preserve"> </w:t>
      </w:r>
      <w:r>
        <w:rPr>
          <w:b/>
          <w:bCs/>
        </w:rPr>
        <w:t xml:space="preserve">Outstanding Questions</w:t>
      </w:r>
      <w:r>
        <w:t xml:space="preserve">). Developing a systems modelling framework will require collaboration between different research fields, including biophysics, physiology, ecology and evolutionary biology as well as socio-ecologists. By working collaboratively and integrativly we can develop a more calculated understanding of the impacts that extreme heat will have on organisms, populations, and communities along with how to mitigate these impacts to preserve diverse systems now and into the future.</w:t>
      </w:r>
    </w:p>
    <w:bookmarkEnd w:id="45"/>
    <w:bookmarkStart w:id="164" w:name="references"/>
    <w:p>
      <w:pPr>
        <w:pStyle w:val="Heading1"/>
      </w:pPr>
      <w:r>
        <w:t xml:space="preserve">References</w:t>
      </w:r>
    </w:p>
    <w:p>
      <w:pPr>
        <w:pStyle w:val="FirstParagraph"/>
      </w:pPr>
    </w:p>
    <w:bookmarkStart w:id="163" w:name="refs"/>
    <w:bookmarkStart w:id="46"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6"/>
    <w:bookmarkStart w:id="47"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7"/>
    <w:bookmarkStart w:id="48"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8"/>
    <w:bookmarkStart w:id="49"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9"/>
    <w:bookmarkStart w:id="50"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50"/>
    <w:bookmarkStart w:id="51"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51"/>
    <w:bookmarkStart w:id="52"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52"/>
    <w:bookmarkStart w:id="53"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53"/>
    <w:bookmarkStart w:id="54"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4"/>
    <w:bookmarkStart w:id="55"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5"/>
    <w:bookmarkStart w:id="56"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6"/>
    <w:bookmarkStart w:id="57"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7"/>
    <w:bookmarkStart w:id="58"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8"/>
    <w:bookmarkStart w:id="59"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9"/>
    <w:bookmarkStart w:id="60"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60"/>
    <w:bookmarkStart w:id="61"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61"/>
    <w:bookmarkStart w:id="62"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62"/>
    <w:bookmarkStart w:id="63"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3"/>
    <w:bookmarkStart w:id="64"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4"/>
    <w:bookmarkStart w:id="65"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5"/>
    <w:bookmarkStart w:id="66"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6"/>
    <w:bookmarkStart w:id="67" w:name="ref-Arnold2025"/>
    <w:p>
      <w:pPr>
        <w:pStyle w:val="Bibliography"/>
      </w:pPr>
      <w:r>
        <w:t xml:space="preserve">22.</w:t>
      </w:r>
      <w:r>
        <w:t xml:space="preserve"> </w:t>
      </w:r>
      <w:r>
        <w:t xml:space="preserve">	</w:t>
      </w:r>
      <w:r>
        <w:t xml:space="preserve">Arnold, P.</w:t>
      </w:r>
      <w:r>
        <w:t xml:space="preserve"> </w:t>
      </w:r>
      <w:r>
        <w:rPr>
          <w:i/>
          <w:iCs/>
        </w:rPr>
        <w:t xml:space="preserve">et al.</w:t>
      </w:r>
      <w:r>
        <w:t xml:space="preserve"> </w:t>
      </w:r>
      <w:r>
        <w:t xml:space="preserve">(2025) A framework for modelling thermal load sensitivity across life.</w:t>
      </w:r>
      <w:r>
        <w:t xml:space="preserve"> </w:t>
      </w:r>
      <w:r>
        <w:rPr>
          <w:i/>
          <w:iCs/>
        </w:rPr>
        <w:t xml:space="preserve">EcoEvoRxiv, https://doi.org/10.32942/X23M0R</w:t>
      </w:r>
    </w:p>
    <w:bookmarkEnd w:id="67"/>
    <w:bookmarkStart w:id="68" w:name="ref-Bimler2018"/>
    <w:p>
      <w:pPr>
        <w:pStyle w:val="Bibliography"/>
      </w:pPr>
      <w:r>
        <w:t xml:space="preserve">23.</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8"/>
    <w:bookmarkStart w:id="69" w:name="ref-Bowler2022"/>
    <w:p>
      <w:pPr>
        <w:pStyle w:val="Bibliography"/>
      </w:pPr>
      <w:r>
        <w:t xml:space="preserve">24.</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9"/>
    <w:bookmarkStart w:id="70" w:name="ref-Fick2017"/>
    <w:p>
      <w:pPr>
        <w:pStyle w:val="Bibliography"/>
      </w:pPr>
      <w:r>
        <w:t xml:space="preserve">25.</w:t>
      </w:r>
      <w:r>
        <w:t xml:space="preserve"> </w:t>
      </w:r>
      <w:r>
        <w:t xml:space="preserve">	</w:t>
      </w:r>
      <w:r>
        <w:t xml:space="preserve">Fick, S.E. and Hijmans, R.J. (2017)</w:t>
      </w:r>
      <w:r>
        <w:t xml:space="preserve"> </w:t>
      </w:r>
      <w:r>
        <w:t xml:space="preserve">WorldClim</w:t>
      </w:r>
      <w:r>
        <w:t xml:space="preserve"> </w:t>
      </w:r>
      <w:r>
        <w:t xml:space="preserve">2: New 1‐km spatial resolution climate surfaces for global land areas:</w:t>
      </w:r>
      <w:r>
        <w:t xml:space="preserve"> </w:t>
      </w:r>
      <w:r>
        <w:t xml:space="preserve">NEW</w:t>
      </w:r>
      <w:r>
        <w:t xml:space="preserve"> </w:t>
      </w:r>
      <w:r>
        <w:t xml:space="preserve">CLIMATE</w:t>
      </w:r>
      <w:r>
        <w:t xml:space="preserve"> </w:t>
      </w:r>
      <w:r>
        <w:t xml:space="preserve">SURFACES</w:t>
      </w:r>
      <w:r>
        <w:t xml:space="preserve"> </w:t>
      </w:r>
      <w:r>
        <w:t xml:space="preserve">FOR</w:t>
      </w:r>
      <w:r>
        <w:t xml:space="preserve"> </w:t>
      </w:r>
      <w:r>
        <w:t xml:space="preserve">GLOBAL</w:t>
      </w:r>
      <w:r>
        <w:t xml:space="preserve"> </w:t>
      </w:r>
      <w:r>
        <w:t xml:space="preserve">LAND</w:t>
      </w:r>
      <w:r>
        <w:t xml:space="preserve"> </w:t>
      </w:r>
      <w:r>
        <w:t xml:space="preserve">AREAS</w:t>
      </w:r>
      <w:r>
        <w:t xml:space="preserve">.</w:t>
      </w:r>
      <w:r>
        <w:t xml:space="preserve"> </w:t>
      </w:r>
      <w:r>
        <w:rPr>
          <w:i/>
          <w:iCs/>
        </w:rPr>
        <w:t xml:space="preserve">Int. J. Climatol.</w:t>
      </w:r>
      <w:r>
        <w:t xml:space="preserve"> </w:t>
      </w:r>
      <w:r>
        <w:t xml:space="preserve">37, 4302–4315</w:t>
      </w:r>
    </w:p>
    <w:bookmarkEnd w:id="70"/>
    <w:bookmarkStart w:id="71" w:name="ref-Kalnay2018"/>
    <w:p>
      <w:pPr>
        <w:pStyle w:val="Bibliography"/>
      </w:pPr>
      <w:r>
        <w:t xml:space="preserve">26.</w:t>
      </w:r>
      <w:r>
        <w:t xml:space="preserve"> </w:t>
      </w:r>
      <w:r>
        <w:t xml:space="preserve">	</w:t>
      </w:r>
      <w:r>
        <w:t xml:space="preserve">Kalnay, E.</w:t>
      </w:r>
      <w:r>
        <w:t xml:space="preserve"> </w:t>
      </w:r>
      <w:r>
        <w:rPr>
          <w:i/>
          <w:iCs/>
        </w:rPr>
        <w:t xml:space="preserve">et al.</w:t>
      </w:r>
      <w:r>
        <w:t xml:space="preserve"> </w:t>
      </w:r>
      <w:r>
        <w:t xml:space="preserve">(2018) The</w:t>
      </w:r>
      <w:r>
        <w:t xml:space="preserve"> </w:t>
      </w:r>
      <w:r>
        <w:t xml:space="preserve">NCEP</w:t>
      </w:r>
      <w:r>
        <w:t xml:space="preserve">/</w:t>
      </w:r>
      <w:r>
        <w:t xml:space="preserve">NCAR</w:t>
      </w:r>
      <w:r>
        <w:t xml:space="preserve"> </w:t>
      </w:r>
      <w:r>
        <w:t xml:space="preserve">40-year reanalysis project. In</w:t>
      </w:r>
      <w:r>
        <w:t xml:space="preserve"> </w:t>
      </w:r>
      <w:r>
        <w:rPr>
          <w:i/>
          <w:iCs/>
        </w:rPr>
        <w:t xml:space="preserve">Renewable energy</w:t>
      </w:r>
      <w:r>
        <w:t xml:space="preserve">, pp. 146–194, Routledge</w:t>
      </w:r>
    </w:p>
    <w:bookmarkEnd w:id="71"/>
    <w:bookmarkStart w:id="72" w:name="ref-Hersbach2020"/>
    <w:p>
      <w:pPr>
        <w:pStyle w:val="Bibliography"/>
      </w:pPr>
      <w:r>
        <w:t xml:space="preserve">27.</w:t>
      </w:r>
      <w:r>
        <w:t xml:space="preserve"> </w:t>
      </w:r>
      <w:r>
        <w:t xml:space="preserve">	</w:t>
      </w:r>
      <w:r>
        <w:t xml:space="preserve">Hersbach, H.</w:t>
      </w:r>
      <w:r>
        <w:t xml:space="preserve"> </w:t>
      </w:r>
      <w:r>
        <w:rPr>
          <w:i/>
          <w:iCs/>
        </w:rPr>
        <w:t xml:space="preserve">et al.</w:t>
      </w:r>
      <w:r>
        <w:t xml:space="preserve"> </w:t>
      </w:r>
      <w:r>
        <w:t xml:space="preserve">(2020) The</w:t>
      </w:r>
      <w:r>
        <w:t xml:space="preserve"> </w:t>
      </w:r>
      <w:r>
        <w:t xml:space="preserve">ERA5</w:t>
      </w:r>
      <w:r>
        <w:t xml:space="preserve"> </w:t>
      </w:r>
      <w:r>
        <w:t xml:space="preserve">global reanalysis.</w:t>
      </w:r>
      <w:r>
        <w:t xml:space="preserve"> </w:t>
      </w:r>
      <w:r>
        <w:rPr>
          <w:i/>
          <w:iCs/>
        </w:rPr>
        <w:t xml:space="preserve">Quart. J. Roy. Meteor. Soc.</w:t>
      </w:r>
      <w:r>
        <w:t xml:space="preserve"> </w:t>
      </w:r>
      <w:r>
        <w:t xml:space="preserve">146, 1999–2049</w:t>
      </w:r>
    </w:p>
    <w:bookmarkEnd w:id="72"/>
    <w:bookmarkStart w:id="73" w:name="ref-Klinges2022"/>
    <w:p>
      <w:pPr>
        <w:pStyle w:val="Bibliography"/>
      </w:pPr>
      <w:r>
        <w:t xml:space="preserve">28.</w:t>
      </w:r>
      <w:r>
        <w:t xml:space="preserve"> </w:t>
      </w:r>
      <w:r>
        <w:t xml:space="preserve">	</w:t>
      </w:r>
      <w:r>
        <w:t xml:space="preserve">Klinges, D.H.</w:t>
      </w:r>
      <w:r>
        <w:t xml:space="preserve"> </w:t>
      </w:r>
      <w:r>
        <w:rPr>
          <w:i/>
          <w:iCs/>
        </w:rPr>
        <w:t xml:space="preserve">et al.</w:t>
      </w:r>
      <w:r>
        <w:t xml:space="preserve"> </w:t>
      </w:r>
      <w:r>
        <w:t xml:space="preserve">(2022)</w:t>
      </w:r>
      <w:r>
        <w:t xml:space="preserve"> </w:t>
      </w:r>
      <w:r>
        <w:t xml:space="preserve">mcera5</w:t>
      </w:r>
      <w:r>
        <w:t xml:space="preserve"> </w:t>
      </w:r>
      <w:r>
        <w:t xml:space="preserve">: Driving microclimate models with</w:t>
      </w:r>
      <w:r>
        <w:t xml:space="preserve"> </w:t>
      </w:r>
      <w:r>
        <w:t xml:space="preserve">ERA5</w:t>
      </w:r>
      <w:r>
        <w:t xml:space="preserve"> </w:t>
      </w:r>
      <w:r>
        <w:t xml:space="preserve">global gridded climate data.</w:t>
      </w:r>
      <w:r>
        <w:t xml:space="preserve"> </w:t>
      </w:r>
      <w:r>
        <w:rPr>
          <w:i/>
          <w:iCs/>
        </w:rPr>
        <w:t xml:space="preserve">Methods Ecol. Evol.</w:t>
      </w:r>
      <w:r>
        <w:t xml:space="preserve"> </w:t>
      </w:r>
      <w:r>
        <w:t xml:space="preserve">13, 1402–1411</w:t>
      </w:r>
    </w:p>
    <w:bookmarkEnd w:id="73"/>
    <w:bookmarkStart w:id="74" w:name="ref-Meyer2023"/>
    <w:p>
      <w:pPr>
        <w:pStyle w:val="Bibliography"/>
      </w:pPr>
      <w:r>
        <w:t xml:space="preserve">29.</w:t>
      </w:r>
      <w:r>
        <w:t xml:space="preserve"> </w:t>
      </w:r>
      <w:r>
        <w:t xml:space="preserve">	</w:t>
      </w:r>
      <w:r>
        <w:t xml:space="preserve">Meyer, A.V.</w:t>
      </w:r>
      <w:r>
        <w:t xml:space="preserve"> </w:t>
      </w:r>
      <w:r>
        <w:rPr>
          <w:i/>
          <w:iCs/>
        </w:rPr>
        <w:t xml:space="preserve">et al.</w:t>
      </w:r>
      <w:r>
        <w:t xml:space="preserve"> </w:t>
      </w:r>
      <w:r>
        <w:t xml:space="preserve">(2023) A guide and tools for selecting and accessing microclimate data for mechanistic niche modeling.</w:t>
      </w:r>
      <w:r>
        <w:t xml:space="preserve"> </w:t>
      </w:r>
      <w:r>
        <w:rPr>
          <w:i/>
          <w:iCs/>
        </w:rPr>
        <w:t xml:space="preserve">Ecosphere</w:t>
      </w:r>
      <w:r>
        <w:t xml:space="preserve"> </w:t>
      </w:r>
      <w:r>
        <w:t xml:space="preserve">14</w:t>
      </w:r>
    </w:p>
    <w:bookmarkEnd w:id="74"/>
    <w:bookmarkStart w:id="75" w:name="ref-Munoz-Sabater2021"/>
    <w:p>
      <w:pPr>
        <w:pStyle w:val="Bibliography"/>
      </w:pPr>
      <w:r>
        <w:t xml:space="preserve">30.</w:t>
      </w:r>
      <w:r>
        <w:t xml:space="preserve"> </w:t>
      </w:r>
      <w:r>
        <w:t xml:space="preserve">	</w:t>
      </w:r>
      <w:r>
        <w:t xml:space="preserve">Muñoz-Sabater, J.</w:t>
      </w:r>
      <w:r>
        <w:t xml:space="preserve"> </w:t>
      </w:r>
      <w:r>
        <w:rPr>
          <w:i/>
          <w:iCs/>
        </w:rPr>
        <w:t xml:space="preserve">et al.</w:t>
      </w:r>
      <w:r>
        <w:t xml:space="preserve"> </w:t>
      </w:r>
      <w:r>
        <w:t xml:space="preserve">(2021)</w:t>
      </w:r>
      <w:r>
        <w:t xml:space="preserve"> </w:t>
      </w:r>
      <w:r>
        <w:t xml:space="preserve">ERA5</w:t>
      </w:r>
      <w:r>
        <w:t xml:space="preserve">-land: A state-of-the-art global reanalysis dataset for land applications.</w:t>
      </w:r>
      <w:r>
        <w:t xml:space="preserve"> </w:t>
      </w:r>
      <w:r>
        <w:rPr>
          <w:i/>
          <w:iCs/>
        </w:rPr>
        <w:t xml:space="preserve">Earth system science data</w:t>
      </w:r>
      <w:r>
        <w:t xml:space="preserve"> </w:t>
      </w:r>
      <w:r>
        <w:t xml:space="preserve">13, 4349–4383</w:t>
      </w:r>
    </w:p>
    <w:bookmarkEnd w:id="75"/>
    <w:bookmarkStart w:id="76" w:name="ref-Bezanson2012"/>
    <w:p>
      <w:pPr>
        <w:pStyle w:val="Bibliography"/>
      </w:pPr>
      <w:r>
        <w:t xml:space="preserve">31.</w:t>
      </w:r>
      <w:r>
        <w:t xml:space="preserve"> </w:t>
      </w:r>
      <w:r>
        <w:t xml:space="preserve">	</w:t>
      </w:r>
      <w:r>
        <w:t xml:space="preserve">Bezanson, J.</w:t>
      </w:r>
      <w:r>
        <w:t xml:space="preserve"> </w:t>
      </w:r>
      <w:r>
        <w:rPr>
          <w:i/>
          <w:iCs/>
        </w:rPr>
        <w:t xml:space="preserve">et al.</w:t>
      </w:r>
      <w:r>
        <w:t xml:space="preserve"> </w:t>
      </w:r>
      <w:r>
        <w:t xml:space="preserve">(2012) Julia: A fast dynamic language for technical computing.</w:t>
      </w:r>
      <w:r>
        <w:t xml:space="preserve"> </w:t>
      </w:r>
      <w:r>
        <w:rPr>
          <w:i/>
          <w:iCs/>
        </w:rPr>
        <w:t xml:space="preserve">arXiv [cs.PL]</w:t>
      </w:r>
    </w:p>
    <w:bookmarkEnd w:id="76"/>
    <w:bookmarkStart w:id="77" w:name="ref-Yatunin2025"/>
    <w:p>
      <w:pPr>
        <w:pStyle w:val="Bibliography"/>
      </w:pPr>
      <w:r>
        <w:t xml:space="preserve">32.</w:t>
      </w:r>
      <w:r>
        <w:t xml:space="preserve"> </w:t>
      </w:r>
      <w:r>
        <w:t xml:space="preserve">	</w:t>
      </w:r>
      <w:r>
        <w:t xml:space="preserve">Yatunin, D.</w:t>
      </w:r>
      <w:r>
        <w:t xml:space="preserve"> </w:t>
      </w:r>
      <w:r>
        <w:rPr>
          <w:i/>
          <w:iCs/>
        </w:rPr>
        <w:t xml:space="preserve">et al.</w:t>
      </w:r>
      <w:r>
        <w:t xml:space="preserve"> </w:t>
      </w:r>
      <w:r>
        <w:t xml:space="preserve">(2025) The climate modeling alliance atmosphere dynamical core: Concepts, numerics, and scaling.</w:t>
      </w:r>
      <w:r>
        <w:t xml:space="preserve"> </w:t>
      </w:r>
      <w:r>
        <w:rPr>
          <w:i/>
          <w:iCs/>
        </w:rPr>
        <w:t xml:space="preserve">Authorea Preprints</w:t>
      </w:r>
    </w:p>
    <w:bookmarkEnd w:id="77"/>
    <w:bookmarkStart w:id="78" w:name="ref-Braziunas2025"/>
    <w:p>
      <w:pPr>
        <w:pStyle w:val="Bibliography"/>
      </w:pPr>
      <w:r>
        <w:t xml:space="preserve">33.</w:t>
      </w:r>
      <w:r>
        <w:t xml:space="preserve"> </w:t>
      </w:r>
      <w:r>
        <w:t xml:space="preserve">	</w:t>
      </w:r>
      <w:r>
        <w:t xml:space="preserve">Braziunas, K.H.</w:t>
      </w:r>
      <w:r>
        <w:t xml:space="preserve"> </w:t>
      </w:r>
      <w:r>
        <w:rPr>
          <w:i/>
          <w:iCs/>
        </w:rPr>
        <w:t xml:space="preserve">et al.</w:t>
      </w:r>
      <w:r>
        <w:t xml:space="preserve"> </w:t>
      </w:r>
      <w:r>
        <w:t xml:space="preserve">(2025) Microclimate temperature effects propagate across scales in forest ecosystems.</w:t>
      </w:r>
      <w:r>
        <w:t xml:space="preserve"> </w:t>
      </w:r>
      <w:r>
        <w:rPr>
          <w:i/>
          <w:iCs/>
        </w:rPr>
        <w:t xml:space="preserve">Landsc. Ecol.</w:t>
      </w:r>
      <w:r>
        <w:t xml:space="preserve"> </w:t>
      </w:r>
      <w:r>
        <w:t xml:space="preserve">40, 37</w:t>
      </w:r>
    </w:p>
    <w:bookmarkEnd w:id="78"/>
    <w:bookmarkStart w:id="79" w:name="ref-Kearney2017"/>
    <w:p>
      <w:pPr>
        <w:pStyle w:val="Bibliography"/>
      </w:pPr>
      <w:r>
        <w:t xml:space="preserve">34.</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79"/>
    <w:bookmarkStart w:id="80" w:name="ref-Maclean2019"/>
    <w:p>
      <w:pPr>
        <w:pStyle w:val="Bibliography"/>
      </w:pPr>
      <w:r>
        <w:t xml:space="preserve">35.</w:t>
      </w:r>
      <w:r>
        <w:t xml:space="preserve"> </w:t>
      </w:r>
      <w:r>
        <w:t xml:space="preserve">	</w:t>
      </w:r>
      <w:r>
        <w:t xml:space="preserve">Maclean, I.M.D.</w:t>
      </w:r>
      <w:r>
        <w:t xml:space="preserve"> </w:t>
      </w:r>
      <w:r>
        <w:rPr>
          <w:i/>
          <w:iCs/>
        </w:rPr>
        <w:t xml:space="preserve">et al.</w:t>
      </w:r>
      <w:r>
        <w:t xml:space="preserve"> </w:t>
      </w:r>
      <w:r>
        <w:t xml:space="preserve">(2019) Microclima: An r package for modelling meso‐ and microclimate.</w:t>
      </w:r>
      <w:r>
        <w:t xml:space="preserve"> </w:t>
      </w:r>
      <w:r>
        <w:rPr>
          <w:i/>
          <w:iCs/>
        </w:rPr>
        <w:t xml:space="preserve">Methods Ecol. Evol.</w:t>
      </w:r>
      <w:r>
        <w:t xml:space="preserve"> </w:t>
      </w:r>
      <w:r>
        <w:t xml:space="preserve">10, 280–290</w:t>
      </w:r>
    </w:p>
    <w:bookmarkEnd w:id="80"/>
    <w:bookmarkStart w:id="81" w:name="ref-Kearney2020"/>
    <w:p>
      <w:pPr>
        <w:pStyle w:val="Bibliography"/>
      </w:pPr>
      <w:r>
        <w:t xml:space="preserve">36.</w:t>
      </w:r>
      <w:r>
        <w:t xml:space="preserve"> </w:t>
      </w:r>
      <w:r>
        <w:t xml:space="preserve">	</w:t>
      </w:r>
      <w:r>
        <w:t xml:space="preserve">Kearney, M.R.</w:t>
      </w:r>
      <w:r>
        <w:t xml:space="preserve"> </w:t>
      </w:r>
      <w:r>
        <w:rPr>
          <w:i/>
          <w:iCs/>
        </w:rPr>
        <w:t xml:space="preserve">et al.</w:t>
      </w:r>
      <w:r>
        <w:t xml:space="preserve"> </w:t>
      </w:r>
      <w:r>
        <w:t xml:space="preserve">(2020) A method for computing hourly, historical, terrain‐corrected microclimate anywhere on earth.</w:t>
      </w:r>
      <w:r>
        <w:t xml:space="preserve"> </w:t>
      </w:r>
      <w:r>
        <w:rPr>
          <w:i/>
          <w:iCs/>
        </w:rPr>
        <w:t xml:space="preserve">Methods Ecol. Evol.</w:t>
      </w:r>
      <w:r>
        <w:t xml:space="preserve"> </w:t>
      </w:r>
      <w:r>
        <w:t xml:space="preserve">11, 38–43</w:t>
      </w:r>
    </w:p>
    <w:bookmarkEnd w:id="81"/>
    <w:bookmarkStart w:id="82" w:name="ref-Maclean2021"/>
    <w:p>
      <w:pPr>
        <w:pStyle w:val="Bibliography"/>
      </w:pPr>
      <w:r>
        <w:t xml:space="preserve">37.</w:t>
      </w:r>
      <w:r>
        <w:t xml:space="preserve"> </w:t>
      </w:r>
      <w:r>
        <w:t xml:space="preserve">	</w:t>
      </w:r>
      <w:r>
        <w:t xml:space="preserve">Maclean, I.M.D.</w:t>
      </w:r>
      <w:r>
        <w:t xml:space="preserve"> </w:t>
      </w:r>
      <w:r>
        <w:rPr>
          <w:i/>
          <w:iCs/>
        </w:rPr>
        <w:t xml:space="preserve">et al.</w:t>
      </w:r>
      <w:r>
        <w:t xml:space="preserve"> </w:t>
      </w:r>
      <w:r>
        <w:t xml:space="preserve">(2021) On the measurement of microclimate.</w:t>
      </w:r>
      <w:r>
        <w:t xml:space="preserve"> </w:t>
      </w:r>
      <w:r>
        <w:rPr>
          <w:i/>
          <w:iCs/>
        </w:rPr>
        <w:t xml:space="preserve">Methods Ecol. Evol.</w:t>
      </w:r>
      <w:r>
        <w:t xml:space="preserve"> </w:t>
      </w:r>
      <w:r>
        <w:t xml:space="preserve">12, 1397–1410</w:t>
      </w:r>
    </w:p>
    <w:bookmarkEnd w:id="82"/>
    <w:bookmarkStart w:id="83" w:name="ref-Buckley2023"/>
    <w:p>
      <w:pPr>
        <w:pStyle w:val="Bibliography"/>
      </w:pPr>
      <w:r>
        <w:t xml:space="preserve">38.</w:t>
      </w:r>
      <w:r>
        <w:t xml:space="preserve"> </w:t>
      </w:r>
      <w:r>
        <w:t xml:space="preserve">	</w:t>
      </w:r>
      <w:r>
        <w:t xml:space="preserve">Buckley, L.B.</w:t>
      </w:r>
      <w:r>
        <w:t xml:space="preserve"> </w:t>
      </w:r>
      <w:r>
        <w:rPr>
          <w:i/>
          <w:iCs/>
        </w:rPr>
        <w:t xml:space="preserve">et al.</w:t>
      </w:r>
      <w:r>
        <w:t xml:space="preserve"> </w:t>
      </w:r>
      <w:r>
        <w:t xml:space="preserve">(2023)</w:t>
      </w:r>
      <w:r>
        <w:t xml:space="preserve"> </w:t>
      </w:r>
      <w:r>
        <w:t xml:space="preserve">TrenchR</w:t>
      </w:r>
      <w:r>
        <w:t xml:space="preserve">: An</w:t>
      </w:r>
      <w:r>
        <w:t xml:space="preserve"> </w:t>
      </w:r>
      <w:r>
        <w:t xml:space="preserve">R</w:t>
      </w:r>
      <w:r>
        <w:t xml:space="preserve"> </w:t>
      </w:r>
      <w:r>
        <w:t xml:space="preserve">package for modular and accessible microclimate and biophysical ecology.</w:t>
      </w:r>
      <w:r>
        <w:t xml:space="preserve"> </w:t>
      </w:r>
      <w:r>
        <w:rPr>
          <w:i/>
          <w:iCs/>
        </w:rPr>
        <w:t xml:space="preserve">PLOS Clim</w:t>
      </w:r>
      <w:r>
        <w:t xml:space="preserve"> </w:t>
      </w:r>
      <w:r>
        <w:t xml:space="preserve">2, e0000139</w:t>
      </w:r>
    </w:p>
    <w:bookmarkEnd w:id="83"/>
    <w:bookmarkStart w:id="84" w:name="ref-De_Frenne2024"/>
    <w:p>
      <w:pPr>
        <w:pStyle w:val="Bibliography"/>
      </w:pPr>
      <w:r>
        <w:t xml:space="preserve">39.</w:t>
      </w:r>
      <w:r>
        <w:t xml:space="preserve"> </w:t>
      </w:r>
      <w:r>
        <w:t xml:space="preserve">	</w:t>
      </w:r>
      <w:r>
        <w:t xml:space="preserve">De Frenne, P.</w:t>
      </w:r>
      <w:r>
        <w:t xml:space="preserve"> </w:t>
      </w:r>
      <w:r>
        <w:rPr>
          <w:i/>
          <w:iCs/>
        </w:rPr>
        <w:t xml:space="preserve">et al.</w:t>
      </w:r>
      <w:r>
        <w:t xml:space="preserve"> </w:t>
      </w:r>
      <w:r>
        <w:t xml:space="preserve">(2024) Ten practical guidelines for microclimate research in terrestrial ecosystems.</w:t>
      </w:r>
      <w:r>
        <w:t xml:space="preserve"> </w:t>
      </w:r>
      <w:r>
        <w:rPr>
          <w:i/>
          <w:iCs/>
        </w:rPr>
        <w:t xml:space="preserve">Methods Ecol. Evol.</w:t>
      </w:r>
    </w:p>
    <w:bookmarkEnd w:id="84"/>
    <w:bookmarkStart w:id="85" w:name="ref-Levy2016"/>
    <w:p>
      <w:pPr>
        <w:pStyle w:val="Bibliography"/>
      </w:pPr>
      <w:r>
        <w:t xml:space="preserve">40.</w:t>
      </w:r>
      <w:r>
        <w:t xml:space="preserve"> </w:t>
      </w:r>
      <w:r>
        <w:t xml:space="preserve">	</w:t>
      </w:r>
      <w:r>
        <w:t xml:space="preserve">Levy, O.</w:t>
      </w:r>
      <w:r>
        <w:t xml:space="preserve"> </w:t>
      </w:r>
      <w:r>
        <w:rPr>
          <w:i/>
          <w:iCs/>
        </w:rPr>
        <w:t xml:space="preserve">et al.</w:t>
      </w:r>
      <w:r>
        <w:t xml:space="preserve"> </w:t>
      </w:r>
      <w:r>
        <w:t xml:space="preserve">(2016) A dynamically downscaled projection of past and future microclimates.</w:t>
      </w:r>
      <w:r>
        <w:t xml:space="preserve"> </w:t>
      </w:r>
      <w:r>
        <w:rPr>
          <w:i/>
          <w:iCs/>
        </w:rPr>
        <w:t xml:space="preserve">Ecology</w:t>
      </w:r>
      <w:r>
        <w:t xml:space="preserve"> </w:t>
      </w:r>
      <w:r>
        <w:t xml:space="preserve">97, 1888–1888</w:t>
      </w:r>
    </w:p>
    <w:bookmarkEnd w:id="85"/>
    <w:bookmarkStart w:id="86" w:name="ref-Manzoni2022"/>
    <w:p>
      <w:pPr>
        <w:pStyle w:val="Bibliography"/>
      </w:pPr>
      <w:r>
        <w:t xml:space="preserve">41.</w:t>
      </w:r>
      <w:r>
        <w:t xml:space="preserve"> </w:t>
      </w:r>
      <w:r>
        <w:t xml:space="preserve">	</w:t>
      </w:r>
      <w:r>
        <w:t xml:space="preserve">Manzoni, S.</w:t>
      </w:r>
      <w:r>
        <w:t xml:space="preserve"> </w:t>
      </w:r>
      <w:r>
        <w:rPr>
          <w:i/>
          <w:iCs/>
        </w:rPr>
        <w:t xml:space="preserve">et al.</w:t>
      </w:r>
      <w:r>
        <w:t xml:space="preserve"> </w:t>
      </w:r>
      <w:r>
        <w:t xml:space="preserve">(2022) Consistent responses of vegetation gas exchange to elevated atmospheric</w:t>
      </w:r>
      <w:r>
        <w:t xml:space="preserve"> </w:t>
      </w:r>
      <w:r>
        <w:t xml:space="preserve">CO</w:t>
      </w:r>
      <w:r>
        <w:t xml:space="preserve"> </w:t>
      </w:r>
      <w:r>
        <w:t xml:space="preserve">2 emerge from heuristic and optimization models.</w:t>
      </w:r>
      <w:r>
        <w:t xml:space="preserve"> </w:t>
      </w:r>
      <w:r>
        <w:rPr>
          <w:i/>
          <w:iCs/>
        </w:rPr>
        <w:t xml:space="preserve">Biogeosciences</w:t>
      </w:r>
      <w:r>
        <w:t xml:space="preserve"> </w:t>
      </w:r>
      <w:r>
        <w:t xml:space="preserve">19, 4387–4414</w:t>
      </w:r>
    </w:p>
    <w:bookmarkEnd w:id="86"/>
    <w:bookmarkStart w:id="87" w:name="ref-Porter1973"/>
    <w:p>
      <w:pPr>
        <w:pStyle w:val="Bibliography"/>
      </w:pPr>
      <w:r>
        <w:t xml:space="preserve">42.</w:t>
      </w:r>
      <w:r>
        <w:t xml:space="preserve"> </w:t>
      </w:r>
      <w:r>
        <w:t xml:space="preserve">	</w:t>
      </w:r>
      <w:r>
        <w:t xml:space="preserve">Porter, W.P.</w:t>
      </w:r>
      <w:r>
        <w:t xml:space="preserve"> </w:t>
      </w:r>
      <w:r>
        <w:rPr>
          <w:i/>
          <w:iCs/>
        </w:rPr>
        <w:t xml:space="preserve">et al.</w:t>
      </w:r>
      <w:r>
        <w:t xml:space="preserve"> </w:t>
      </w:r>
      <w:r>
        <w:t xml:space="preserve">(1973) Behavioral implications of mechanistic ecology : Thermal and behavioral modeling of desert ectotherms and their microenvironment.</w:t>
      </w:r>
      <w:r>
        <w:t xml:space="preserve"> </w:t>
      </w:r>
      <w:r>
        <w:rPr>
          <w:i/>
          <w:iCs/>
        </w:rPr>
        <w:t xml:space="preserve">Oecologia</w:t>
      </w:r>
      <w:r>
        <w:t xml:space="preserve"> </w:t>
      </w:r>
      <w:r>
        <w:t xml:space="preserve">13, 1–54</w:t>
      </w:r>
    </w:p>
    <w:bookmarkEnd w:id="87"/>
    <w:bookmarkStart w:id="88" w:name="ref-Porter1969"/>
    <w:p>
      <w:pPr>
        <w:pStyle w:val="Bibliography"/>
      </w:pPr>
      <w:r>
        <w:t xml:space="preserve">43.</w:t>
      </w:r>
      <w:r>
        <w:t xml:space="preserve"> </w:t>
      </w:r>
      <w:r>
        <w:t xml:space="preserve">	</w:t>
      </w:r>
      <w:r>
        <w:t xml:space="preserve">Porter, W.P. and Gates, D.M. (1969) Thermodynamic equilibria of animals with environment.</w:t>
      </w:r>
      <w:r>
        <w:t xml:space="preserve"> </w:t>
      </w:r>
      <w:r>
        <w:rPr>
          <w:i/>
          <w:iCs/>
        </w:rPr>
        <w:t xml:space="preserve">Ecol. Monogr.</w:t>
      </w:r>
      <w:r>
        <w:t xml:space="preserve"> </w:t>
      </w:r>
      <w:r>
        <w:t xml:space="preserve">39, 227–244</w:t>
      </w:r>
    </w:p>
    <w:bookmarkEnd w:id="88"/>
    <w:bookmarkStart w:id="89" w:name="ref-Riddell2017"/>
    <w:p>
      <w:pPr>
        <w:pStyle w:val="Bibliography"/>
      </w:pPr>
      <w:r>
        <w:t xml:space="preserve">44.</w:t>
      </w:r>
      <w:r>
        <w:t xml:space="preserve"> </w:t>
      </w:r>
      <w:r>
        <w:t xml:space="preserve">	</w:t>
      </w:r>
      <w:r>
        <w:t xml:space="preserve">Riddell, E.A.</w:t>
      </w:r>
      <w:r>
        <w:t xml:space="preserve"> </w:t>
      </w:r>
      <w:r>
        <w:rPr>
          <w:i/>
          <w:iCs/>
        </w:rPr>
        <w:t xml:space="preserve">et al.</w:t>
      </w:r>
      <w:r>
        <w:t xml:space="preserve"> </w:t>
      </w:r>
      <w:r>
        <w:t xml:space="preserve">(2017) Physical calculations of resistance to water loss improve predictions of species range models.</w:t>
      </w:r>
      <w:r>
        <w:t xml:space="preserve"> </w:t>
      </w:r>
      <w:r>
        <w:rPr>
          <w:i/>
          <w:iCs/>
        </w:rPr>
        <w:t xml:space="preserve">Ecol. Monogr.</w:t>
      </w:r>
      <w:r>
        <w:t xml:space="preserve"> </w:t>
      </w:r>
      <w:r>
        <w:t xml:space="preserve">87, 21–33</w:t>
      </w:r>
    </w:p>
    <w:bookmarkEnd w:id="89"/>
    <w:bookmarkStart w:id="90" w:name="ref-Duursma2015"/>
    <w:p>
      <w:pPr>
        <w:pStyle w:val="Bibliography"/>
      </w:pPr>
      <w:r>
        <w:t xml:space="preserve">45.</w:t>
      </w:r>
      <w:r>
        <w:t xml:space="preserve"> </w:t>
      </w:r>
      <w:r>
        <w:t xml:space="preserve">	</w:t>
      </w:r>
      <w:r>
        <w:t xml:space="preserve">Duursma, R.A. (2015) Plantecophys–an</w:t>
      </w:r>
      <w:r>
        <w:t xml:space="preserve"> </w:t>
      </w:r>
      <w:r>
        <w:t xml:space="preserve">R</w:t>
      </w:r>
      <w:r>
        <w:t xml:space="preserve"> </w:t>
      </w:r>
      <w:r>
        <w:t xml:space="preserve">package for analysing and modelling leaf gas exchange data.</w:t>
      </w:r>
      <w:r>
        <w:t xml:space="preserve"> </w:t>
      </w:r>
      <w:r>
        <w:rPr>
          <w:i/>
          <w:iCs/>
        </w:rPr>
        <w:t xml:space="preserve">PLoS One</w:t>
      </w:r>
      <w:r>
        <w:t xml:space="preserve"> </w:t>
      </w:r>
      <w:r>
        <w:t xml:space="preserve">10, e0143346</w:t>
      </w:r>
    </w:p>
    <w:bookmarkEnd w:id="90"/>
    <w:bookmarkStart w:id="91" w:name="ref-Briscoe2022"/>
    <w:p>
      <w:pPr>
        <w:pStyle w:val="Bibliography"/>
      </w:pPr>
      <w:r>
        <w:t xml:space="preserve">46.</w:t>
      </w:r>
      <w:r>
        <w:t xml:space="preserve"> </w:t>
      </w:r>
      <w:r>
        <w:t xml:space="preserve">	</w:t>
      </w:r>
      <w:r>
        <w:t xml:space="preserve">Briscoe, N.J.</w:t>
      </w:r>
      <w:r>
        <w:t xml:space="preserve"> </w:t>
      </w:r>
      <w:r>
        <w:rPr>
          <w:i/>
          <w:iCs/>
        </w:rPr>
        <w:t xml:space="preserve">et al.</w:t>
      </w:r>
      <w:r>
        <w:t xml:space="preserve"> </w:t>
      </w:r>
      <w:r>
        <w:t xml:space="preserve">(2022) Too hot to hunt: Mechanistic predictions of thermal refuge from cat predation risk.</w:t>
      </w:r>
      <w:r>
        <w:t xml:space="preserve"> </w:t>
      </w:r>
      <w:r>
        <w:rPr>
          <w:i/>
          <w:iCs/>
        </w:rPr>
        <w:t xml:space="preserve">Conserv. Lett.</w:t>
      </w:r>
      <w:r>
        <w:t xml:space="preserve"> </w:t>
      </w:r>
      <w:r>
        <w:t xml:space="preserve">15</w:t>
      </w:r>
    </w:p>
    <w:bookmarkEnd w:id="91"/>
    <w:bookmarkStart w:id="92" w:name="ref-Loughran2020"/>
    <w:p>
      <w:pPr>
        <w:pStyle w:val="Bibliography"/>
      </w:pPr>
      <w:r>
        <w:t xml:space="preserve">47.</w:t>
      </w:r>
      <w:r>
        <w:t xml:space="preserve"> </w:t>
      </w:r>
      <w:r>
        <w:t xml:space="preserve">	</w:t>
      </w:r>
      <w:r>
        <w:t xml:space="preserve">Loughran, C.L. and Wolf, B.O. (2020) The functional significance of panting as a mechanism of thermoregulation and its relationship to the critical thermal maxima in lizards.</w:t>
      </w:r>
      <w:r>
        <w:t xml:space="preserve"> </w:t>
      </w:r>
      <w:r>
        <w:rPr>
          <w:i/>
          <w:iCs/>
        </w:rPr>
        <w:t xml:space="preserve">J. Exp. Biol.</w:t>
      </w:r>
      <w:r>
        <w:t xml:space="preserve"> </w:t>
      </w:r>
      <w:r>
        <w:t xml:space="preserve">223, jeb224139</w:t>
      </w:r>
    </w:p>
    <w:bookmarkEnd w:id="92"/>
    <w:bookmarkStart w:id="93" w:name="ref-Sharpe2022"/>
    <w:p>
      <w:pPr>
        <w:pStyle w:val="Bibliography"/>
      </w:pPr>
      <w:r>
        <w:t xml:space="preserve">48.</w:t>
      </w:r>
      <w:r>
        <w:t xml:space="preserve"> </w:t>
      </w:r>
      <w:r>
        <w:t xml:space="preserve">	</w:t>
      </w:r>
      <w:r>
        <w:t xml:space="preserve">Sharpe, L.L.</w:t>
      </w:r>
      <w:r>
        <w:t xml:space="preserve"> </w:t>
      </w:r>
      <w:r>
        <w:rPr>
          <w:i/>
          <w:iCs/>
        </w:rPr>
        <w:t xml:space="preserve">et al.</w:t>
      </w:r>
      <w:r>
        <w:t xml:space="preserve"> </w:t>
      </w:r>
      <w:r>
        <w:t xml:space="preserve">(2022) In the hot seat: Behavioral change and old-growth trees underpin an australian songbird’s response to extreme heat.</w:t>
      </w:r>
      <w:r>
        <w:t xml:space="preserve"> </w:t>
      </w:r>
      <w:r>
        <w:rPr>
          <w:i/>
          <w:iCs/>
        </w:rPr>
        <w:t xml:space="preserve">Front. Ecol. Evol.</w:t>
      </w:r>
      <w:r>
        <w:t xml:space="preserve"> </w:t>
      </w:r>
      <w:r>
        <w:t xml:space="preserve">10</w:t>
      </w:r>
    </w:p>
    <w:bookmarkEnd w:id="93"/>
    <w:bookmarkStart w:id="94" w:name="ref-Drake2018"/>
    <w:p>
      <w:pPr>
        <w:pStyle w:val="Bibliography"/>
      </w:pPr>
      <w:r>
        <w:t xml:space="preserve">49.</w:t>
      </w:r>
      <w:r>
        <w:t xml:space="preserve"> </w:t>
      </w:r>
      <w:r>
        <w:t xml:space="preserve">	</w:t>
      </w:r>
      <w:r>
        <w:t xml:space="preserve">Drake, J.E.</w:t>
      </w:r>
      <w:r>
        <w:t xml:space="preserve"> </w:t>
      </w:r>
      <w:r>
        <w:rPr>
          <w:i/>
          <w:iCs/>
        </w:rPr>
        <w:t xml:space="preserve">et al.</w:t>
      </w:r>
      <w:r>
        <w:t xml:space="preserve"> </w:t>
      </w:r>
      <w:r>
        <w:t xml:space="preserve">(2018) Trees tolerate an extreme heatwave via sustained transpirational cooling and increased leaf thermal tolerance.</w:t>
      </w:r>
      <w:r>
        <w:t xml:space="preserve"> </w:t>
      </w:r>
      <w:r>
        <w:rPr>
          <w:i/>
          <w:iCs/>
        </w:rPr>
        <w:t xml:space="preserve">Glob. Chang. Biol.</w:t>
      </w:r>
      <w:r>
        <w:t xml:space="preserve"> </w:t>
      </w:r>
      <w:r>
        <w:t xml:space="preserve">24, 2390–2402</w:t>
      </w:r>
    </w:p>
    <w:bookmarkEnd w:id="94"/>
    <w:bookmarkStart w:id="95" w:name="ref-Posch2024"/>
    <w:p>
      <w:pPr>
        <w:pStyle w:val="Bibliography"/>
      </w:pPr>
      <w:r>
        <w:t xml:space="preserve">50.</w:t>
      </w:r>
      <w:r>
        <w:t xml:space="preserve"> </w:t>
      </w:r>
      <w:r>
        <w:t xml:space="preserve">	</w:t>
      </w:r>
      <w:r>
        <w:t xml:space="preserve">Posch, B.C.</w:t>
      </w:r>
      <w:r>
        <w:t xml:space="preserve"> </w:t>
      </w:r>
      <w:r>
        <w:rPr>
          <w:i/>
          <w:iCs/>
        </w:rPr>
        <w:t xml:space="preserve">et al.</w:t>
      </w:r>
      <w:r>
        <w:t xml:space="preserve"> </w:t>
      </w:r>
      <w:r>
        <w:t xml:space="preserve">(2024) Intensive leaf cooling promotes tree survival during a record heatwave.</w:t>
      </w:r>
      <w:r>
        <w:t xml:space="preserve"> </w:t>
      </w:r>
      <w:r>
        <w:rPr>
          <w:i/>
          <w:iCs/>
        </w:rPr>
        <w:t xml:space="preserve">Proc. Natl. Acad. Sci. U. S. A.</w:t>
      </w:r>
      <w:r>
        <w:t xml:space="preserve"> </w:t>
      </w:r>
      <w:r>
        <w:t xml:space="preserve">121, e2408583121</w:t>
      </w:r>
    </w:p>
    <w:bookmarkEnd w:id="95"/>
    <w:bookmarkStart w:id="96" w:name="ref-Orsted2022"/>
    <w:p>
      <w:pPr>
        <w:pStyle w:val="Bibliography"/>
      </w:pPr>
      <w:r>
        <w:t xml:space="preserve">51.</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96"/>
    <w:bookmarkStart w:id="97" w:name="ref-Jagadish2021"/>
    <w:p>
      <w:pPr>
        <w:pStyle w:val="Bibliography"/>
      </w:pPr>
      <w:r>
        <w:t xml:space="preserve">52.</w:t>
      </w:r>
      <w:r>
        <w:t xml:space="preserve"> </w:t>
      </w:r>
      <w:r>
        <w:t xml:space="preserve">	</w:t>
      </w:r>
      <w:r>
        <w:t xml:space="preserve">Jagadish, S.V.K.</w:t>
      </w:r>
      <w:r>
        <w:t xml:space="preserve"> </w:t>
      </w:r>
      <w:r>
        <w:rPr>
          <w:i/>
          <w:iCs/>
        </w:rPr>
        <w:t xml:space="preserve">et al.</w:t>
      </w:r>
      <w:r>
        <w:t xml:space="preserve"> </w:t>
      </w:r>
      <w:r>
        <w:t xml:space="preserve">(2021) Plant heat stress: Concepts directing future research.</w:t>
      </w:r>
      <w:r>
        <w:t xml:space="preserve"> </w:t>
      </w:r>
      <w:r>
        <w:rPr>
          <w:i/>
          <w:iCs/>
        </w:rPr>
        <w:t xml:space="preserve">Plant Cell Environ.</w:t>
      </w:r>
      <w:r>
        <w:t xml:space="preserve"> </w:t>
      </w:r>
      <w:r>
        <w:t xml:space="preserve">44, 1992–2005</w:t>
      </w:r>
    </w:p>
    <w:bookmarkEnd w:id="97"/>
    <w:bookmarkStart w:id="98" w:name="ref-Faber2024"/>
    <w:p>
      <w:pPr>
        <w:pStyle w:val="Bibliography"/>
      </w:pPr>
      <w:r>
        <w:t xml:space="preserve">53.</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98"/>
    <w:bookmarkStart w:id="99" w:name="ref-Martinez-De_Leon2024"/>
    <w:p>
      <w:pPr>
        <w:pStyle w:val="Bibliography"/>
      </w:pPr>
      <w:r>
        <w:t xml:space="preserve">54.</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99"/>
    <w:bookmarkStart w:id="100" w:name="ref-Chouhan2023"/>
    <w:p>
      <w:pPr>
        <w:pStyle w:val="Bibliography"/>
      </w:pPr>
      <w:r>
        <w:t xml:space="preserve">55.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100"/>
    <w:bookmarkStart w:id="101" w:name="ref-Liu2025"/>
    <w:p>
      <w:pPr>
        <w:pStyle w:val="Bibliography"/>
      </w:pPr>
      <w:r>
        <w:t xml:space="preserve">56.</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101"/>
    <w:bookmarkStart w:id="102" w:name="ref-Marquez2007"/>
    <w:p>
      <w:pPr>
        <w:pStyle w:val="Bibliography"/>
      </w:pPr>
      <w:r>
        <w:t xml:space="preserve">57.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102"/>
    <w:bookmarkStart w:id="103" w:name="ref-Huang2019"/>
    <w:p>
      <w:pPr>
        <w:pStyle w:val="Bibliography"/>
      </w:pPr>
      <w:r>
        <w:t xml:space="preserve">58.</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103"/>
    <w:bookmarkStart w:id="104" w:name="ref-Dastogeer2022"/>
    <w:p>
      <w:pPr>
        <w:pStyle w:val="Bibliography"/>
      </w:pPr>
      <w:r>
        <w:t xml:space="preserve">59.</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104"/>
    <w:bookmarkStart w:id="105" w:name="ref-Hoang2019"/>
    <w:p>
      <w:pPr>
        <w:pStyle w:val="Bibliography"/>
      </w:pPr>
      <w:r>
        <w:t xml:space="preserve">60.</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105"/>
    <w:bookmarkStart w:id="106" w:name="ref-Gehman2019"/>
    <w:p>
      <w:pPr>
        <w:pStyle w:val="Bibliography"/>
      </w:pPr>
      <w:r>
        <w:t xml:space="preserve">61.</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106"/>
    <w:bookmarkStart w:id="107" w:name="ref-Marchin2022"/>
    <w:p>
      <w:pPr>
        <w:pStyle w:val="Bibliography"/>
      </w:pPr>
      <w:r>
        <w:t xml:space="preserve">62.</w:t>
      </w:r>
      <w:r>
        <w:t xml:space="preserve"> </w:t>
      </w:r>
      <w:r>
        <w:t xml:space="preserve">	</w:t>
      </w:r>
      <w:r>
        <w:t xml:space="preserve">Marchin, R.M.</w:t>
      </w:r>
      <w:r>
        <w:t xml:space="preserve"> </w:t>
      </w:r>
      <w:r>
        <w:rPr>
          <w:i/>
          <w:iCs/>
        </w:rPr>
        <w:t xml:space="preserve">et al.</w:t>
      </w:r>
      <w:r>
        <w:t xml:space="preserve"> </w:t>
      </w:r>
      <w:r>
        <w:t xml:space="preserve">(2022) Extreme heat increases stomatal conductance and drought-induced mortality risk in vulnerable plant species.</w:t>
      </w:r>
      <w:r>
        <w:t xml:space="preserve"> </w:t>
      </w:r>
      <w:r>
        <w:rPr>
          <w:i/>
          <w:iCs/>
        </w:rPr>
        <w:t xml:space="preserve">Glob. Chang. Biol.</w:t>
      </w:r>
      <w:r>
        <w:t xml:space="preserve"> </w:t>
      </w:r>
      <w:r>
        <w:t xml:space="preserve">28, 1133–1146</w:t>
      </w:r>
    </w:p>
    <w:bookmarkEnd w:id="107"/>
    <w:bookmarkStart w:id="108" w:name="ref-Youngblood2025"/>
    <w:p>
      <w:pPr>
        <w:pStyle w:val="Bibliography"/>
      </w:pPr>
      <w:r>
        <w:t xml:space="preserve">63.</w:t>
      </w:r>
      <w:r>
        <w:t xml:space="preserve"> </w:t>
      </w:r>
      <w:r>
        <w:t xml:space="preserve">	</w:t>
      </w:r>
      <w:r>
        <w:t xml:space="preserve">Youngblood, J.P.</w:t>
      </w:r>
      <w:r>
        <w:t xml:space="preserve"> </w:t>
      </w:r>
      <w:r>
        <w:rPr>
          <w:i/>
          <w:iCs/>
        </w:rPr>
        <w:t xml:space="preserve">et al.</w:t>
      </w:r>
      <w:r>
        <w:t xml:space="preserve"> </w:t>
      </w:r>
      <w:r>
        <w:t xml:space="preserve">(2025) Dehydration worsens heat tolerance of locusts and amplifies predicted impacts of climate change.</w:t>
      </w:r>
      <w:r>
        <w:t xml:space="preserve"> </w:t>
      </w:r>
      <w:r>
        <w:rPr>
          <w:i/>
          <w:iCs/>
        </w:rPr>
        <w:t xml:space="preserve">Funct. Ecol.</w:t>
      </w:r>
    </w:p>
    <w:bookmarkEnd w:id="108"/>
    <w:bookmarkStart w:id="109" w:name="ref-Mengutay2013"/>
    <w:p>
      <w:pPr>
        <w:pStyle w:val="Bibliography"/>
      </w:pPr>
      <w:r>
        <w:t xml:space="preserve">64.</w:t>
      </w:r>
      <w:r>
        <w:t xml:space="preserve"> </w:t>
      </w:r>
      <w:r>
        <w:t xml:space="preserve">	</w:t>
      </w:r>
      <w:r>
        <w:t xml:space="preserve">Mengutay, M.</w:t>
      </w:r>
      <w:r>
        <w:t xml:space="preserve"> </w:t>
      </w:r>
      <w:r>
        <w:rPr>
          <w:i/>
          <w:iCs/>
        </w:rPr>
        <w:t xml:space="preserve">et al.</w:t>
      </w:r>
      <w:r>
        <w:t xml:space="preserve"> </w:t>
      </w:r>
      <w:r>
        <w:t xml:space="preserve">(2013) Adequate magnesium nutrition mitigates adverse effects of heat stress on maize and wheat.</w:t>
      </w:r>
      <w:r>
        <w:t xml:space="preserve"> </w:t>
      </w:r>
      <w:r>
        <w:rPr>
          <w:i/>
          <w:iCs/>
        </w:rPr>
        <w:t xml:space="preserve">Plant Soil</w:t>
      </w:r>
      <w:r>
        <w:t xml:space="preserve"> </w:t>
      </w:r>
      <w:r>
        <w:t xml:space="preserve">368, 57–72</w:t>
      </w:r>
    </w:p>
    <w:bookmarkEnd w:id="109"/>
    <w:bookmarkStart w:id="110" w:name="ref-Andersen2010"/>
    <w:p>
      <w:pPr>
        <w:pStyle w:val="Bibliography"/>
      </w:pPr>
      <w:r>
        <w:t xml:space="preserve">65.</w:t>
      </w:r>
      <w:r>
        <w:t xml:space="preserve"> </w:t>
      </w:r>
      <w:r>
        <w:t xml:space="preserve">	</w:t>
      </w:r>
      <w:r>
        <w:t xml:space="preserve">Andersen, L.H.</w:t>
      </w:r>
      <w:r>
        <w:t xml:space="preserve"> </w:t>
      </w:r>
      <w:r>
        <w:rPr>
          <w:i/>
          <w:iCs/>
        </w:rPr>
        <w:t xml:space="preserve">et al.</w:t>
      </w:r>
      <w:r>
        <w:t xml:space="preserve"> </w:t>
      </w:r>
      <w:r>
        <w:t xml:space="preserve">(2010) Protein and carbohydrate composition of larval food affects tolerance to thermal stress and desiccation in adult drosophila melanogaster.</w:t>
      </w:r>
      <w:r>
        <w:t xml:space="preserve"> </w:t>
      </w:r>
      <w:r>
        <w:rPr>
          <w:i/>
          <w:iCs/>
        </w:rPr>
        <w:t xml:space="preserve">J. Insect Physiol.</w:t>
      </w:r>
      <w:r>
        <w:t xml:space="preserve"> </w:t>
      </w:r>
      <w:r>
        <w:t xml:space="preserve">56, 336–340</w:t>
      </w:r>
    </w:p>
    <w:bookmarkEnd w:id="110"/>
    <w:bookmarkStart w:id="111" w:name="ref-Nisbet2000"/>
    <w:p>
      <w:pPr>
        <w:pStyle w:val="Bibliography"/>
      </w:pPr>
      <w:r>
        <w:t xml:space="preserve">66.</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111"/>
    <w:bookmarkStart w:id="112" w:name="ref-Jager2020"/>
    <w:p>
      <w:pPr>
        <w:pStyle w:val="Bibliography"/>
      </w:pPr>
      <w:r>
        <w:t xml:space="preserve">67.</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112"/>
    <w:bookmarkStart w:id="113" w:name="ref-Haberle2025"/>
    <w:p>
      <w:pPr>
        <w:pStyle w:val="Bibliography"/>
      </w:pPr>
      <w:r>
        <w:t xml:space="preserve">68.</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113"/>
    <w:bookmarkStart w:id="114" w:name="ref-Kearney2013"/>
    <w:p>
      <w:pPr>
        <w:pStyle w:val="Bibliography"/>
      </w:pPr>
      <w:r>
        <w:t xml:space="preserve">69.</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114"/>
    <w:bookmarkStart w:id="115" w:name="ref-Kearney2010"/>
    <w:p>
      <w:pPr>
        <w:pStyle w:val="Bibliography"/>
      </w:pPr>
      <w:r>
        <w:t xml:space="preserve">70.</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115"/>
    <w:bookmarkStart w:id="116" w:name="ref-Russo2022"/>
    <w:p>
      <w:pPr>
        <w:pStyle w:val="Bibliography"/>
      </w:pPr>
      <w:r>
        <w:t xml:space="preserve">71.</w:t>
      </w:r>
      <w:r>
        <w:t xml:space="preserve"> </w:t>
      </w:r>
      <w:r>
        <w:t xml:space="preserve">	</w:t>
      </w:r>
      <w:r>
        <w:t xml:space="preserve">Russo, S.E.</w:t>
      </w:r>
      <w:r>
        <w:t xml:space="preserve"> </w:t>
      </w:r>
      <w:r>
        <w:rPr>
          <w:i/>
          <w:iCs/>
        </w:rPr>
        <w:t xml:space="preserve">et al.</w:t>
      </w:r>
      <w:r>
        <w:t xml:space="preserve"> </w:t>
      </w:r>
      <w:r>
        <w:t xml:space="preserve">(2022) Dynamic energy budget models: Fertile ground for understanding resource allocation in plants in a changing world.</w:t>
      </w:r>
      <w:r>
        <w:t xml:space="preserve"> </w:t>
      </w:r>
      <w:r>
        <w:rPr>
          <w:i/>
          <w:iCs/>
        </w:rPr>
        <w:t xml:space="preserve">Conserv. Physiol.</w:t>
      </w:r>
      <w:r>
        <w:t xml:space="preserve"> </w:t>
      </w:r>
      <w:r>
        <w:t xml:space="preserve">10, coac061</w:t>
      </w:r>
    </w:p>
    <w:bookmarkEnd w:id="116"/>
    <w:bookmarkStart w:id="117" w:name="ref-Marques2018"/>
    <w:p>
      <w:pPr>
        <w:pStyle w:val="Bibliography"/>
      </w:pPr>
      <w:r>
        <w:t xml:space="preserve">72.</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117"/>
    <w:bookmarkStart w:id="118" w:name="ref-Kooijman2021"/>
    <w:p>
      <w:pPr>
        <w:pStyle w:val="Bibliography"/>
      </w:pPr>
      <w:r>
        <w:t xml:space="preserve">73.</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118"/>
    <w:bookmarkStart w:id="119" w:name="ref-Bruggeman2009"/>
    <w:p>
      <w:pPr>
        <w:pStyle w:val="Bibliography"/>
      </w:pPr>
      <w:r>
        <w:t xml:space="preserve">74.</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119"/>
    <w:bookmarkStart w:id="120" w:name="ref-Kearney2020a"/>
    <w:p>
      <w:pPr>
        <w:pStyle w:val="Bibliography"/>
      </w:pPr>
      <w:r>
        <w:t xml:space="preserve">75.</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120"/>
    <w:bookmarkStart w:id="121" w:name="ref-Chesson2000"/>
    <w:p>
      <w:pPr>
        <w:pStyle w:val="Bibliography"/>
      </w:pPr>
      <w:r>
        <w:t xml:space="preserve">76.</w:t>
      </w:r>
      <w:r>
        <w:t xml:space="preserve"> </w:t>
      </w:r>
      <w:r>
        <w:t xml:space="preserve">	</w:t>
      </w:r>
      <w:r>
        <w:t xml:space="preserve">Chesson, P. (2000) General theory of competitive coexistence in spatially-varying environments.</w:t>
      </w:r>
      <w:r>
        <w:t xml:space="preserve"> </w:t>
      </w:r>
      <w:r>
        <w:rPr>
          <w:i/>
          <w:iCs/>
        </w:rPr>
        <w:t xml:space="preserve">Theor. Popul. Biol.</w:t>
      </w:r>
      <w:r>
        <w:t xml:space="preserve"> </w:t>
      </w:r>
      <w:r>
        <w:t xml:space="preserve">58, 211–237</w:t>
      </w:r>
    </w:p>
    <w:bookmarkEnd w:id="121"/>
    <w:bookmarkStart w:id="122" w:name="ref-Ricker1954a"/>
    <w:p>
      <w:pPr>
        <w:pStyle w:val="Bibliography"/>
      </w:pPr>
      <w:r>
        <w:t xml:space="preserve">77.</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122"/>
    <w:bookmarkStart w:id="123" w:name="ref-Beverton2012"/>
    <w:p>
      <w:pPr>
        <w:pStyle w:val="Bibliography"/>
      </w:pPr>
      <w:r>
        <w:t xml:space="preserve">78.</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123"/>
    <w:bookmarkStart w:id="124" w:name="ref-Bimler2024"/>
    <w:p>
      <w:pPr>
        <w:pStyle w:val="Bibliography"/>
      </w:pPr>
      <w:r>
        <w:t xml:space="preserve">79.</w:t>
      </w:r>
      <w:r>
        <w:t xml:space="preserve"> </w:t>
      </w:r>
      <w:r>
        <w:t xml:space="preserve">	</w:t>
      </w:r>
      <w:r>
        <w:t xml:space="preserve">Bimler, M.D.</w:t>
      </w:r>
      <w:r>
        <w:t xml:space="preserve"> </w:t>
      </w:r>
      <w:r>
        <w:rPr>
          <w:i/>
          <w:iCs/>
        </w:rPr>
        <w:t xml:space="preserve">et al.</w:t>
      </w:r>
      <w:r>
        <w:t xml:space="preserve"> </w:t>
      </w:r>
      <w:r>
        <w:t xml:space="preserve">(2024) Plant interaction networks reveal the limits of our understanding of diversity maintenance.</w:t>
      </w:r>
      <w:r>
        <w:t xml:space="preserve"> </w:t>
      </w:r>
      <w:r>
        <w:rPr>
          <w:i/>
          <w:iCs/>
        </w:rPr>
        <w:t xml:space="preserve">Ecol. Lett.</w:t>
      </w:r>
      <w:r>
        <w:t xml:space="preserve"> </w:t>
      </w:r>
      <w:r>
        <w:t xml:space="preserve">27, e14376</w:t>
      </w:r>
    </w:p>
    <w:bookmarkEnd w:id="124"/>
    <w:bookmarkStart w:id="125" w:name="ref-Mayfield2017"/>
    <w:p>
      <w:pPr>
        <w:pStyle w:val="Bibliography"/>
      </w:pPr>
      <w:r>
        <w:t xml:space="preserve">80.</w:t>
      </w:r>
      <w:r>
        <w:t xml:space="preserve"> </w:t>
      </w:r>
      <w:r>
        <w:t xml:space="preserve">	</w:t>
      </w:r>
      <w:r>
        <w:t xml:space="preserve">Mayfield, M. and Stouffer, D.B. (2017) Higher-order interactions capture unexplained complexity in diverse communities.</w:t>
      </w:r>
      <w:r>
        <w:t xml:space="preserve"> </w:t>
      </w:r>
      <w:r>
        <w:rPr>
          <w:i/>
          <w:iCs/>
        </w:rPr>
        <w:t xml:space="preserve">Nature Ecology &amp;Evolution</w:t>
      </w:r>
      <w:r>
        <w:t xml:space="preserve"> </w:t>
      </w:r>
      <w:r>
        <w:t xml:space="preserve">1, 0062</w:t>
      </w:r>
    </w:p>
    <w:bookmarkEnd w:id="125"/>
    <w:bookmarkStart w:id="126" w:name="ref-Buche2025"/>
    <w:p>
      <w:pPr>
        <w:pStyle w:val="Bibliography"/>
      </w:pPr>
      <w:r>
        <w:t xml:space="preserve">81.</w:t>
      </w:r>
      <w:r>
        <w:t xml:space="preserve"> </w:t>
      </w:r>
      <w:r>
        <w:t xml:space="preserve">	</w:t>
      </w:r>
      <w:r>
        <w:t xml:space="preserve">Buche, L.</w:t>
      </w:r>
      <w:r>
        <w:t xml:space="preserve"> </w:t>
      </w:r>
      <w:r>
        <w:rPr>
          <w:i/>
          <w:iCs/>
        </w:rPr>
        <w:t xml:space="preserve">et al.</w:t>
      </w:r>
      <w:r>
        <w:t xml:space="preserve"> </w:t>
      </w:r>
      <w:r>
        <w:t xml:space="preserve">(2025) A continuum from positive to negative interactions drives plant species’ performance in a diverse community.</w:t>
      </w:r>
      <w:r>
        <w:t xml:space="preserve"> </w:t>
      </w:r>
      <w:r>
        <w:rPr>
          <w:i/>
          <w:iCs/>
        </w:rPr>
        <w:t xml:space="preserve">Ecol. Lett.</w:t>
      </w:r>
      <w:r>
        <w:t xml:space="preserve"> </w:t>
      </w:r>
      <w:r>
        <w:t xml:space="preserve">28, e70059</w:t>
      </w:r>
    </w:p>
    <w:bookmarkEnd w:id="126"/>
    <w:bookmarkStart w:id="127" w:name="ref-Martyn2021"/>
    <w:p>
      <w:pPr>
        <w:pStyle w:val="Bibliography"/>
      </w:pPr>
      <w:r>
        <w:t xml:space="preserve">82.</w:t>
      </w:r>
      <w:r>
        <w:t xml:space="preserve"> </w:t>
      </w:r>
      <w:r>
        <w:t xml:space="preserve">	</w:t>
      </w:r>
      <w:r>
        <w:t xml:space="preserve">Martyn, T.E.</w:t>
      </w:r>
      <w:r>
        <w:t xml:space="preserve"> </w:t>
      </w:r>
      <w:r>
        <w:rPr>
          <w:i/>
          <w:iCs/>
        </w:rPr>
        <w:t xml:space="preserve">et al.</w:t>
      </w:r>
      <w:r>
        <w:t xml:space="preserve"> </w:t>
      </w:r>
      <w:r>
        <w:t xml:space="preserve">(2021) Identifying</w:t>
      </w:r>
      <w:r>
        <w:t xml:space="preserve"> </w:t>
      </w:r>
      <w:r>
        <w:t xml:space="preserve">“useful”</w:t>
      </w:r>
      <w:r>
        <w:t xml:space="preserve"> </w:t>
      </w:r>
      <w:r>
        <w:t xml:space="preserve">fitness models: Balancing the benefits of added complexity with realistic data requirements in models of individual plant fitness.</w:t>
      </w:r>
      <w:r>
        <w:t xml:space="preserve"> </w:t>
      </w:r>
      <w:r>
        <w:rPr>
          <w:i/>
          <w:iCs/>
        </w:rPr>
        <w:t xml:space="preserve">Am. Nat.</w:t>
      </w:r>
      <w:r>
        <w:t xml:space="preserve"> </w:t>
      </w:r>
      <w:r>
        <w:t xml:space="preserve">197, 415–433</w:t>
      </w:r>
    </w:p>
    <w:bookmarkEnd w:id="127"/>
    <w:bookmarkStart w:id="128" w:name="ref-Chevin2017"/>
    <w:p>
      <w:pPr>
        <w:pStyle w:val="Bibliography"/>
      </w:pPr>
      <w:r>
        <w:t xml:space="preserve">83.</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28"/>
    <w:bookmarkStart w:id="129" w:name="ref-Urban2024"/>
    <w:p>
      <w:pPr>
        <w:pStyle w:val="Bibliography"/>
      </w:pPr>
      <w:r>
        <w:t xml:space="preserve">84.</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29"/>
    <w:bookmarkStart w:id="130" w:name="ref-Hoffmann2011"/>
    <w:p>
      <w:pPr>
        <w:pStyle w:val="Bibliography"/>
      </w:pPr>
      <w:r>
        <w:t xml:space="preserve">85.</w:t>
      </w:r>
      <w:r>
        <w:t xml:space="preserve"> </w:t>
      </w:r>
      <w:r>
        <w:t xml:space="preserve">	</w:t>
      </w:r>
      <w:r>
        <w:t xml:space="preserve">Hoffmann, A.A. and Sgrò, C.M. (2011) Climate change and evolutionary adaptation. 470, 479–485</w:t>
      </w:r>
    </w:p>
    <w:bookmarkEnd w:id="130"/>
    <w:bookmarkStart w:id="131" w:name="ref-Hoffmann2022"/>
    <w:p>
      <w:pPr>
        <w:pStyle w:val="Bibliography"/>
      </w:pPr>
      <w:r>
        <w:t xml:space="preserve">86.</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31"/>
    <w:bookmarkStart w:id="132" w:name="ref-Ghalambor2015"/>
    <w:p>
      <w:pPr>
        <w:pStyle w:val="Bibliography"/>
      </w:pPr>
      <w:r>
        <w:t xml:space="preserve">87.</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32"/>
    <w:bookmarkStart w:id="133" w:name="ref-Oostra2018"/>
    <w:p>
      <w:pPr>
        <w:pStyle w:val="Bibliography"/>
      </w:pPr>
      <w:r>
        <w:t xml:space="preserve">88.</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33"/>
    <w:bookmarkStart w:id="134" w:name="ref-Noble2019"/>
    <w:p>
      <w:pPr>
        <w:pStyle w:val="Bibliography"/>
      </w:pPr>
      <w:r>
        <w:t xml:space="preserve">89.</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34"/>
    <w:bookmarkStart w:id="135" w:name="ref-Sousa2010"/>
    <w:p>
      <w:pPr>
        <w:pStyle w:val="Bibliography"/>
      </w:pPr>
      <w:r>
        <w:t xml:space="preserve">90.</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35"/>
    <w:bookmarkStart w:id="136" w:name="ref-Lande1979"/>
    <w:p>
      <w:pPr>
        <w:pStyle w:val="Bibliography"/>
      </w:pPr>
      <w:r>
        <w:t xml:space="preserve">91.</w:t>
      </w:r>
      <w:r>
        <w:t xml:space="preserve"> </w:t>
      </w:r>
      <w:r>
        <w:t xml:space="preserve">	</w:t>
      </w:r>
      <w:r>
        <w:t xml:space="preserve">Lande, R. (1979) Quantitative genetic analysis of multivariate evolution, applied to brain:body size allometry.</w:t>
      </w:r>
      <w:r>
        <w:t xml:space="preserve"> </w:t>
      </w:r>
      <w:r>
        <w:rPr>
          <w:i/>
          <w:iCs/>
        </w:rPr>
        <w:t xml:space="preserve">Evolution</w:t>
      </w:r>
      <w:r>
        <w:t xml:space="preserve"> </w:t>
      </w:r>
      <w:r>
        <w:t xml:space="preserve">33</w:t>
      </w:r>
    </w:p>
    <w:bookmarkEnd w:id="136"/>
    <w:bookmarkStart w:id="137" w:name="ref-Walsh2018"/>
    <w:p>
      <w:pPr>
        <w:pStyle w:val="Bibliography"/>
      </w:pPr>
      <w:r>
        <w:t xml:space="preserve">92.</w:t>
      </w:r>
      <w:r>
        <w:t xml:space="preserve"> </w:t>
      </w:r>
      <w:r>
        <w:t xml:space="preserve">	</w:t>
      </w:r>
      <w:r>
        <w:t xml:space="preserve">Walsh, B. and Lynch, M. (2018)</w:t>
      </w:r>
      <w:r>
        <w:t xml:space="preserve"> </w:t>
      </w:r>
      <w:r>
        <w:rPr>
          <w:i/>
          <w:iCs/>
        </w:rPr>
        <w:t xml:space="preserve">Evolution and selection of quantitative traits</w:t>
      </w:r>
      <w:r>
        <w:t xml:space="preserve">, Oxford University Press</w:t>
      </w:r>
    </w:p>
    <w:bookmarkEnd w:id="137"/>
    <w:bookmarkStart w:id="138" w:name="ref-Baeza_Icaza2025"/>
    <w:p>
      <w:pPr>
        <w:pStyle w:val="Bibliography"/>
      </w:pPr>
      <w:r>
        <w:t xml:space="preserve">93.</w:t>
      </w:r>
      <w:r>
        <w:t xml:space="preserve"> </w:t>
      </w:r>
      <w:r>
        <w:t xml:space="preserve">	</w:t>
      </w:r>
      <w:r>
        <w:t xml:space="preserve">Baeza Icaza, A.</w:t>
      </w:r>
      <w:r>
        <w:t xml:space="preserve"> </w:t>
      </w:r>
      <w:r>
        <w:rPr>
          <w:i/>
          <w:iCs/>
        </w:rPr>
        <w:t xml:space="preserve">et al.</w:t>
      </w:r>
      <w:r>
        <w:t xml:space="preserve"> </w:t>
      </w:r>
      <w:r>
        <w:t xml:space="preserve">(2025) Warm acclimation reduces the sensitivity of drosophila species to heat stress at ecologically relevant scales.</w:t>
      </w:r>
      <w:r>
        <w:t xml:space="preserve"> </w:t>
      </w:r>
      <w:r>
        <w:rPr>
          <w:i/>
          <w:iCs/>
        </w:rPr>
        <w:t xml:space="preserve">J. Anim. Ecol.</w:t>
      </w:r>
      <w:r>
        <w:t xml:space="preserve"> </w:t>
      </w:r>
      <w:r>
        <w:t xml:space="preserve">94, 896–907</w:t>
      </w:r>
    </w:p>
    <w:bookmarkEnd w:id="138"/>
    <w:bookmarkStart w:id="139" w:name="ref-Kearney2009a"/>
    <w:p>
      <w:pPr>
        <w:pStyle w:val="Bibliography"/>
      </w:pPr>
      <w:r>
        <w:t xml:space="preserve">94.</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39"/>
    <w:bookmarkStart w:id="140" w:name="ref-Ellner2011"/>
    <w:p>
      <w:pPr>
        <w:pStyle w:val="Bibliography"/>
      </w:pPr>
      <w:r>
        <w:t xml:space="preserve">95.</w:t>
      </w:r>
      <w:r>
        <w:t xml:space="preserve"> </w:t>
      </w:r>
      <w:r>
        <w:t xml:space="preserve">	</w:t>
      </w:r>
      <w:r>
        <w:t xml:space="preserve">Ellner, S.P.</w:t>
      </w:r>
      <w:r>
        <w:t xml:space="preserve"> </w:t>
      </w:r>
      <w:r>
        <w:rPr>
          <w:i/>
          <w:iCs/>
        </w:rPr>
        <w:t xml:space="preserve">et al.</w:t>
      </w:r>
      <w:r>
        <w:t xml:space="preserve"> </w:t>
      </w:r>
      <w:r>
        <w:t xml:space="preserve">(2011) Does rapid evolution matter? Measuring the rate of contemporary evolution and its impacts on ecological dynamics: How much does rapid evolution matter?</w:t>
      </w:r>
      <w:r>
        <w:t xml:space="preserve"> </w:t>
      </w:r>
      <w:r>
        <w:rPr>
          <w:i/>
          <w:iCs/>
        </w:rPr>
        <w:t xml:space="preserve">Ecol. Lett.</w:t>
      </w:r>
      <w:r>
        <w:t xml:space="preserve"> </w:t>
      </w:r>
      <w:r>
        <w:t xml:space="preserve">14, 603–614</w:t>
      </w:r>
    </w:p>
    <w:bookmarkEnd w:id="140"/>
    <w:bookmarkStart w:id="141" w:name="ref-Pottier2022a"/>
    <w:p>
      <w:pPr>
        <w:pStyle w:val="Bibliography"/>
      </w:pPr>
      <w:r>
        <w:t xml:space="preserve">96.</w:t>
      </w:r>
      <w:r>
        <w:t xml:space="preserve"> </w:t>
      </w:r>
      <w:r>
        <w:t xml:space="preserve">	</w:t>
      </w:r>
      <w:r>
        <w:t xml:space="preserve">Pottier, P.</w:t>
      </w:r>
      <w:r>
        <w:t xml:space="preserve"> </w:t>
      </w:r>
      <w:r>
        <w:rPr>
          <w:i/>
          <w:iCs/>
        </w:rPr>
        <w:t xml:space="preserve">et al.</w:t>
      </w:r>
      <w:r>
        <w:t xml:space="preserve"> </w:t>
      </w:r>
      <w:r>
        <w:t xml:space="preserve">(2022) Developmental plasticity in thermal tolerance: Ontogenetic variation, persistence, and future directions.</w:t>
      </w:r>
      <w:r>
        <w:t xml:space="preserve"> </w:t>
      </w:r>
      <w:r>
        <w:rPr>
          <w:i/>
          <w:iCs/>
        </w:rPr>
        <w:t xml:space="preserve">Ecol. Lett.</w:t>
      </w:r>
      <w:r>
        <w:t xml:space="preserve"> </w:t>
      </w:r>
      <w:r>
        <w:t xml:space="preserve">25, 2245–2268</w:t>
      </w:r>
    </w:p>
    <w:bookmarkEnd w:id="141"/>
    <w:bookmarkStart w:id="142" w:name="ref-Leiva2024b"/>
    <w:p>
      <w:pPr>
        <w:pStyle w:val="Bibliography"/>
      </w:pPr>
      <w:r>
        <w:t xml:space="preserve">97.</w:t>
      </w:r>
      <w:r>
        <w:t xml:space="preserve"> </w:t>
      </w:r>
      <w:r>
        <w:t xml:space="preserve">	</w:t>
      </w:r>
      <w:r>
        <w:t xml:space="preserve">Leiva, F.P.</w:t>
      </w:r>
      <w:r>
        <w:t xml:space="preserve"> </w:t>
      </w:r>
      <w:r>
        <w:rPr>
          <w:i/>
          <w:iCs/>
        </w:rPr>
        <w:t xml:space="preserve">et al.</w:t>
      </w:r>
      <w:r>
        <w:t xml:space="preserve"> </w:t>
      </w:r>
      <w:r>
        <w:t xml:space="preserve">(2024) Genetic variation of heat tolerance in a model ectotherm: An approach using thermal death time curves</w:t>
      </w:r>
    </w:p>
    <w:bookmarkEnd w:id="142"/>
    <w:bookmarkStart w:id="143" w:name="ref-Arnold2019a"/>
    <w:p>
      <w:pPr>
        <w:pStyle w:val="Bibliography"/>
      </w:pPr>
      <w:r>
        <w:t xml:space="preserve">98.</w:t>
      </w:r>
      <w:r>
        <w:t xml:space="preserve"> </w:t>
      </w:r>
      <w:r>
        <w:t xml:space="preserve">	</w:t>
      </w:r>
      <w:r>
        <w:t xml:space="preserve">Arnold, P.A.</w:t>
      </w:r>
      <w:r>
        <w:t xml:space="preserve"> </w:t>
      </w:r>
      <w:r>
        <w:rPr>
          <w:i/>
          <w:iCs/>
        </w:rPr>
        <w:t xml:space="preserve">et al.</w:t>
      </w:r>
      <w:r>
        <w:t xml:space="preserve"> </w:t>
      </w:r>
      <w:r>
        <w:t xml:space="preserve">(2019) Sparse evidence for selection on phenotypic plasticity in response to temperature.</w:t>
      </w:r>
      <w:r>
        <w:t xml:space="preserve"> </w:t>
      </w:r>
      <w:r>
        <w:rPr>
          <w:i/>
          <w:iCs/>
        </w:rPr>
        <w:t xml:space="preserve">Philos. Trans. R. Soc. Lond. B Biol. Sci.</w:t>
      </w:r>
      <w:r>
        <w:t xml:space="preserve"> </w:t>
      </w:r>
      <w:r>
        <w:t xml:space="preserve">374, 20180185</w:t>
      </w:r>
    </w:p>
    <w:bookmarkEnd w:id="143"/>
    <w:bookmarkStart w:id="144" w:name="ref-Arnold2024"/>
    <w:p>
      <w:pPr>
        <w:pStyle w:val="Bibliography"/>
      </w:pPr>
      <w:r>
        <w:t xml:space="preserve">99.</w:t>
      </w:r>
      <w:r>
        <w:t xml:space="preserve"> </w:t>
      </w:r>
      <w:r>
        <w:t xml:space="preserve">	</w:t>
      </w:r>
      <w:r>
        <w:t xml:space="preserve">Arnold, P.A.</w:t>
      </w:r>
      <w:r>
        <w:t xml:space="preserve"> </w:t>
      </w:r>
      <w:r>
        <w:rPr>
          <w:i/>
          <w:iCs/>
        </w:rPr>
        <w:t xml:space="preserve">et al.</w:t>
      </w:r>
      <w:r>
        <w:t xml:space="preserve"> </w:t>
      </w:r>
      <w:r>
        <w:t xml:space="preserve">(2024) Testing the evolutionary potential of an alpine plant: Phenotypic plasticity in response to growth temperature outweighs parental environmental effects and other genetic causes of variation.</w:t>
      </w:r>
      <w:r>
        <w:t xml:space="preserve"> </w:t>
      </w:r>
      <w:r>
        <w:rPr>
          <w:i/>
          <w:iCs/>
        </w:rPr>
        <w:t xml:space="preserve">J. Exp. Bot.</w:t>
      </w:r>
      <w:r>
        <w:t xml:space="preserve"> </w:t>
      </w:r>
      <w:r>
        <w:t xml:space="preserve">75, 5971–5988</w:t>
      </w:r>
    </w:p>
    <w:bookmarkEnd w:id="144"/>
    <w:bookmarkStart w:id="145" w:name="ref-Assessment_undated-fv"/>
    <w:p>
      <w:pPr>
        <w:pStyle w:val="Bibliography"/>
      </w:pPr>
      <w:r>
        <w:t xml:space="preserve">100.</w:t>
      </w:r>
      <w:r>
        <w:t xml:space="preserve"> </w:t>
      </w:r>
      <w:r>
        <w:t xml:space="preserve">	</w:t>
      </w:r>
      <w:r>
        <w:t xml:space="preserve">Assessment, M.E. (2005) Opportunities and challenges for business and industryunioviedo.es</w:t>
      </w:r>
    </w:p>
    <w:bookmarkEnd w:id="145"/>
    <w:bookmarkStart w:id="146" w:name="ref-Dandy2019"/>
    <w:p>
      <w:pPr>
        <w:pStyle w:val="Bibliography"/>
      </w:pPr>
      <w:r>
        <w:t xml:space="preserve">101.</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46"/>
    <w:bookmarkStart w:id="147" w:name="ref-Price2014"/>
    <w:p>
      <w:pPr>
        <w:pStyle w:val="Bibliography"/>
      </w:pPr>
      <w:r>
        <w:t xml:space="preserve">102.</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47"/>
    <w:bookmarkStart w:id="148" w:name="ref-Leviston2018"/>
    <w:p>
      <w:pPr>
        <w:pStyle w:val="Bibliography"/>
      </w:pPr>
      <w:r>
        <w:t xml:space="preserve">103.</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48"/>
    <w:bookmarkStart w:id="149" w:name="ref-Bai2016"/>
    <w:p>
      <w:pPr>
        <w:pStyle w:val="Bibliography"/>
      </w:pPr>
      <w:r>
        <w:t xml:space="preserve">104.</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49"/>
    <w:bookmarkStart w:id="150" w:name="ref-Grimm2008"/>
    <w:p>
      <w:pPr>
        <w:pStyle w:val="Bibliography"/>
      </w:pPr>
      <w:r>
        <w:t xml:space="preserve">105.</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50"/>
    <w:bookmarkStart w:id="151" w:name="ref-Hendricks2022"/>
    <w:p>
      <w:pPr>
        <w:pStyle w:val="Bibliography"/>
      </w:pPr>
      <w:r>
        <w:t xml:space="preserve">106.</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51"/>
    <w:bookmarkStart w:id="152" w:name="ref-Sutanto2020"/>
    <w:p>
      <w:pPr>
        <w:pStyle w:val="Bibliography"/>
      </w:pPr>
      <w:r>
        <w:t xml:space="preserve">107.</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52"/>
    <w:bookmarkStart w:id="153" w:name="ref-Liu2007"/>
    <w:p>
      <w:pPr>
        <w:pStyle w:val="Bibliography"/>
      </w:pPr>
      <w:r>
        <w:t xml:space="preserve">108.</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53"/>
    <w:bookmarkStart w:id="154" w:name="ref-Black2011"/>
    <w:p>
      <w:pPr>
        <w:pStyle w:val="Bibliography"/>
      </w:pPr>
      <w:r>
        <w:t xml:space="preserve">109.</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54"/>
    <w:bookmarkStart w:id="155" w:name="ref-Neil_Adger1999"/>
    <w:p>
      <w:pPr>
        <w:pStyle w:val="Bibliography"/>
      </w:pPr>
      <w:r>
        <w:t xml:space="preserve">110.</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55"/>
    <w:bookmarkStart w:id="156" w:name="ref-Folke2016"/>
    <w:p>
      <w:pPr>
        <w:pStyle w:val="Bibliography"/>
      </w:pPr>
      <w:r>
        <w:t xml:space="preserve">111.</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56"/>
    <w:bookmarkStart w:id="157" w:name="ref-Schluter2012"/>
    <w:p>
      <w:pPr>
        <w:pStyle w:val="Bibliography"/>
      </w:pPr>
      <w:r>
        <w:t xml:space="preserve">112.</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57"/>
    <w:bookmarkStart w:id="158" w:name="ref-Wise2014"/>
    <w:p>
      <w:pPr>
        <w:pStyle w:val="Bibliography"/>
      </w:pPr>
      <w:r>
        <w:t xml:space="preserve">113.</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58"/>
    <w:bookmarkStart w:id="159" w:name="ref-Biggs2021"/>
    <w:p>
      <w:pPr>
        <w:pStyle w:val="Bibliography"/>
      </w:pPr>
      <w:r>
        <w:t xml:space="preserve">114.</w:t>
      </w:r>
      <w:r>
        <w:t xml:space="preserve"> </w:t>
      </w:r>
      <w:r>
        <w:t xml:space="preserve">	</w:t>
      </w:r>
      <w:r>
        <w:t xml:space="preserve">Biggs, R.</w:t>
      </w:r>
      <w:r>
        <w:t xml:space="preserve"> </w:t>
      </w:r>
      <w:r>
        <w:rPr>
          <w:i/>
          <w:iCs/>
        </w:rPr>
        <w:t xml:space="preserve">et al.</w:t>
      </w:r>
      <w:r>
        <w:t xml:space="preserve"> </w:t>
      </w:r>
      <w:r>
        <w:t xml:space="preserve">(2021)</w:t>
      </w:r>
      <w:r>
        <w:t xml:space="preserve"> </w:t>
      </w:r>
      <w:r>
        <w:rPr>
          <w:i/>
          <w:iCs/>
        </w:rPr>
        <w:t xml:space="preserve">The routledge handbook of research methods for social-ecological systems</w:t>
      </w:r>
      <w:r>
        <w:t xml:space="preserve">, Taylor &amp; Francis</w:t>
      </w:r>
    </w:p>
    <w:bookmarkEnd w:id="159"/>
    <w:bookmarkStart w:id="160" w:name="ref-Brown2021"/>
    <w:p>
      <w:pPr>
        <w:pStyle w:val="Bibliography"/>
      </w:pPr>
      <w:r>
        <w:t xml:space="preserve">115.</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Nat. (Hoboken)</w:t>
      </w:r>
      <w:r>
        <w:t xml:space="preserve"> </w:t>
      </w:r>
      <w:r>
        <w:t xml:space="preserve">3, 88–103</w:t>
      </w:r>
    </w:p>
    <w:bookmarkEnd w:id="160"/>
    <w:bookmarkStart w:id="161" w:name="ref-Kwakkel2013"/>
    <w:p>
      <w:pPr>
        <w:pStyle w:val="Bibliography"/>
      </w:pPr>
      <w:r>
        <w:t xml:space="preserve">116.</w:t>
      </w:r>
      <w:r>
        <w:t xml:space="preserve"> </w:t>
      </w:r>
      <w:r>
        <w:t xml:space="preserve">	</w:t>
      </w:r>
      <w:r>
        <w:t xml:space="preserve">Kwakkel, J.H. and Pruyt, E. (2013) Exploratory modeling and analysis, an approach for model-based foresight under deep uncertainty.</w:t>
      </w:r>
      <w:r>
        <w:t xml:space="preserve"> </w:t>
      </w:r>
      <w:r>
        <w:rPr>
          <w:i/>
          <w:iCs/>
        </w:rPr>
        <w:t xml:space="preserve">Technol. Forecast. Soc. Change</w:t>
      </w:r>
      <w:r>
        <w:t xml:space="preserve"> </w:t>
      </w:r>
      <w:r>
        <w:t xml:space="preserve">80, 419–431</w:t>
      </w:r>
    </w:p>
    <w:bookmarkEnd w:id="161"/>
    <w:bookmarkStart w:id="162" w:name="ref-Shekhawat2022"/>
    <w:p>
      <w:pPr>
        <w:pStyle w:val="Bibliography"/>
      </w:pPr>
      <w:r>
        <w:t xml:space="preserve">117.</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162"/>
    <w:bookmarkEnd w:id="163"/>
    <w:p>
      <w:pPr>
        <w:pStyle w:val="BodyText"/>
      </w:pPr>
    </w:p>
    <w:bookmarkEnd w:id="164"/>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hyperlink" Id="rId28"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28"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2025-06-08T22:41:02Z</dcterms:created>
  <dcterms:modified xsi:type="dcterms:W3CDTF">2025-06-08T22:41:02Z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