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4D42" w14:textId="77777777" w:rsidR="00CB4F36" w:rsidRDefault="00000000">
      <w:pPr>
        <w:pStyle w:val="Title"/>
      </w:pPr>
      <w:r>
        <w:t>A systems-modelling approach to predict biological responses to extreme heat</w:t>
      </w:r>
    </w:p>
    <w:p w14:paraId="7ACDCDBE" w14:textId="4BF9AF1D" w:rsidR="00CB4F36"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xml:space="preserve">, </w:t>
      </w:r>
      <w:r w:rsidR="00987C01">
        <w:t xml:space="preserve">Owen </w:t>
      </w:r>
      <w:r w:rsidR="00987C01" w:rsidRPr="00987C01">
        <w:t>Atkin</w:t>
      </w:r>
      <w:r w:rsidR="00987C01" w:rsidRPr="00987C01">
        <w:rPr>
          <w:vertAlign w:val="superscript"/>
        </w:rPr>
        <w:t>4</w:t>
      </w:r>
      <w:r w:rsidR="00987C01">
        <w:t xml:space="preserve"> </w:t>
      </w:r>
      <m:oMath>
        <m:r>
          <m:rPr>
            <m:sty m:val="p"/>
          </m:rPr>
          <w:rPr>
            <w:rFonts w:ascii="Cambria Math" w:hAnsi="Cambria Math"/>
          </w:rPr>
          <m:t>†</m:t>
        </m:r>
      </m:oMath>
      <w:r w:rsidR="00987C01">
        <w:rPr>
          <w:rFonts w:eastAsiaTheme="minorEastAsia"/>
        </w:rPr>
        <w:t>,</w:t>
      </w:r>
      <w:r w:rsidR="00987C01">
        <w:t xml:space="preserve"> </w:t>
      </w:r>
      <w:r w:rsidRPr="00987C01">
        <w:t>Adrienne</w:t>
      </w:r>
      <w:r>
        <w:t xml:space="preserv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445ADA06" w14:textId="77777777" w:rsidR="00CB4F36" w:rsidRDefault="00000000">
      <w:pPr>
        <w:pStyle w:val="BodyText"/>
      </w:pPr>
      <w:r>
        <w:rPr>
          <w:b/>
          <w:bCs/>
        </w:rPr>
        <w:t>Affiliations</w:t>
      </w:r>
      <w:r>
        <w:t>:</w:t>
      </w:r>
    </w:p>
    <w:p w14:paraId="54AF8885" w14:textId="77777777" w:rsidR="0018235A"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p>
    <w:p w14:paraId="6C6AF683" w14:textId="4B0D34CD" w:rsidR="00CB4F36" w:rsidRDefault="00000000">
      <w:pPr>
        <w:pStyle w:val="BodyText"/>
      </w:pPr>
      <w:r>
        <w:rPr>
          <w:vertAlign w:val="superscript"/>
        </w:rPr>
        <w:t>3</w:t>
      </w:r>
      <w:r>
        <w:t xml:space="preserve"> </w:t>
      </w:r>
      <w:proofErr w:type="spellStart"/>
      <w:r>
        <w:t>Hawksbury</w:t>
      </w:r>
      <w:proofErr w:type="spellEnd"/>
      <w:r>
        <w:t xml:space="preserve">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E7FF3BA" w14:textId="77777777" w:rsidR="00CB4F36"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6DB61563" w14:textId="77777777" w:rsidR="00CB4F36" w:rsidRDefault="00000000">
      <w:pPr>
        <w:pStyle w:val="Heading1"/>
      </w:pPr>
      <w:bookmarkStart w:id="0" w:name="abstract"/>
      <w:r>
        <w:t>Abstract</w:t>
      </w:r>
    </w:p>
    <w:p w14:paraId="7D5F699A" w14:textId="77777777" w:rsidR="00CB4F36"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506335DA" w14:textId="77777777" w:rsidR="00CB4F36"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0915BE3F" w14:textId="77777777" w:rsidR="00CB4F36"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22302665" w14:textId="77777777" w:rsidR="00CB4F36"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2C3DAA50" w14:textId="77777777" w:rsidR="00CB4F36"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54BB8CB0" w14:textId="77777777" w:rsidR="00CB4F36" w:rsidRDefault="00000000">
      <w:pPr>
        <w:pStyle w:val="Heading1"/>
      </w:pPr>
      <w:bookmarkStart w:id="2" w:name="X2b97b971c201f11017c10c1d6e4dbfd69043166"/>
      <w:bookmarkEnd w:id="1"/>
      <w:r>
        <w:t>A systems-modelling approach to modelling biotic impacts of heatwaves</w:t>
      </w:r>
    </w:p>
    <w:p w14:paraId="3A111CAC" w14:textId="77777777" w:rsidR="00CB4F36" w:rsidRDefault="00000000">
      <w:pPr>
        <w:pStyle w:val="FirstParagraph"/>
      </w:pPr>
      <w:r>
        <w:t>We propose a systems-modelling approach to model biotic impacts of heatwaves (</w:t>
      </w:r>
      <w:hyperlink w:anchor="fig-sys">
        <w:r w:rsidR="00CB4F36">
          <w:rPr>
            <w:rStyle w:val="Hyperlink"/>
          </w:rPr>
          <w:t>Figure 1</w:t>
        </w:r>
      </w:hyperlink>
      <w:r>
        <w:t xml:space="preserve">), scaling from the level of the atmosphere to </w:t>
      </w:r>
      <w:r>
        <w:rPr>
          <w:b/>
          <w:bCs/>
        </w:rPr>
        <w:t>microclimate</w:t>
      </w:r>
      <w:r>
        <w:t>,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3D85B911" w14:textId="77777777" w:rsidR="00CB4F36" w:rsidRDefault="00000000">
      <w:pPr>
        <w:pStyle w:val="BodyText"/>
      </w:pPr>
      <w:r>
        <w:t xml:space="preserve">In the next sections, we outline new developments that enable us to model all the components in </w:t>
      </w:r>
      <w:hyperlink w:anchor="fig-sys">
        <w:r w:rsidR="00CB4F36">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CB4F36" w14:paraId="0E378D1D" w14:textId="77777777">
        <w:tc>
          <w:tcPr>
            <w:tcW w:w="7920" w:type="dxa"/>
          </w:tcPr>
          <w:p w14:paraId="4E199F0F" w14:textId="7CCEF3DC" w:rsidR="00CB4F36" w:rsidRDefault="007A378E">
            <w:pPr>
              <w:pStyle w:val="Compact"/>
              <w:jc w:val="center"/>
            </w:pPr>
            <w:bookmarkStart w:id="3" w:name="fig-sys"/>
            <w:r>
              <w:rPr>
                <w:noProof/>
              </w:rPr>
              <w:lastRenderedPageBreak/>
              <w:drawing>
                <wp:inline distT="0" distB="0" distL="0" distR="0" wp14:anchorId="2A6E2919" wp14:editId="0EFE8D92">
                  <wp:extent cx="6554470" cy="4587875"/>
                  <wp:effectExtent l="0" t="0" r="0" b="0"/>
                  <wp:docPr id="1456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772" name="Picture 1456257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47F7F324" w14:textId="22A6C937" w:rsidR="00CB4F36" w:rsidRDefault="00000000">
            <w:pPr>
              <w:pStyle w:val="ImageCaption"/>
              <w:spacing w:before="200"/>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w:t>
            </w:r>
            <w:proofErr w:type="gramStart"/>
            <w:r>
              <w:t>feedbacks</w:t>
            </w:r>
            <w:proofErr w:type="gramEnd"/>
            <w:r>
              <w:t xml:space="preserve">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r w:rsidR="00FA67FB">
              <w:t xml:space="preserve"> </w:t>
            </w:r>
            <w:r w:rsidR="00FA67FB" w:rsidRPr="00FA67FB">
              <w:t>Created with BioRender.com</w:t>
            </w:r>
            <w:r w:rsidR="00FA67FB">
              <w:t>.</w:t>
            </w:r>
          </w:p>
        </w:tc>
        <w:bookmarkEnd w:id="3"/>
      </w:tr>
    </w:tbl>
    <w:p w14:paraId="042D4DA2" w14:textId="77777777" w:rsidR="00CB4F36" w:rsidRDefault="00000000">
      <w:pPr>
        <w:pStyle w:val="Heading1"/>
      </w:pPr>
      <w:bookmarkStart w:id="4" w:name="Xbb8a3512749f7fb1c67948ca8a2ad003fcd6253"/>
      <w:bookmarkEnd w:id="2"/>
      <w:r>
        <w:t>The current climate of extreme weather modelling</w:t>
      </w:r>
    </w:p>
    <w:p w14:paraId="5907E6E3" w14:textId="77777777" w:rsidR="00CB4F36"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 xml:space="preserve">radiation, wind speed, cloud cover and humidity are readily available as raw timeseries from the stations themselves, and as interpolated products such as </w:t>
      </w:r>
      <w:proofErr w:type="spellStart"/>
      <w:r>
        <w:t>WorldClim</w:t>
      </w:r>
      <w:proofErr w:type="spellEnd"/>
      <w:r>
        <w:t xml:space="preserve"> [25].</w:t>
      </w:r>
    </w:p>
    <w:p w14:paraId="1F3184A8" w14:textId="77777777" w:rsidR="00CB4F36"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w:t>
      </w:r>
      <w:proofErr w:type="gramStart"/>
      <w:r>
        <w:t>scales, but</w:t>
      </w:r>
      <w:proofErr w:type="gramEnd"/>
      <w:r>
        <w:t xml:space="preserve">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49BAF3FA" w14:textId="77777777" w:rsidR="00CB4F36" w:rsidRDefault="00000000">
      <w:pPr>
        <w:pStyle w:val="BodyText"/>
      </w:pPr>
      <w:r>
        <w:t xml:space="preserve">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w:t>
      </w:r>
      <w:proofErr w:type="gramStart"/>
      <w:r>
        <w:t>opens up</w:t>
      </w:r>
      <w:proofErr w:type="gramEnd"/>
      <w:r>
        <w:t xml:space="preserve"> new opportunities for collaboration between biologists and earth scientists to better integrate the processes in the atmosphere and the biosphere to generate better predictions of weather events and their biological impacts.</w:t>
      </w:r>
    </w:p>
    <w:p w14:paraId="242E9A95" w14:textId="77777777" w:rsidR="00CB4F36" w:rsidRDefault="00000000">
      <w:pPr>
        <w:pStyle w:val="Heading1"/>
      </w:pPr>
      <w:bookmarkStart w:id="5" w:name="X4da05dea4acdb2054c1e59c2f12913febac8a0c"/>
      <w:bookmarkEnd w:id="4"/>
      <w:r>
        <w:t>From weather to microclimates: predicting community wide exposure to extreme heat</w:t>
      </w:r>
    </w:p>
    <w:p w14:paraId="2AED1B06" w14:textId="77777777" w:rsidR="00CB4F36" w:rsidRDefault="00000000">
      <w:pPr>
        <w:pStyle w:val="FirstParagraph"/>
      </w:pPr>
      <w:r>
        <w:t xml:space="preserve">Extreme weather events are experienced differently across species in a community. For example, while air temperature may be 50°C, an organism a </w:t>
      </w:r>
      <w:proofErr w:type="spellStart"/>
      <w:r>
        <w:t>metre</w:t>
      </w:r>
      <w:proofErr w:type="spellEnd"/>
      <w:r>
        <w:t xml:space="preserve"> below the soil surface may be exposed to temperatures 25°C cooler (</w:t>
      </w:r>
      <w:hyperlink w:anchor="fig-sys">
        <w:r w:rsidR="00CB4F36">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‘Memory’ effects of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6532874D" w14:textId="77777777" w:rsidR="00CB4F36" w:rsidRDefault="00000000">
      <w:pPr>
        <w:pStyle w:val="BodyText"/>
      </w:pPr>
      <w:r>
        <w:t xml:space="preserve">To some extent, GCMs have these dynamics built into them via modules called ‘land-surface models’ (LSMs), which aim to capture </w:t>
      </w:r>
      <w:proofErr w:type="gramStart"/>
      <w:r>
        <w:t>feedbacks</w:t>
      </w:r>
      <w:proofErr w:type="gramEnd"/>
      <w:r>
        <w:t xml:space="preserve">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5E7D71CF" w14:textId="77777777" w:rsidR="00CB4F36"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w:t>
      </w:r>
      <w:r>
        <w:lastRenderedPageBreak/>
        <w:t xml:space="preserve">humidity, soil temperature and soil moisture vary on centimeter scales. The available models vary in the physical processes they incorporate yet can be powerful in predicting relevant microclimates to organisms [34–40]. Our </w:t>
      </w:r>
      <w:hyperlink r:id="rId6">
        <w:r w:rsidR="00CB4F36">
          <w:rPr>
            <w:rStyle w:val="Hyperlink"/>
            <w:i/>
            <w:iCs/>
          </w:rPr>
          <w:t>Supplementary Online Material</w:t>
        </w:r>
      </w:hyperlink>
      <w:r>
        <w:t xml:space="preserve"> provides a tutorial on how to predict microclimates from climate data using existing open access software and datasets [34,36,37].</w:t>
      </w:r>
    </w:p>
    <w:p w14:paraId="0D83EE11" w14:textId="77777777" w:rsidR="00CB4F36" w:rsidRDefault="00000000">
      <w:pPr>
        <w:pStyle w:val="BodyText"/>
      </w:pPr>
      <w:r>
        <w:t xml:space="preserve">Advancements in microclimate modelling have created opportunities to more closely couple the dynamics of the atmosphere and vegetation. </w:t>
      </w:r>
      <w:proofErr w:type="gramStart"/>
      <w:r>
        <w:t>In particular, plant</w:t>
      </w:r>
      <w:proofErr w:type="gramEnd"/>
      <w:r>
        <w:t xml:space="preserve"> water use dynamics during heatwaves can amplify or reduce high temperatures via effects on photosynthetic capacity, stomatal decoupling, cuticular conductance, leaf damage and plant mortality. These impacts are important for the plants themselves, but also for thermal regimes within the plant canopy. Forecasting future thermal regimes also involves forecasting future vegetation dynamics, with interesting challenges that include interactions between high LAI and canopy shading [41].</w:t>
      </w:r>
    </w:p>
    <w:p w14:paraId="1950A9D1" w14:textId="77777777" w:rsidR="00CB4F36" w:rsidRDefault="00000000">
      <w:pPr>
        <w:pStyle w:val="Heading1"/>
      </w:pPr>
      <w:bookmarkStart w:id="6" w:name="X5a6e6d313f4187bfc77082e5e5979262b26b081"/>
      <w:bookmarkEnd w:id="5"/>
      <w:r>
        <w:t>Translating exposure to organism temperature: biophysics to the rescue!</w:t>
      </w:r>
    </w:p>
    <w:p w14:paraId="468F6DC6" w14:textId="77777777" w:rsidR="00CB4F36" w:rsidRDefault="00000000">
      <w:pPr>
        <w:pStyle w:val="FirstParagraph"/>
      </w:pPr>
      <w:r>
        <w:t>Once microclimates are quantified, heat-budgets of organisms can be computed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07731D46" w14:textId="77777777" w:rsidR="00CB4F36" w:rsidRDefault="00000000">
      <w:pPr>
        <w:pStyle w:val="Heading1"/>
      </w:pPr>
      <w:bookmarkStart w:id="7" w:name="X752901143b666c2de4864497e2cadc133843d53"/>
      <w:bookmarkEnd w:id="6"/>
      <w:r>
        <w:t>Capturing the balance between physiological damage and repair to predict multi-species thermal sensitivity</w:t>
      </w:r>
    </w:p>
    <w:p w14:paraId="6636BFD3" w14:textId="77777777" w:rsidR="00CB4F36"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[e.g. Table 1 in </w:t>
      </w:r>
      <w:proofErr w:type="gramStart"/>
      <w:r>
        <w:t>52,see</w:t>
      </w:r>
      <w:proofErr w:type="gramEnd"/>
      <w:r>
        <w:t xml:space="preserv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 xml:space="preserve">Drosophila </w:t>
      </w:r>
      <w:proofErr w:type="spellStart"/>
      <w:r>
        <w:rPr>
          <w:i/>
          <w:iCs/>
        </w:rPr>
        <w:t>suzuki</w:t>
      </w:r>
      <w:proofErr w:type="spellEnd"/>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5D69E0BC" w14:textId="77777777" w:rsidR="00CB4F36"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41DF7965" w14:textId="77777777" w:rsidR="00CB4F36"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3540DD27" w14:textId="77777777" w:rsidR="00CB4F36" w:rsidRDefault="00CB4F36">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[22] recently proposed a framework for integrating repair processes into these models more explicitly. Environmental factors that impact thermal sensitivity can also be incorporated into TLS model (</w:t>
      </w:r>
      <w:r>
        <w:rPr>
          <w:b/>
          <w:bCs/>
        </w:rPr>
        <w:t>Box 1</w:t>
      </w:r>
      <w:r>
        <w:t>, see also [22]).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69D7EDC8" w14:textId="77777777">
        <w:trPr>
          <w:cantSplit/>
        </w:trPr>
        <w:tc>
          <w:tcPr>
            <w:tcW w:w="0" w:type="auto"/>
            <w:tcMar>
              <w:left w:w="144" w:type="dxa"/>
            </w:tcMar>
          </w:tcPr>
          <w:p w14:paraId="1470E342" w14:textId="77777777" w:rsidR="00CB4F36" w:rsidRDefault="00000000">
            <w:pPr>
              <w:pStyle w:val="BodyText"/>
              <w:spacing w:before="16" w:after="64"/>
            </w:pPr>
            <w:r>
              <w:rPr>
                <w:b/>
                <w:bCs/>
              </w:rPr>
              <w:lastRenderedPageBreak/>
              <w:t xml:space="preserve">Box 1: Sensitivity to extreme heat is mediated by environmental </w:t>
            </w:r>
            <w:proofErr w:type="gramStart"/>
            <w:r>
              <w:rPr>
                <w:b/>
                <w:bCs/>
              </w:rPr>
              <w:t>feedbacks</w:t>
            </w:r>
            <w:proofErr w:type="gramEnd"/>
          </w:p>
          <w:p w14:paraId="49CB1665" w14:textId="77777777" w:rsidR="00CB4F36" w:rsidRDefault="00000000">
            <w:pPr>
              <w:pStyle w:val="BodyText"/>
              <w:spacing w:before="16"/>
            </w:pPr>
            <w:r>
              <w:t>Natural and anthropogenic environments shape thermal sensitivity and should be considered in any systems modelling approach [22]. Some examples across plants and animals include:</w:t>
            </w:r>
          </w:p>
          <w:p w14:paraId="0F26FC1B" w14:textId="484DCE6B" w:rsidR="00CB4F36"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sidR="00CB4F36">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w:t>
            </w:r>
            <w:proofErr w:type="spellStart"/>
            <w:r>
              <w:t>mircobiota</w:t>
            </w:r>
            <w:proofErr w:type="spellEnd"/>
            <w:r>
              <w:t xml:space="preserve"> or other </w:t>
            </w:r>
            <w:r w:rsidR="00711671">
              <w:t>associated</w:t>
            </w:r>
            <w:r>
              <w:t xml:space="preserve">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sidR="00CB4F36">
                <w:rPr>
                  <w:rStyle w:val="Hyperlink"/>
                </w:rPr>
                <w:t>Figure 2</w:t>
              </w:r>
            </w:hyperlink>
            <w:r>
              <w:t>B). Moreover, this protective effect can influence the ability of the host to evolve further resistance to the heat shock [61].</w:t>
            </w:r>
          </w:p>
          <w:p w14:paraId="65A2625C" w14:textId="77777777" w:rsidR="00CB4F36"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sidR="00CB4F36">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sidR="00CB4F36">
                <w:rPr>
                  <w:rStyle w:val="Hyperlink"/>
                </w:rPr>
                <w:t>Figure 2</w:t>
              </w:r>
            </w:hyperlink>
            <w:r>
              <w:t>D).</w:t>
            </w:r>
          </w:p>
          <w:p w14:paraId="21A4595C" w14:textId="77777777" w:rsidR="00CB4F36"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of Mg. Damage resulted from increased oxidative cellular damage (Box </w:t>
            </w:r>
            <w:hyperlink w:anchor="fig-box1">
              <w:r w:rsidR="00CB4F36">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sidR="00CB4F36">
                <w:rPr>
                  <w:rStyle w:val="Hyperlink"/>
                </w:rPr>
                <w:t>Figure 2</w:t>
              </w:r>
            </w:hyperlink>
            <w:r>
              <w:t>F).</w:t>
            </w:r>
          </w:p>
          <w:p w14:paraId="3904F484" w14:textId="77777777" w:rsidR="00CB4F36" w:rsidRDefault="00000000">
            <w:pPr>
              <w:pStyle w:val="BodyText"/>
            </w:pPr>
            <w:r>
              <w:t>The above list is not exhaustive, and other environmental stressors, such as pollution and salinity, along with interactions between environmental stressors discussed above, can also impact thermal sensitivity [22,54].</w:t>
            </w:r>
          </w:p>
          <w:tbl>
            <w:tblPr>
              <w:tblStyle w:val="Table"/>
              <w:tblW w:w="5000" w:type="pct"/>
              <w:tblLayout w:type="fixed"/>
              <w:tblLook w:val="0000" w:firstRow="0" w:lastRow="0" w:firstColumn="0" w:lastColumn="0" w:noHBand="0" w:noVBand="0"/>
            </w:tblPr>
            <w:tblGrid>
              <w:gridCol w:w="10200"/>
            </w:tblGrid>
            <w:tr w:rsidR="00CB4F36" w14:paraId="738BC2C5" w14:textId="77777777">
              <w:tc>
                <w:tcPr>
                  <w:tcW w:w="0" w:type="auto"/>
                </w:tcPr>
                <w:p w14:paraId="0E253A7B" w14:textId="7B0D88F1" w:rsidR="00CB4F36" w:rsidRDefault="007A378E">
                  <w:pPr>
                    <w:pStyle w:val="Compact"/>
                    <w:jc w:val="center"/>
                  </w:pPr>
                  <w:bookmarkStart w:id="9" w:name="fig-box1"/>
                  <w:r>
                    <w:rPr>
                      <w:noProof/>
                    </w:rPr>
                    <w:drawing>
                      <wp:inline distT="0" distB="0" distL="0" distR="0" wp14:anchorId="514B7E8F" wp14:editId="20C70B05">
                        <wp:extent cx="3959050" cy="2631832"/>
                        <wp:effectExtent l="0" t="0" r="3810" b="0"/>
                        <wp:docPr id="1343050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50195" name="Picture 13430501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168" cy="2652518"/>
                                </a:xfrm>
                                <a:prstGeom prst="rect">
                                  <a:avLst/>
                                </a:prstGeom>
                              </pic:spPr>
                            </pic:pic>
                          </a:graphicData>
                        </a:graphic>
                      </wp:inline>
                    </w:drawing>
                  </w:r>
                </w:p>
                <w:p w14:paraId="454141F2" w14:textId="3FE5D264" w:rsidR="00CB4F36" w:rsidRDefault="00000000">
                  <w:pPr>
                    <w:pStyle w:val="ImageCaption"/>
                    <w:spacing w:before="200"/>
                  </w:pPr>
                  <w:r w:rsidRPr="00EA038E">
                    <w:rPr>
                      <w:b/>
                      <w:bCs/>
                    </w:rPr>
                    <w:lastRenderedPageBreak/>
                    <w:t>Figure 2</w:t>
                  </w:r>
                  <w:r>
                    <w:t xml:space="preserve">- </w:t>
                  </w:r>
                  <w:r w:rsidR="00F40BE7" w:rsidRPr="00F40BE7">
                    <w:rPr>
                      <w:b/>
                      <w:bCs/>
                    </w:rPr>
                    <w:t>Examples of environmental factors impacting thermal sensitivity in plants and animals</w:t>
                  </w:r>
                  <w:r w:rsidR="00F40BE7">
                    <w:t xml:space="preserve">. </w:t>
                  </w:r>
                  <w:r w:rsidR="00DF2E2D">
                    <w:t xml:space="preserve">A &amp; B) microbial interactions. C &amp; D) drought and water stress. E &amp; F) nutrition and diet. See text for more explanation. </w:t>
                  </w:r>
                  <w:r w:rsidR="00FA67FB" w:rsidRPr="00FA67FB">
                    <w:t>Created with BioRender.com</w:t>
                  </w:r>
                  <w:r w:rsidR="00FA67FB">
                    <w:t>.</w:t>
                  </w:r>
                </w:p>
              </w:tc>
              <w:bookmarkEnd w:id="9"/>
            </w:tr>
          </w:tbl>
          <w:p w14:paraId="53BBE1F2" w14:textId="77777777" w:rsidR="00DF260B" w:rsidRDefault="00DF260B">
            <w:pPr>
              <w:spacing w:after="0"/>
            </w:pPr>
          </w:p>
        </w:tc>
      </w:tr>
    </w:tbl>
    <w:p w14:paraId="1BCA0EF0" w14:textId="77777777" w:rsidR="00CB4F36"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47FDC53" w14:textId="77777777">
        <w:trPr>
          <w:cantSplit/>
        </w:trPr>
        <w:tc>
          <w:tcPr>
            <w:tcW w:w="0" w:type="auto"/>
            <w:tcMar>
              <w:left w:w="144" w:type="dxa"/>
            </w:tcMar>
          </w:tcPr>
          <w:p w14:paraId="31ABDBA3" w14:textId="77777777" w:rsidR="00CB4F36" w:rsidRDefault="00000000">
            <w:pPr>
              <w:pStyle w:val="BodyText"/>
              <w:spacing w:before="16" w:after="64"/>
            </w:pPr>
            <w:r>
              <w:rPr>
                <w:b/>
                <w:bCs/>
              </w:rPr>
              <w:t>Glossary</w:t>
            </w:r>
          </w:p>
          <w:p w14:paraId="2915DCE0" w14:textId="77777777" w:rsidR="00CB4F36" w:rsidRDefault="00000000">
            <w:pPr>
              <w:pStyle w:val="BodyText"/>
              <w:spacing w:before="16"/>
            </w:pPr>
            <w:r>
              <w:rPr>
                <w:b/>
                <w:bCs/>
              </w:rPr>
              <w:t>Coexistence</w:t>
            </w:r>
            <w:r>
              <w:t xml:space="preserve">: Coexistence occurs when two species </w:t>
            </w:r>
            <w:proofErr w:type="gramStart"/>
            <w:r>
              <w:t>are able to</w:t>
            </w:r>
            <w:proofErr w:type="gramEnd"/>
            <w:r>
              <w:t xml:space="preserve"> persist in </w:t>
            </w:r>
            <w:proofErr w:type="spellStart"/>
            <w:r>
              <w:t>each others</w:t>
            </w:r>
            <w:proofErr w:type="spellEnd"/>
            <w:r>
              <w:t xml:space="preserve"> presence indefinitely under constant, equilibrium conditions. While highly variable natural environments compromise these assumptions, coexistence models still have a lot of potential as tools for exploring whole community responses to extreme events</w:t>
            </w:r>
          </w:p>
          <w:p w14:paraId="46C73CFD" w14:textId="77777777" w:rsidR="00CB4F36"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647B97EA" w14:textId="77777777" w:rsidR="00CB4F36"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p w14:paraId="683440B4" w14:textId="77777777" w:rsidR="00CB4F36" w:rsidRDefault="00000000">
      <w:pPr>
        <w:pStyle w:val="Heading1"/>
      </w:pPr>
      <w:bookmarkStart w:id="10" w:name="Xd0cd64f0f8eecda3c17ee56ce2248b9a39e3d6a"/>
      <w:bookmarkEnd w:id="7"/>
      <w:r>
        <w:t>Dynamic Energy Budget (DEB) models that capture the effects of extreme heat across life</w:t>
      </w:r>
    </w:p>
    <w:p w14:paraId="37A3309A" w14:textId="675ABB16" w:rsidR="00CB4F36" w:rsidRDefault="00000000">
      <w:pPr>
        <w:pStyle w:val="FirstParagraph"/>
      </w:pPr>
      <w:r>
        <w:t xml:space="preserve">Dynamic Energy Budget (DEB) models are physiologically explicit life-cycle models of energy and mass uptake and conversion that predict key life-history transitions, growth, reproduction and survival (senescence)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w:t>
      </w:r>
      <w:proofErr w:type="gramStart"/>
      <w:r>
        <w:t>life-cycles</w:t>
      </w:r>
      <w:proofErr w:type="gramEnd"/>
      <w:r>
        <w:t xml:space="preserve"> are impacted by heat and interact with each other to predict how traits such as birth, age at maturity, reproductive events, energy flow and lifespan vary across species. While DEB models are parameter rich, necessary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proofErr w:type="spellStart"/>
      <w:r>
        <w:rPr>
          <w:i/>
          <w:iCs/>
        </w:rPr>
        <w:t>NicheMapR</w:t>
      </w:r>
      <w:proofErr w:type="spellEnd"/>
      <w:r>
        <w:t xml:space="preserve"> [34,75] allow for simulations of </w:t>
      </w:r>
      <w:proofErr w:type="gramStart"/>
      <w:r>
        <w:t>life-cycles</w:t>
      </w:r>
      <w:proofErr w:type="gramEnd"/>
      <w:r>
        <w:t xml:space="preserve"> using parameters for diverse species. From these </w:t>
      </w:r>
      <w:proofErr w:type="gramStart"/>
      <w:r>
        <w:t>models</w:t>
      </w:r>
      <w:proofErr w:type="gramEnd"/>
      <w:r>
        <w:t xml:space="preserve"> key outputs on organisms such as body mass and size, reproductive success and events, along with survival can be used to parameterize vital rates needed for population and community models</w:t>
      </w:r>
      <w:r w:rsidR="0049079A">
        <w:t xml:space="preserve">, with additional options to incorporate eco-evolutionary </w:t>
      </w:r>
      <w:proofErr w:type="gramStart"/>
      <w:r w:rsidR="0049079A">
        <w:t>feedbacks</w:t>
      </w:r>
      <w:proofErr w:type="gramEnd"/>
      <w:r w:rsidR="0049079A">
        <w:t xml:space="preserve"> (see </w:t>
      </w:r>
      <w:r w:rsidR="0049079A" w:rsidRPr="0049079A">
        <w:rPr>
          <w:b/>
          <w:bCs/>
        </w:rPr>
        <w:t>Box 2</w:t>
      </w:r>
      <w:r w:rsidR="0049079A">
        <w:t>)</w:t>
      </w:r>
      <w:r>
        <w:t>.</w:t>
      </w:r>
    </w:p>
    <w:p w14:paraId="0A8C5D6A" w14:textId="77777777" w:rsidR="00CB4F36" w:rsidRDefault="00000000">
      <w:pPr>
        <w:pStyle w:val="Heading1"/>
      </w:pPr>
      <w:bookmarkStart w:id="11" w:name="Xe20b556bb99a49ef81dd5b1307d42fae8e49e0c"/>
      <w:bookmarkEnd w:id="10"/>
      <w:r>
        <w:lastRenderedPageBreak/>
        <w:t>Mechanistic approaches that ‘speak’ to population and community ecology under extreme heat</w:t>
      </w:r>
    </w:p>
    <w:p w14:paraId="45E85A57" w14:textId="77777777" w:rsidR="00CB4F36"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[MCT; [76]] uses simple two-species individual-based population growth models, such as </w:t>
      </w:r>
      <w:proofErr w:type="spellStart"/>
      <w:r>
        <w:t>Beverton</w:t>
      </w:r>
      <w:proofErr w:type="spellEnd"/>
      <w:r>
        <w:t xml:space="preserve">-Holt or Ricker models [77,78], to determine how interactions between species at the individual level </w:t>
      </w:r>
      <w:proofErr w:type="gramStart"/>
      <w:r>
        <w:t>lead</w:t>
      </w:r>
      <w:proofErr w:type="gramEnd"/>
      <w:r>
        <w:t xml:space="preserve"> to indefinite “</w:t>
      </w:r>
      <w:r>
        <w:rPr>
          <w:b/>
          <w:bCs/>
        </w:rPr>
        <w:t>coexistence</w:t>
      </w:r>
      <w:r>
        <w:t>”.</w:t>
      </w:r>
    </w:p>
    <w:p w14:paraId="7DDE833C" w14:textId="77777777" w:rsidR="00CB4F36" w:rsidRDefault="00000000">
      <w:pPr>
        <w:pStyle w:val="BodyText"/>
      </w:pPr>
      <w:r>
        <w:t xml:space="preserve">What population dynamic models do is calculate the individual fitness effect of interactions [79]. These models can incorporate variation in the environment [23] and in the outcome of interactions themselves [80]. As these 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put together, for example as networks [81] and compared between microsites with different biophysical properties and composed of species with different thermal responses to their microenvironment. For example, [81], used this approach to determine which species were keystone species under shady and sunny portions of the same plant communities.</w:t>
      </w:r>
    </w:p>
    <w:p w14:paraId="5C5D8783" w14:textId="77777777" w:rsidR="00CB4F36" w:rsidRDefault="00000000">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w:t>
      </w:r>
      <w:proofErr w:type="spellStart"/>
      <w:r>
        <w:t>parameterise</w:t>
      </w:r>
      <w:proofErr w:type="spellEnd"/>
      <w:r>
        <w:t xml:space="preserve"> growth rate models or used to establish </w:t>
      </w:r>
      <w:r>
        <w:rPr>
          <w:b/>
          <w:bCs/>
        </w:rPr>
        <w:t>functional traits</w:t>
      </w:r>
      <w:r>
        <w:t xml:space="preserve">,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w:t>
      </w:r>
      <w:proofErr w:type="gramStart"/>
      <w:r>
        <w:t>particular thermal</w:t>
      </w:r>
      <w:proofErr w:type="gramEnd"/>
      <w:r>
        <w:t xml:space="preserve"> landscapes. The limitation of these methods is that they are data hungry, but even this can be handled by categorizing species by ‘trait’ which has been shown to be an effective way of reducing model complexity without sacrificing accuracy [82].</w:t>
      </w:r>
    </w:p>
    <w:p w14:paraId="0B248A07" w14:textId="77777777" w:rsidR="00CB4F36"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161527A" w14:textId="77777777">
        <w:trPr>
          <w:cantSplit/>
        </w:trPr>
        <w:tc>
          <w:tcPr>
            <w:tcW w:w="0" w:type="auto"/>
            <w:tcMar>
              <w:left w:w="144" w:type="dxa"/>
            </w:tcMar>
          </w:tcPr>
          <w:p w14:paraId="13CFF56E" w14:textId="77777777" w:rsidR="00CB4F36" w:rsidRDefault="00000000">
            <w:pPr>
              <w:pStyle w:val="BodyText"/>
              <w:spacing w:before="16" w:after="64"/>
            </w:pPr>
            <w:r>
              <w:rPr>
                <w:b/>
                <w:bCs/>
              </w:rPr>
              <w:lastRenderedPageBreak/>
              <w:t xml:space="preserve">Box 2: Integrating eco-evolutionary </w:t>
            </w:r>
            <w:proofErr w:type="gramStart"/>
            <w:r>
              <w:rPr>
                <w:b/>
                <w:bCs/>
              </w:rPr>
              <w:t>feedbacks</w:t>
            </w:r>
            <w:proofErr w:type="gramEnd"/>
            <w:r>
              <w:rPr>
                <w:b/>
                <w:bCs/>
              </w:rPr>
              <w:t xml:space="preserve"> within a systems-modelling framework</w:t>
            </w:r>
          </w:p>
          <w:p w14:paraId="2C0729FF" w14:textId="77777777" w:rsidR="00CB4F36"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29E2D57C" w14:textId="77777777" w:rsidR="00CB4F36"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w:t>
            </w:r>
            <w:proofErr w:type="gramStart"/>
            <w:r>
              <w:t>traits’</w:t>
            </w:r>
            <w:proofErr w:type="gramEnd"/>
            <w:r>
              <w:t xml:space="preserve">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 across generations. One way to make such predictions is by using the multivariate </w:t>
            </w:r>
            <w:proofErr w:type="gramStart"/>
            <w:r>
              <w:t>breeders</w:t>
            </w:r>
            <w:proofErr w:type="gramEnd"/>
            <w:r>
              <w:t xml:space="preserve"> equation [91]:</w:t>
            </w:r>
          </w:p>
          <w:p w14:paraId="7E24B236" w14:textId="77777777" w:rsidR="00CB4F36"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60D5BC59" w14:textId="77777777" w:rsidR="00CB4F36"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[92]). While the multivariate </w:t>
            </w:r>
            <w:proofErr w:type="gramStart"/>
            <w:r>
              <w:t>breeders</w:t>
            </w:r>
            <w:proofErr w:type="gramEnd"/>
            <w:r>
              <w:t xml:space="preserve"> equation can be useful for predicting short term evolutionary responses (i.e., one or a few generations) it is likely limited in predictive power over longer timespans because of changes in heritability and selection through time [85,92].</w:t>
            </w:r>
          </w:p>
          <w:p w14:paraId="02A7908E" w14:textId="77777777" w:rsidR="00CB4F36"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proofErr w:type="spellStart"/>
            <w:r>
              <w:rPr>
                <w:i/>
                <w:iCs/>
              </w:rPr>
              <w:t>Drosophia</w:t>
            </w:r>
            <w:proofErr w:type="spellEnd"/>
            <w:r>
              <w:rPr>
                <w:i/>
                <w:iCs/>
              </w:rPr>
              <w:t xml:space="preserve"> melanogaster</w:t>
            </w:r>
            <w:r>
              <w:t xml:space="preserve">, Leiva </w:t>
            </w:r>
            <w:r>
              <w:rPr>
                <w:i/>
                <w:iCs/>
              </w:rPr>
              <w:t>et al</w:t>
            </w:r>
            <w:r>
              <w:t xml:space="preserve">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proofErr w:type="spellStart"/>
            <w:r>
              <w:rPr>
                <w:i/>
                <w:iCs/>
              </w:rPr>
              <w:t>Drosophia</w:t>
            </w:r>
            <w:proofErr w:type="spellEnd"/>
            <w:r>
              <w:t xml:space="preserve"> species is also known to respond plastically to temperature [93]. In the alpine plant </w:t>
            </w:r>
            <w:proofErr w:type="spellStart"/>
            <w:r>
              <w:rPr>
                <w:i/>
                <w:iCs/>
              </w:rPr>
              <w:t>Wahlenbergia</w:t>
            </w:r>
            <w:proofErr w:type="spellEnd"/>
            <w:r>
              <w:rPr>
                <w:i/>
                <w:iCs/>
              </w:rPr>
              <w:t xml:space="preserve"> </w:t>
            </w:r>
            <w:proofErr w:type="spellStart"/>
            <w:r>
              <w:rPr>
                <w:i/>
                <w:iCs/>
              </w:rPr>
              <w:t>ceracea</w:t>
            </w:r>
            <w:proofErr w:type="spellEnd"/>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w:t>
            </w:r>
            <w:proofErr w:type="gramStart"/>
            <w:r>
              <w:t>thus</w:t>
            </w:r>
            <w:proofErr w:type="gramEnd"/>
            <w:r>
              <w:t xml:space="preserve"> selection on plasticity reflects both selection on trait means </w:t>
            </w:r>
            <w:proofErr w:type="gramStart"/>
            <w:r>
              <w:t>in a given</w:t>
            </w:r>
            <w:proofErr w:type="gramEnd"/>
            <w:r>
              <w:t xml:space="preserve"> environment and selection on the full range of phenotypes across environments [91,98].</w:t>
            </w:r>
          </w:p>
        </w:tc>
      </w:tr>
    </w:tbl>
    <w:p w14:paraId="3DA609AF" w14:textId="77777777" w:rsidR="00CB4F36"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0D0DCB47" w14:textId="77777777">
        <w:trPr>
          <w:cantSplit/>
        </w:trPr>
        <w:tc>
          <w:tcPr>
            <w:tcW w:w="0" w:type="auto"/>
            <w:tcMar>
              <w:left w:w="144" w:type="dxa"/>
            </w:tcMar>
          </w:tcPr>
          <w:p w14:paraId="25CE569E" w14:textId="77777777" w:rsidR="00CB4F36" w:rsidRDefault="00000000">
            <w:pPr>
              <w:pStyle w:val="BodyText"/>
              <w:spacing w:before="16" w:after="64"/>
            </w:pPr>
            <w:r>
              <w:rPr>
                <w:b/>
                <w:bCs/>
              </w:rPr>
              <w:lastRenderedPageBreak/>
              <w:t>Box 3: Interacting species interacting with people: social-ecological systems</w:t>
            </w:r>
          </w:p>
          <w:p w14:paraId="77DDAF48" w14:textId="28FA764B" w:rsidR="00CB4F36" w:rsidRDefault="00000000">
            <w:pPr>
              <w:pStyle w:val="BodyText"/>
              <w:spacing w:before="16"/>
            </w:pPr>
            <w:r>
              <w:t>Extreme heat may threaten the services natural and agricultural ecosystems provide to people [100]. For example, loss of output from production ecosystems will have substantial economic consequences for a local area. Degradation of natural ecosystems may also affect their regulating services, such as flood mitigation. Impacts on cultural services may be severe for communities that are closely connected to a landscape</w:t>
            </w:r>
            <w:r w:rsidR="00A22BFF">
              <w:t xml:space="preserve"> (Figure 3)</w:t>
            </w:r>
            <w:r>
              <w:t>.</w:t>
            </w:r>
          </w:p>
          <w:p w14:paraId="0E9A4CBA" w14:textId="77777777" w:rsidR="00CB4F36" w:rsidRDefault="00000000">
            <w:pPr>
              <w:pStyle w:val="BodyText"/>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communities more vulnerable [101]. Thermal risks to ecosystems may also precipitate declines in individual wellbeing, and these consequences may accrue differently across regions and peoples [102]. Many of these impacts and responses, however, are poorly understood.</w:t>
            </w:r>
          </w:p>
          <w:p w14:paraId="507E40E1" w14:textId="77777777" w:rsidR="00CB4F36" w:rsidRDefault="00000000">
            <w:pPr>
              <w:pStyle w:val="BodyText"/>
            </w:pPr>
            <w:r>
              <w:t xml:space="preserve">Thermal stress on ecosystems can affect not only nearby communities but also human dominant systems, such as cities, far away from affected ecosystems. Cities are intrinsically connected to and rely on other regions to maintain their functionality [103,104]. For example, extreme heat stress may affect essential ecosystem services, such as food production [105], which can in turn affect price and access to food for people living in urban centers, with financial, economic and health consequences. The impacts on local communities could lead to loss of livelihood, pushing people in rural communities to migrate to cities [106]. These external pressures will interact with a system that is already constrained by multiple stressors, including direct impacts imposed by extreme heat and other aspects of climate change. If sufficiently widespread, economic and political </w:t>
            </w:r>
            <w:proofErr w:type="spellStart"/>
            <w:r>
              <w:t>destabilisation</w:t>
            </w:r>
            <w:proofErr w:type="spellEnd"/>
            <w:r>
              <w:t xml:space="preserve"> may occur as has already been observed in other parts of the world [107].</w:t>
            </w:r>
          </w:p>
          <w:p w14:paraId="53CAD8C6" w14:textId="77777777" w:rsidR="00CB4F36" w:rsidRDefault="00000000">
            <w:pPr>
              <w:pStyle w:val="BodyText"/>
              <w:spacing w:after="16"/>
            </w:pPr>
            <w:r>
              <w:t>Understanding the relationships between people and nature requires adopting a social-ecological systems perspective, where people and nature are interdependent and intertwined [108]. Social-ecological models aim to capture social and natural systems along with their interactions [109]. They are conventionally built using process-based modelling frameworks such as agent-based models, dynamical systems models or state-and-transition models [110]. Process-based approaches are critical to understanding how emergent social-ecological phenomena develop [111],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[112].</w:t>
            </w:r>
          </w:p>
          <w:p w14:paraId="1C85628F" w14:textId="1AB29D58" w:rsidR="00393E41" w:rsidRDefault="00B34D88" w:rsidP="00A22BFF">
            <w:pPr>
              <w:pStyle w:val="BodyText"/>
              <w:spacing w:after="16"/>
              <w:jc w:val="center"/>
            </w:pPr>
            <w:r>
              <w:rPr>
                <w:noProof/>
              </w:rPr>
              <w:drawing>
                <wp:inline distT="0" distB="0" distL="0" distR="0" wp14:anchorId="514B08B1" wp14:editId="238B9F73">
                  <wp:extent cx="5143500" cy="2843128"/>
                  <wp:effectExtent l="0" t="0" r="0" b="1905"/>
                  <wp:docPr id="12103363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36390" name="Picture 121033639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5217" cy="2882770"/>
                          </a:xfrm>
                          <a:prstGeom prst="rect">
                            <a:avLst/>
                          </a:prstGeom>
                        </pic:spPr>
                      </pic:pic>
                    </a:graphicData>
                  </a:graphic>
                </wp:inline>
              </w:drawing>
            </w:r>
          </w:p>
          <w:p w14:paraId="168BD241" w14:textId="26790662" w:rsidR="00393E41" w:rsidRPr="00711671" w:rsidRDefault="00393E41">
            <w:pPr>
              <w:pStyle w:val="BodyText"/>
              <w:spacing w:after="16"/>
              <w:rPr>
                <w:lang w:val="en-AU"/>
              </w:rPr>
            </w:pPr>
            <w:r w:rsidRPr="00393E41">
              <w:rPr>
                <w:b/>
                <w:bCs/>
              </w:rPr>
              <w:lastRenderedPageBreak/>
              <w:t>Figure 3</w:t>
            </w:r>
            <w:r>
              <w:t xml:space="preserve"> - </w:t>
            </w:r>
            <w:r w:rsidR="00A977A1" w:rsidRPr="00A977A1">
              <w:rPr>
                <w:b/>
                <w:bCs/>
                <w:lang w:val="en-AU"/>
              </w:rPr>
              <w:t xml:space="preserve">Impacts of extreme heat on natural and production ecosystems will cascade to affect people, both locally and in distant human-dominated systems such as cities. </w:t>
            </w:r>
            <w:r w:rsidR="00A977A1" w:rsidRPr="00A977A1">
              <w:rPr>
                <w:lang w:val="en-AU"/>
              </w:rPr>
              <w:t>Decisions made by people in these communities in response to these changes will affect the ecosystems on which they rely, creating an interdependent social-ecological system</w:t>
            </w:r>
            <w:r w:rsidRPr="00393E41">
              <w:rPr>
                <w:lang w:val="en-AU"/>
              </w:rPr>
              <w:t>. Created with BioRender.com</w:t>
            </w:r>
          </w:p>
        </w:tc>
      </w:tr>
    </w:tbl>
    <w:p w14:paraId="653C1717" w14:textId="77777777" w:rsidR="00CB4F36" w:rsidRDefault="00000000">
      <w:pPr>
        <w:pStyle w:val="Heading1"/>
      </w:pPr>
      <w:bookmarkStart w:id="13" w:name="hot-solutions-for-a-changing-world"/>
      <w:bookmarkEnd w:id="11"/>
      <w:r>
        <w:lastRenderedPageBreak/>
        <w:t>‘Hot’ solutions for a changing world</w:t>
      </w:r>
    </w:p>
    <w:p w14:paraId="4D4EC551" w14:textId="63121BA6" w:rsidR="00CB4F36"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[105] exacerbating food shortages.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while also considering how such interventions impact pests (See </w:t>
      </w:r>
      <w:hyperlink w:anchor="fig-2">
        <w:r w:rsidR="00CB4F36">
          <w:rPr>
            <w:rStyle w:val="Hyperlink"/>
          </w:rPr>
          <w:t>Figure </w:t>
        </w:r>
        <w:r w:rsidR="00393E41">
          <w:rPr>
            <w:rStyle w:val="Hyperlink"/>
          </w:rPr>
          <w:t>4</w:t>
        </w:r>
      </w:hyperlink>
      <w:r>
        <w:t xml:space="preserve"> and Case Study 4/5 in the </w:t>
      </w:r>
      <w:hyperlink r:id="rId9">
        <w:r w:rsidR="00CB4F36">
          <w:rPr>
            <w:rStyle w:val="Hyperlink"/>
            <w:i/>
            <w:iCs/>
          </w:rPr>
          <w:t>Supplementary Online Material</w:t>
        </w:r>
      </w:hyperlink>
      <w:r>
        <w:t xml:space="preserve">). Identifying and/or modifying the thermal suitability of landscapes to benefit plants and animals under extreme heat shows immense promise [20]. Additionally, as our understanding of the mechanisms associated with heat tolerance improve, genetic tools, environmental manipulations and </w:t>
      </w:r>
      <w:r w:rsidR="0018235A">
        <w:t>artificial</w:t>
      </w:r>
      <w:r>
        <w:t xml:space="preserve">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CB4F36" w14:paraId="1F618117" w14:textId="77777777">
        <w:tc>
          <w:tcPr>
            <w:tcW w:w="7920" w:type="dxa"/>
          </w:tcPr>
          <w:p w14:paraId="61F486D8" w14:textId="70FBEC26" w:rsidR="00CB4F36" w:rsidRDefault="007A378E">
            <w:pPr>
              <w:pStyle w:val="Compact"/>
              <w:jc w:val="center"/>
            </w:pPr>
            <w:bookmarkStart w:id="14" w:name="fig-2"/>
            <w:r>
              <w:rPr>
                <w:noProof/>
              </w:rPr>
              <w:drawing>
                <wp:inline distT="0" distB="0" distL="0" distR="0" wp14:anchorId="0B9F57AF" wp14:editId="7FB0129D">
                  <wp:extent cx="6554470" cy="2884170"/>
                  <wp:effectExtent l="0" t="0" r="0" b="0"/>
                  <wp:docPr id="76347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9271" name="Picture 7634792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492B19E8" w14:textId="77777777" w:rsidR="00CB4F36" w:rsidRDefault="00000000">
            <w:pPr>
              <w:pStyle w:val="ImageCaption"/>
              <w:spacing w:before="200"/>
            </w:pPr>
            <w:r>
              <w:t>Figure </w:t>
            </w:r>
            <w:r w:rsidR="00393E41">
              <w:t>4</w:t>
            </w:r>
            <w:r>
              <w:t xml:space="preserve">- How a systems modelling approach to extreme heat can be used to inform solutions. A hypothetical example of an insect-plant interaction. (A) To counteract an extreme heat wave event different watering </w:t>
            </w:r>
            <w:r w:rsidR="00711671">
              <w:t>scenarios</w:t>
            </w:r>
            <w:r>
              <w:t xml:space="preserve"> to cool plants of agricultural importance during heat stress could be applied. Of critical importance is understanding how much water to apply to a system to keep plants cool while </w:t>
            </w:r>
            <w:r w:rsidR="00711671">
              <w:t>minimizing</w:t>
            </w:r>
            <w:r>
              <w:t xml:space="preserve">: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w:t>
            </w:r>
            <w:r w:rsidR="00711671">
              <w:t>scenarios</w:t>
            </w:r>
            <w:r>
              <w:t xml:space="preserve"> where rainfall layers are manipulated by modifying the watering regimes during a heatwave event. We could add 2, 5, 10, or 20 mm of water and compare this to our original rainfall. (C) Adding water during an extreme heat event should result in cooling effects and using </w:t>
            </w:r>
            <w:r w:rsidR="00711671">
              <w:t>microclimate</w:t>
            </w:r>
            <w:r>
              <w:t xml:space="preserve"> and biophysical models we can </w:t>
            </w:r>
            <w:r>
              <w:lastRenderedPageBreak/>
              <w:t xml:space="preserve">quantify how much cooling would occur by calculating leaf temperature across all </w:t>
            </w:r>
            <w:r w:rsidR="00711671">
              <w:t>scenarios</w:t>
            </w:r>
            <w:r>
              <w:t xml:space="preserve">.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w:t>
            </w:r>
            <w:proofErr w:type="gramStart"/>
            <w:r>
              <w:t>life-cycle</w:t>
            </w:r>
            <w:proofErr w:type="gramEnd"/>
            <w:r>
              <w:t xml:space="preserve"> of the grasshopper keeping tabs on how energy and mass flow between growth (</w:t>
            </w:r>
            <w:r w:rsidR="00711671">
              <w:t>structure</w:t>
            </w:r>
            <w:r>
              <w:t>) and (reproduction) during adult stages. These models also include survival estimates through time (</w:t>
            </w:r>
            <w:r w:rsidR="00711671">
              <w:t>senescence</w:t>
            </w:r>
            <w:r>
              <w:t xml:space="preserve">) using hazards functions allowing us to estimate an intrinsic growth rate </w:t>
            </w:r>
            <w:r w:rsidR="00711671">
              <w:t>parameter</w:t>
            </w:r>
            <w:r>
              <w:t xml:space="preserve">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under the different scenerios. (E) Using our estimate of intrinsic growth </w:t>
            </w:r>
            <w:proofErr w:type="gramStart"/>
            <w:r>
              <w:t>rate</w:t>
            </w:r>
            <w:proofErr w:type="gramEnd"/>
            <w:r>
              <w:t xml:space="preserv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w:t>
            </w:r>
            <w:r w:rsidR="00711671">
              <w:t>suppress</w:t>
            </w:r>
            <w:r>
              <w:t xml:space="preserve"> pest outbreaks.</w:t>
            </w:r>
            <w:r w:rsidR="00FA67FB">
              <w:t xml:space="preserve"> </w:t>
            </w:r>
            <w:r w:rsidR="00FA67FB" w:rsidRPr="00FA67FB">
              <w:t>Created with BioRender.com</w:t>
            </w:r>
            <w:r w:rsidR="00FA67FB">
              <w:t>.</w:t>
            </w:r>
          </w:p>
          <w:p w14:paraId="7CE6052D" w14:textId="7C56C4CB" w:rsidR="0018235A" w:rsidRDefault="0018235A">
            <w:pPr>
              <w:pStyle w:val="ImageCaption"/>
              <w:spacing w:before="200"/>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2CE6FB84" w14:textId="77777777">
        <w:trPr>
          <w:cantSplit/>
        </w:trPr>
        <w:tc>
          <w:tcPr>
            <w:tcW w:w="0" w:type="auto"/>
            <w:tcMar>
              <w:left w:w="144" w:type="dxa"/>
            </w:tcMar>
          </w:tcPr>
          <w:p w14:paraId="7AA21F00" w14:textId="77777777" w:rsidR="00CB4F36" w:rsidRDefault="00000000">
            <w:pPr>
              <w:pStyle w:val="BodyText"/>
              <w:spacing w:before="16" w:after="64"/>
            </w:pPr>
            <w:r>
              <w:rPr>
                <w:b/>
                <w:bCs/>
              </w:rPr>
              <w:lastRenderedPageBreak/>
              <w:t>Outstanding Questions</w:t>
            </w:r>
          </w:p>
          <w:p w14:paraId="388C466D" w14:textId="77777777" w:rsidR="00CB4F36" w:rsidRDefault="00000000">
            <w:pPr>
              <w:pStyle w:val="Compact"/>
              <w:numPr>
                <w:ilvl w:val="0"/>
                <w:numId w:val="86"/>
              </w:numPr>
            </w:pPr>
            <w:r>
              <w:t>How effective are models that use parameters of closely related species at predicting the impacts of extreme heat for species lacking data?</w:t>
            </w:r>
          </w:p>
          <w:p w14:paraId="78768E26" w14:textId="77777777" w:rsidR="00CB4F36" w:rsidRDefault="00000000">
            <w:pPr>
              <w:pStyle w:val="Compact"/>
              <w:numPr>
                <w:ilvl w:val="0"/>
                <w:numId w:val="86"/>
              </w:numPr>
            </w:pPr>
            <w:r>
              <w:t>How can we capture longer-term evolutionary responses to extreme heat in a systems modelling framework?</w:t>
            </w:r>
          </w:p>
          <w:p w14:paraId="77383DBD" w14:textId="77777777" w:rsidR="00CB4F36" w:rsidRDefault="00000000">
            <w:pPr>
              <w:pStyle w:val="Compact"/>
              <w:numPr>
                <w:ilvl w:val="0"/>
                <w:numId w:val="86"/>
              </w:numPr>
            </w:pPr>
            <w:r>
              <w:t>For modular plant species, can we build and couple dynamic energy budget models to predict how extreme heat will impact tissue and life cycle dynamics more accurately?</w:t>
            </w:r>
          </w:p>
          <w:p w14:paraId="43A57844" w14:textId="77777777" w:rsidR="00CB4F36" w:rsidRDefault="00000000">
            <w:pPr>
              <w:pStyle w:val="Compact"/>
              <w:numPr>
                <w:ilvl w:val="0"/>
                <w:numId w:val="86"/>
              </w:numPr>
            </w:pPr>
            <w:r>
              <w:t>How do multiple stressors in anthropogenically modified environments interact with extreme heat to impact organisms, populations and communities?</w:t>
            </w:r>
          </w:p>
          <w:p w14:paraId="073F45C7" w14:textId="77777777" w:rsidR="00CB4F36" w:rsidRDefault="00000000">
            <w:pPr>
              <w:pStyle w:val="Compact"/>
              <w:numPr>
                <w:ilvl w:val="0"/>
                <w:numId w:val="86"/>
              </w:numPr>
            </w:pPr>
            <w:r>
              <w:t>How will extreme heat impact species coexistence and functional trait diversity in natural and agricultural systems?</w:t>
            </w:r>
          </w:p>
          <w:p w14:paraId="3E03A53D" w14:textId="05DFD1AF" w:rsidR="00B34D88" w:rsidRPr="00B34D88" w:rsidRDefault="00B34D88" w:rsidP="00B34D88">
            <w:pPr>
              <w:pStyle w:val="Compact"/>
              <w:numPr>
                <w:ilvl w:val="0"/>
                <w:numId w:val="86"/>
              </w:numPr>
              <w:rPr>
                <w:lang w:val="en-AU"/>
              </w:rPr>
            </w:pPr>
            <w:r w:rsidRPr="00B34D88">
              <w:rPr>
                <w:lang w:val="en-AU"/>
              </w:rPr>
              <w:t xml:space="preserve">How accurately can we capture animal behavioural responses to extreme heat using biophysical models? How can we quantify microhabitat complexity to most robustly capture these responses? </w:t>
            </w:r>
          </w:p>
        </w:tc>
      </w:tr>
    </w:tbl>
    <w:p w14:paraId="344BAF13" w14:textId="77777777" w:rsidR="00CB4F36" w:rsidRDefault="00000000">
      <w:pPr>
        <w:pStyle w:val="Heading1"/>
      </w:pPr>
      <w:bookmarkStart w:id="15" w:name="concluding-remarks"/>
      <w:bookmarkEnd w:id="13"/>
      <w:r>
        <w:t>Concluding Remarks</w:t>
      </w:r>
    </w:p>
    <w:p w14:paraId="5688479D" w14:textId="77777777" w:rsidR="00CB4F36"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1">
        <w:r w:rsidR="00CB4F36">
          <w:rPr>
            <w:rStyle w:val="Hyperlink"/>
            <w:i/>
            <w:iCs/>
          </w:rPr>
          <w:t>Supplementary Online Material</w:t>
        </w:r>
      </w:hyperlink>
      <w:r>
        <w:t xml:space="preserve">). While our case studies are necessarily hypothetical in </w:t>
      </w:r>
      <w:proofErr w:type="gramStart"/>
      <w:r>
        <w:t>nature</w:t>
      </w:r>
      <w:proofErr w:type="gramEnd"/>
      <w:r>
        <w:t xml:space="preserve"> they move us one step closer to implementing a systems modelling approach in real-world systems. However, many challenges and gaps remain (see </w:t>
      </w:r>
      <w:r>
        <w:rPr>
          <w:b/>
          <w:bCs/>
        </w:rPr>
        <w:t>Outstanding Questions</w:t>
      </w:r>
      <w:r>
        <w:t xml:space="preserve">). Developing a systems modelling framework will require collaboration between different research fields, including biophysics, physiology, ecology and evolutionary biology as well as with </w:t>
      </w:r>
      <w:proofErr w:type="gramStart"/>
      <w:r>
        <w:t>socio-ecologists</w:t>
      </w:r>
      <w:proofErr w:type="gramEnd"/>
      <w:r>
        <w:t xml:space="preserve">. Nonetheless, by working collaboratively and </w:t>
      </w:r>
      <w:proofErr w:type="spellStart"/>
      <w:r>
        <w:t>integratively</w:t>
      </w:r>
      <w:proofErr w:type="spellEnd"/>
      <w:r>
        <w:t xml:space="preserve"> we can develop a more calculated understanding of the impacts that extreme heat will have on organisms, populations, and communities along with how to mitigate these impacts to preserve diverse systems now and into the future.</w:t>
      </w:r>
    </w:p>
    <w:p w14:paraId="45303876" w14:textId="77777777" w:rsidR="00CB4F36" w:rsidRDefault="00000000">
      <w:pPr>
        <w:pStyle w:val="Heading1"/>
      </w:pPr>
      <w:bookmarkStart w:id="16" w:name="references"/>
      <w:bookmarkEnd w:id="15"/>
      <w:r>
        <w:lastRenderedPageBreak/>
        <w:t>References</w:t>
      </w:r>
    </w:p>
    <w:p w14:paraId="65F2EC51" w14:textId="77777777" w:rsidR="00CB4F36" w:rsidRDefault="00CB4F36">
      <w:pPr>
        <w:pStyle w:val="FirstParagraph"/>
      </w:pPr>
    </w:p>
    <w:p w14:paraId="3360DD62" w14:textId="77777777" w:rsidR="00CB4F36" w:rsidRDefault="00000000">
      <w:pPr>
        <w:pStyle w:val="Bibliography"/>
      </w:pPr>
      <w:bookmarkStart w:id="17" w:name="ref-Barriopedro2023"/>
      <w:bookmarkStart w:id="18"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 xml:space="preserve">Rev. </w:t>
      </w:r>
      <w:proofErr w:type="spellStart"/>
      <w:r>
        <w:rPr>
          <w:i/>
          <w:iCs/>
        </w:rPr>
        <w:t>Geophys</w:t>
      </w:r>
      <w:proofErr w:type="spellEnd"/>
      <w:r>
        <w:rPr>
          <w:i/>
          <w:iCs/>
        </w:rPr>
        <w:t>.</w:t>
      </w:r>
      <w:r>
        <w:t xml:space="preserve"> 61, e2022RG000780</w:t>
      </w:r>
    </w:p>
    <w:p w14:paraId="2619B90B" w14:textId="77777777" w:rsidR="00CB4F36" w:rsidRDefault="00000000">
      <w:pPr>
        <w:pStyle w:val="Bibliography"/>
      </w:pPr>
      <w:bookmarkStart w:id="19" w:name="ref-Aglas-Leitner2024"/>
      <w:bookmarkEnd w:id="17"/>
      <w:r>
        <w:t xml:space="preserve">2. </w:t>
      </w:r>
      <w:r>
        <w:tab/>
      </w:r>
      <w:proofErr w:type="spellStart"/>
      <w:r>
        <w:t>Aglas</w:t>
      </w:r>
      <w:proofErr w:type="spellEnd"/>
      <w:r>
        <w:t xml:space="preserve">-Leitner, P. </w:t>
      </w:r>
      <w:r>
        <w:rPr>
          <w:i/>
          <w:iCs/>
        </w:rPr>
        <w:t>et al.</w:t>
      </w:r>
      <w:r>
        <w:t xml:space="preserve"> (2024) </w:t>
      </w:r>
      <w:r>
        <w:rPr>
          <w:i/>
          <w:iCs/>
        </w:rPr>
        <w:t>Recent extreme heatwaves dwarfed by projected future events</w:t>
      </w:r>
      <w:r>
        <w:t>, Copernicus Meetings</w:t>
      </w:r>
    </w:p>
    <w:p w14:paraId="43DC9690" w14:textId="77777777" w:rsidR="00CB4F36"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w:t>
      </w:r>
      <w:proofErr w:type="spellStart"/>
      <w:r>
        <w:t>european</w:t>
      </w:r>
      <w:proofErr w:type="spellEnd"/>
      <w:r>
        <w:t xml:space="preserve"> summer 2003 climate anomaly: A joint flux tower, remote sensing and modelling analysis. </w:t>
      </w:r>
      <w:r>
        <w:rPr>
          <w:i/>
          <w:iCs/>
        </w:rPr>
        <w:t>Global Change Biology</w:t>
      </w:r>
      <w:r>
        <w:t xml:space="preserve"> 13, 634–651</w:t>
      </w:r>
    </w:p>
    <w:p w14:paraId="0088FBAA" w14:textId="77777777" w:rsidR="00CB4F36" w:rsidRDefault="00000000">
      <w:pPr>
        <w:pStyle w:val="Bibliography"/>
      </w:pPr>
      <w:bookmarkStart w:id="21" w:name="ref-Margalef-Marrase2020"/>
      <w:bookmarkEnd w:id="20"/>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222B6B12" w14:textId="77777777" w:rsidR="00CB4F36" w:rsidRDefault="00000000">
      <w:pPr>
        <w:pStyle w:val="Bibliography"/>
      </w:pPr>
      <w:bookmarkStart w:id="22" w:name="ref-Kazenel2024"/>
      <w:bookmarkEnd w:id="21"/>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76B761DC" w14:textId="77777777" w:rsidR="00CB4F36"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743235D5" w14:textId="77777777" w:rsidR="00CB4F36" w:rsidRDefault="00000000">
      <w:pPr>
        <w:pStyle w:val="Bibliography"/>
      </w:pPr>
      <w:bookmarkStart w:id="24" w:name="ref-Tito2018"/>
      <w:bookmarkEnd w:id="23"/>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45482D2E" w14:textId="77777777" w:rsidR="00CB4F36" w:rsidRDefault="00000000">
      <w:pPr>
        <w:pStyle w:val="Bibliography"/>
      </w:pPr>
      <w:bookmarkStart w:id="25" w:name="ref-Bastos2014"/>
      <w:bookmarkEnd w:id="24"/>
      <w:r>
        <w:t xml:space="preserve">8. </w:t>
      </w:r>
      <w:r>
        <w:tab/>
        <w:t xml:space="preserve">Bastos, A. </w:t>
      </w:r>
      <w:r>
        <w:rPr>
          <w:i/>
          <w:iCs/>
        </w:rPr>
        <w:t>et al.</w:t>
      </w:r>
      <w:r>
        <w:t xml:space="preserve"> (2014) </w:t>
      </w:r>
      <w:proofErr w:type="spellStart"/>
      <w:r>
        <w:t>Analysing</w:t>
      </w:r>
      <w:proofErr w:type="spellEnd"/>
      <w:r>
        <w:t xml:space="preserve"> the </w:t>
      </w:r>
      <w:proofErr w:type="spellStart"/>
      <w:r>
        <w:t>spatio</w:t>
      </w:r>
      <w:proofErr w:type="spellEnd"/>
      <w:r>
        <w:t xml:space="preserve">-temporal impacts of the 2003 and 2010 extreme heatwaves on plant productivity in </w:t>
      </w:r>
      <w:proofErr w:type="spellStart"/>
      <w:r>
        <w:t>europe</w:t>
      </w:r>
      <w:proofErr w:type="spellEnd"/>
      <w:r>
        <w:t xml:space="preserve">. </w:t>
      </w:r>
      <w:proofErr w:type="spellStart"/>
      <w:r>
        <w:rPr>
          <w:i/>
          <w:iCs/>
        </w:rPr>
        <w:t>Biogeosciences</w:t>
      </w:r>
      <w:proofErr w:type="spellEnd"/>
      <w:r>
        <w:t xml:space="preserve"> 11, 3421–3435</w:t>
      </w:r>
    </w:p>
    <w:p w14:paraId="7CFA20D6" w14:textId="77777777" w:rsidR="00CB4F36"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22CABDDC" w14:textId="77777777" w:rsidR="00CB4F36"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w:t>
      </w:r>
      <w:proofErr w:type="spellStart"/>
      <w:r>
        <w:t>behaviour</w:t>
      </w:r>
      <w:proofErr w:type="spellEnd"/>
      <w:r>
        <w:t xml:space="preserve"> of two mirid predators. </w:t>
      </w:r>
      <w:r>
        <w:rPr>
          <w:i/>
          <w:iCs/>
        </w:rPr>
        <w:t xml:space="preserve">J. Appl. </w:t>
      </w:r>
      <w:proofErr w:type="spellStart"/>
      <w:r>
        <w:rPr>
          <w:i/>
          <w:iCs/>
        </w:rPr>
        <w:t>Entomol</w:t>
      </w:r>
      <w:proofErr w:type="spellEnd"/>
      <w:r>
        <w:rPr>
          <w:i/>
          <w:iCs/>
        </w:rPr>
        <w:t>.</w:t>
      </w:r>
    </w:p>
    <w:p w14:paraId="56E26E2C" w14:textId="77777777" w:rsidR="00CB4F36"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47A9723D" w14:textId="77777777" w:rsidR="00CB4F36"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4A906959" w14:textId="77777777" w:rsidR="00CB4F36"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265759" w14:textId="77777777" w:rsidR="00CB4F36"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 xml:space="preserve">Ecol. </w:t>
      </w:r>
      <w:proofErr w:type="spellStart"/>
      <w:r>
        <w:rPr>
          <w:i/>
          <w:iCs/>
        </w:rPr>
        <w:t>Evol</w:t>
      </w:r>
      <w:proofErr w:type="spellEnd"/>
      <w:r>
        <w:rPr>
          <w:i/>
          <w:iCs/>
        </w:rPr>
        <w:t>.</w:t>
      </w:r>
      <w:r>
        <w:t xml:space="preserve"> 14, e70096</w:t>
      </w:r>
    </w:p>
    <w:p w14:paraId="56F1A6E8" w14:textId="77777777" w:rsidR="00CB4F36"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F9CE741" w14:textId="77777777" w:rsidR="00CB4F36" w:rsidRDefault="00000000">
      <w:pPr>
        <w:pStyle w:val="Bibliography"/>
      </w:pPr>
      <w:bookmarkStart w:id="33" w:name="ref-Kooijman2010"/>
      <w:bookmarkEnd w:id="32"/>
      <w:r>
        <w:t xml:space="preserve">16. </w:t>
      </w:r>
      <w:r>
        <w:tab/>
      </w:r>
      <w:proofErr w:type="spellStart"/>
      <w:r>
        <w:t>Kooijman</w:t>
      </w:r>
      <w:proofErr w:type="spellEnd"/>
      <w:r>
        <w:t xml:space="preserve">, S.A.L.M. (2010) </w:t>
      </w:r>
      <w:r>
        <w:rPr>
          <w:i/>
          <w:iCs/>
        </w:rPr>
        <w:t xml:space="preserve">Dynamic energy budget theory for metabolic </w:t>
      </w:r>
      <w:proofErr w:type="spellStart"/>
      <w:r>
        <w:rPr>
          <w:i/>
          <w:iCs/>
        </w:rPr>
        <w:t>organisation</w:t>
      </w:r>
      <w:proofErr w:type="spellEnd"/>
      <w:r>
        <w:t>, Cambridge university press</w:t>
      </w:r>
    </w:p>
    <w:p w14:paraId="11605B58" w14:textId="77777777" w:rsidR="00CB4F36" w:rsidRDefault="00000000">
      <w:pPr>
        <w:pStyle w:val="Bibliography"/>
      </w:pPr>
      <w:bookmarkStart w:id="34" w:name="ref-Kearney2009b"/>
      <w:bookmarkEnd w:id="33"/>
      <w:r>
        <w:lastRenderedPageBreak/>
        <w:t xml:space="preserve">17. </w:t>
      </w:r>
      <w:r>
        <w:tab/>
        <w:t xml:space="preserve">Kearney, M. and Porter, W. (2009) Mechanistic niche modelling: Combining physiological and spatial data to predict species’ ranges. </w:t>
      </w:r>
      <w:r>
        <w:rPr>
          <w:i/>
          <w:iCs/>
        </w:rPr>
        <w:t>Ecol. Lett.</w:t>
      </w:r>
      <w:r>
        <w:t xml:space="preserve"> 12, 334–350</w:t>
      </w:r>
    </w:p>
    <w:p w14:paraId="389CF152" w14:textId="77777777" w:rsidR="00CB4F36" w:rsidRDefault="00000000">
      <w:pPr>
        <w:pStyle w:val="Bibliography"/>
      </w:pPr>
      <w:bookmarkStart w:id="35" w:name="ref-Jusup2024"/>
      <w:bookmarkEnd w:id="34"/>
      <w:r>
        <w:t xml:space="preserve">18.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77E2B306" w14:textId="77777777" w:rsidR="00CB4F36"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 xml:space="preserve">Methods Ecol. </w:t>
      </w:r>
      <w:proofErr w:type="spellStart"/>
      <w:r>
        <w:rPr>
          <w:i/>
          <w:iCs/>
        </w:rPr>
        <w:t>Evol</w:t>
      </w:r>
      <w:proofErr w:type="spellEnd"/>
      <w:r>
        <w:rPr>
          <w:i/>
          <w:iCs/>
        </w:rPr>
        <w:t>.</w:t>
      </w:r>
      <w:r>
        <w:t xml:space="preserve"> 15, 1516–1531</w:t>
      </w:r>
    </w:p>
    <w:p w14:paraId="4EFADE05" w14:textId="77777777" w:rsidR="00CB4F36"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092454F0" w14:textId="77777777" w:rsidR="00CB4F36"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51DB3CF9" w14:textId="77777777" w:rsidR="00CB4F36"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proofErr w:type="spellStart"/>
      <w:r>
        <w:rPr>
          <w:i/>
          <w:iCs/>
        </w:rPr>
        <w:t>EcoEvoRxiv</w:t>
      </w:r>
      <w:proofErr w:type="spellEnd"/>
      <w:r>
        <w:rPr>
          <w:i/>
          <w:iCs/>
        </w:rPr>
        <w:t>, https://doi.org/10.32942/X23M0R</w:t>
      </w:r>
    </w:p>
    <w:p w14:paraId="62BF08BA" w14:textId="77777777" w:rsidR="00CB4F36"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55BEB377" w14:textId="77777777" w:rsidR="00CB4F36" w:rsidRDefault="00000000">
      <w:pPr>
        <w:pStyle w:val="Bibliography"/>
      </w:pPr>
      <w:bookmarkStart w:id="41" w:name="ref-Bowler2022"/>
      <w:bookmarkEnd w:id="40"/>
      <w:r>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0FF7CBA7" w14:textId="77777777" w:rsidR="00CB4F36" w:rsidRDefault="00000000">
      <w:pPr>
        <w:pStyle w:val="Bibliography"/>
      </w:pPr>
      <w:bookmarkStart w:id="42" w:name="ref-Fick2017"/>
      <w:bookmarkEnd w:id="41"/>
      <w:r>
        <w:t xml:space="preserve">25.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304C7CF7" w14:textId="77777777" w:rsidR="00CB4F36" w:rsidRDefault="00000000">
      <w:pPr>
        <w:pStyle w:val="Bibliography"/>
      </w:pPr>
      <w:bookmarkStart w:id="43" w:name="ref-Kalnay2018"/>
      <w:bookmarkEnd w:id="42"/>
      <w:r>
        <w:t xml:space="preserve">26.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0162EB86" w14:textId="77777777" w:rsidR="00CB4F36" w:rsidRDefault="00000000">
      <w:pPr>
        <w:pStyle w:val="Bibliography"/>
      </w:pPr>
      <w:bookmarkStart w:id="44" w:name="ref-Hersbach2020"/>
      <w:bookmarkEnd w:id="43"/>
      <w:r>
        <w:t xml:space="preserve">27.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4AF21459" w14:textId="77777777" w:rsidR="00CB4F36" w:rsidRDefault="00000000">
      <w:pPr>
        <w:pStyle w:val="Bibliography"/>
      </w:pPr>
      <w:bookmarkStart w:id="45" w:name="ref-Klinges2022"/>
      <w:bookmarkEnd w:id="44"/>
      <w:r>
        <w:t xml:space="preserve">28.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 xml:space="preserve">Methods Ecol. </w:t>
      </w:r>
      <w:proofErr w:type="spellStart"/>
      <w:r>
        <w:rPr>
          <w:i/>
          <w:iCs/>
        </w:rPr>
        <w:t>Evol</w:t>
      </w:r>
      <w:proofErr w:type="spellEnd"/>
      <w:r>
        <w:rPr>
          <w:i/>
          <w:iCs/>
        </w:rPr>
        <w:t>.</w:t>
      </w:r>
      <w:r>
        <w:t xml:space="preserve"> 13, 1402–1411</w:t>
      </w:r>
    </w:p>
    <w:p w14:paraId="44037BAA" w14:textId="77777777" w:rsidR="00CB4F36"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AC0C30" w14:textId="77777777" w:rsidR="00CB4F36"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75C68B3" w14:textId="77777777" w:rsidR="00CB4F36"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5F297E02" w14:textId="77777777" w:rsidR="00CB4F36" w:rsidRDefault="00000000">
      <w:pPr>
        <w:pStyle w:val="Bibliography"/>
      </w:pPr>
      <w:bookmarkStart w:id="49" w:name="ref-Yatunin2025"/>
      <w:bookmarkEnd w:id="48"/>
      <w:r>
        <w:t xml:space="preserve">32. </w:t>
      </w:r>
      <w:r>
        <w:tab/>
      </w:r>
      <w:proofErr w:type="spellStart"/>
      <w:r>
        <w:t>Yatunin</w:t>
      </w:r>
      <w:proofErr w:type="spellEnd"/>
      <w:r>
        <w:t xml:space="preserve">, D. </w:t>
      </w:r>
      <w:r>
        <w:rPr>
          <w:i/>
          <w:iCs/>
        </w:rPr>
        <w:t>et al.</w:t>
      </w:r>
      <w:r>
        <w:t xml:space="preserve"> (2025) The climate modeling alliance atmosphere dynamical core: Concepts, </w:t>
      </w:r>
      <w:proofErr w:type="spellStart"/>
      <w:r>
        <w:t>numerics</w:t>
      </w:r>
      <w:proofErr w:type="spellEnd"/>
      <w:r>
        <w:t xml:space="preserve">, and scaling. </w:t>
      </w:r>
      <w:proofErr w:type="spellStart"/>
      <w:r>
        <w:rPr>
          <w:i/>
          <w:iCs/>
        </w:rPr>
        <w:t>Authorea</w:t>
      </w:r>
      <w:proofErr w:type="spellEnd"/>
      <w:r>
        <w:rPr>
          <w:i/>
          <w:iCs/>
        </w:rPr>
        <w:t xml:space="preserve"> Preprints</w:t>
      </w:r>
    </w:p>
    <w:p w14:paraId="55D3EA8B" w14:textId="77777777" w:rsidR="00CB4F36" w:rsidRDefault="00000000">
      <w:pPr>
        <w:pStyle w:val="Bibliography"/>
      </w:pPr>
      <w:bookmarkStart w:id="50" w:name="ref-Braziunas2025"/>
      <w:bookmarkEnd w:id="49"/>
      <w:r>
        <w:t xml:space="preserve">33. </w:t>
      </w:r>
      <w:r>
        <w:tab/>
      </w:r>
      <w:proofErr w:type="spellStart"/>
      <w:r>
        <w:t>Braziunas</w:t>
      </w:r>
      <w:proofErr w:type="spellEnd"/>
      <w:r>
        <w:t xml:space="preserve">, K.H. </w:t>
      </w:r>
      <w:r>
        <w:rPr>
          <w:i/>
          <w:iCs/>
        </w:rPr>
        <w:t>et al.</w:t>
      </w:r>
      <w:r>
        <w:t xml:space="preserve"> (2025) Microclimate temperature effects propagate across scales in forest ecosystems. </w:t>
      </w:r>
      <w:proofErr w:type="spellStart"/>
      <w:r>
        <w:rPr>
          <w:i/>
          <w:iCs/>
        </w:rPr>
        <w:t>Landsc</w:t>
      </w:r>
      <w:proofErr w:type="spellEnd"/>
      <w:r>
        <w:rPr>
          <w:i/>
          <w:iCs/>
        </w:rPr>
        <w:t>. Ecol.</w:t>
      </w:r>
      <w:r>
        <w:t xml:space="preserve"> 40, 37</w:t>
      </w:r>
    </w:p>
    <w:p w14:paraId="3DD9ABD7" w14:textId="77777777" w:rsidR="00CB4F36" w:rsidRDefault="00000000">
      <w:pPr>
        <w:pStyle w:val="Bibliography"/>
      </w:pPr>
      <w:bookmarkStart w:id="51" w:name="ref-Kearney2017"/>
      <w:bookmarkEnd w:id="50"/>
      <w:r>
        <w:t xml:space="preserve">34.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62A22CAC" w14:textId="77777777" w:rsidR="00CB4F36" w:rsidRDefault="00000000">
      <w:pPr>
        <w:pStyle w:val="Bibliography"/>
      </w:pPr>
      <w:bookmarkStart w:id="52" w:name="ref-Maclean2019"/>
      <w:bookmarkEnd w:id="51"/>
      <w:r>
        <w:t xml:space="preserve">35.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 xml:space="preserve">Methods Ecol. </w:t>
      </w:r>
      <w:proofErr w:type="spellStart"/>
      <w:r>
        <w:rPr>
          <w:i/>
          <w:iCs/>
        </w:rPr>
        <w:t>Evol</w:t>
      </w:r>
      <w:proofErr w:type="spellEnd"/>
      <w:r>
        <w:rPr>
          <w:i/>
          <w:iCs/>
        </w:rPr>
        <w:t>.</w:t>
      </w:r>
      <w:r>
        <w:t xml:space="preserve"> 10, 280–290</w:t>
      </w:r>
    </w:p>
    <w:p w14:paraId="0298ACF6" w14:textId="77777777" w:rsidR="00CB4F36" w:rsidRDefault="00000000">
      <w:pPr>
        <w:pStyle w:val="Bibliography"/>
      </w:pPr>
      <w:bookmarkStart w:id="53" w:name="ref-Kearney2020"/>
      <w:bookmarkEnd w:id="52"/>
      <w:r>
        <w:lastRenderedPageBreak/>
        <w:t xml:space="preserve">36. </w:t>
      </w:r>
      <w:r>
        <w:tab/>
        <w:t xml:space="preserve">Kearney, M.R. </w:t>
      </w:r>
      <w:r>
        <w:rPr>
          <w:i/>
          <w:iCs/>
        </w:rPr>
        <w:t>et al.</w:t>
      </w:r>
      <w:r>
        <w:t xml:space="preserve"> (2020) A method for computing hourly, historical, terrain‐corrected microclimate anywhere on earth. </w:t>
      </w:r>
      <w:r>
        <w:rPr>
          <w:i/>
          <w:iCs/>
        </w:rPr>
        <w:t xml:space="preserve">Methods Ecol. </w:t>
      </w:r>
      <w:proofErr w:type="spellStart"/>
      <w:r>
        <w:rPr>
          <w:i/>
          <w:iCs/>
        </w:rPr>
        <w:t>Evol</w:t>
      </w:r>
      <w:proofErr w:type="spellEnd"/>
      <w:r>
        <w:rPr>
          <w:i/>
          <w:iCs/>
        </w:rPr>
        <w:t>.</w:t>
      </w:r>
      <w:r>
        <w:t xml:space="preserve"> 11, 38–43</w:t>
      </w:r>
    </w:p>
    <w:p w14:paraId="3630111D" w14:textId="77777777" w:rsidR="00CB4F36"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 xml:space="preserve">Methods Ecol. </w:t>
      </w:r>
      <w:proofErr w:type="spellStart"/>
      <w:r>
        <w:rPr>
          <w:i/>
          <w:iCs/>
        </w:rPr>
        <w:t>Evol</w:t>
      </w:r>
      <w:proofErr w:type="spellEnd"/>
      <w:r>
        <w:rPr>
          <w:i/>
          <w:iCs/>
        </w:rPr>
        <w:t>.</w:t>
      </w:r>
      <w:r>
        <w:t xml:space="preserve"> 12, 1397–1410</w:t>
      </w:r>
    </w:p>
    <w:p w14:paraId="6D0D64C5" w14:textId="77777777" w:rsidR="00CB4F36" w:rsidRDefault="00000000">
      <w:pPr>
        <w:pStyle w:val="Bibliography"/>
      </w:pPr>
      <w:bookmarkStart w:id="55" w:name="ref-Buckley2023"/>
      <w:bookmarkEnd w:id="54"/>
      <w:r>
        <w:t xml:space="preserve">38.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35DFC53D" w14:textId="77777777" w:rsidR="00CB4F36"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 xml:space="preserve">Methods Ecol. </w:t>
      </w:r>
      <w:proofErr w:type="spellStart"/>
      <w:r>
        <w:rPr>
          <w:i/>
          <w:iCs/>
        </w:rPr>
        <w:t>Evol</w:t>
      </w:r>
      <w:proofErr w:type="spellEnd"/>
      <w:r>
        <w:rPr>
          <w:i/>
          <w:iCs/>
        </w:rPr>
        <w:t>.</w:t>
      </w:r>
    </w:p>
    <w:p w14:paraId="649E8FBF" w14:textId="77777777" w:rsidR="00CB4F36"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31FD8361" w14:textId="77777777" w:rsidR="00CB4F36"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proofErr w:type="spellStart"/>
      <w:r>
        <w:rPr>
          <w:i/>
          <w:iCs/>
        </w:rPr>
        <w:t>Biogeosciences</w:t>
      </w:r>
      <w:proofErr w:type="spellEnd"/>
      <w:r>
        <w:t xml:space="preserve"> 19, 4387–4414</w:t>
      </w:r>
    </w:p>
    <w:p w14:paraId="65A5F6C7" w14:textId="77777777" w:rsidR="00CB4F36"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w:t>
      </w:r>
      <w:proofErr w:type="gramStart"/>
      <w:r>
        <w:t>ecology :</w:t>
      </w:r>
      <w:proofErr w:type="gramEnd"/>
      <w:r>
        <w:t xml:space="preserve"> Thermal and behavioral modeling of desert ectotherms and their microenvironment. </w:t>
      </w:r>
      <w:proofErr w:type="spellStart"/>
      <w:r>
        <w:rPr>
          <w:i/>
          <w:iCs/>
        </w:rPr>
        <w:t>Oecologia</w:t>
      </w:r>
      <w:proofErr w:type="spellEnd"/>
      <w:r>
        <w:t xml:space="preserve"> 13, 1–54</w:t>
      </w:r>
    </w:p>
    <w:p w14:paraId="2AF928A1" w14:textId="77777777" w:rsidR="00CB4F36" w:rsidRDefault="00000000">
      <w:pPr>
        <w:pStyle w:val="Bibliography"/>
      </w:pPr>
      <w:bookmarkStart w:id="60" w:name="ref-Porter1969"/>
      <w:bookmarkEnd w:id="59"/>
      <w:r>
        <w:t xml:space="preserve">43.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33987764" w14:textId="77777777" w:rsidR="00CB4F36" w:rsidRDefault="00000000">
      <w:pPr>
        <w:pStyle w:val="Bibliography"/>
      </w:pPr>
      <w:bookmarkStart w:id="61" w:name="ref-Riddell2017"/>
      <w:bookmarkEnd w:id="60"/>
      <w:r>
        <w:t xml:space="preserve">44.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7B28F511" w14:textId="77777777" w:rsidR="00CB4F36" w:rsidRDefault="00000000">
      <w:pPr>
        <w:pStyle w:val="Bibliography"/>
      </w:pPr>
      <w:bookmarkStart w:id="62" w:name="ref-Duursma2015"/>
      <w:bookmarkEnd w:id="61"/>
      <w:r>
        <w:t xml:space="preserve">45.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6D4E80CA" w14:textId="77777777" w:rsidR="00CB4F36"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77AFA9B5" w14:textId="77777777" w:rsidR="00CB4F36"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290E8D5A" w14:textId="77777777" w:rsidR="00CB4F36"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w:t>
      </w:r>
      <w:proofErr w:type="spellStart"/>
      <w:r>
        <w:t>australian</w:t>
      </w:r>
      <w:proofErr w:type="spellEnd"/>
      <w:r>
        <w:t xml:space="preserve"> songbird’s response to extreme heat. </w:t>
      </w:r>
      <w:r>
        <w:rPr>
          <w:i/>
          <w:iCs/>
        </w:rPr>
        <w:t xml:space="preserve">Front. Ecol. </w:t>
      </w:r>
      <w:proofErr w:type="spellStart"/>
      <w:r>
        <w:rPr>
          <w:i/>
          <w:iCs/>
        </w:rPr>
        <w:t>Evol</w:t>
      </w:r>
      <w:proofErr w:type="spellEnd"/>
      <w:r>
        <w:rPr>
          <w:i/>
          <w:iCs/>
        </w:rPr>
        <w:t>.</w:t>
      </w:r>
      <w:r>
        <w:t xml:space="preserve"> 10</w:t>
      </w:r>
    </w:p>
    <w:p w14:paraId="2E516E45" w14:textId="77777777" w:rsidR="00CB4F36"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050005DE" w14:textId="77777777" w:rsidR="00CB4F36" w:rsidRDefault="00000000">
      <w:pPr>
        <w:pStyle w:val="Bibliography"/>
      </w:pPr>
      <w:bookmarkStart w:id="67" w:name="ref-Posch2024"/>
      <w:bookmarkEnd w:id="66"/>
      <w:r>
        <w:t xml:space="preserve">50. </w:t>
      </w:r>
      <w:r>
        <w:tab/>
        <w:t xml:space="preserve">Posch, B.C. </w:t>
      </w:r>
      <w:r>
        <w:rPr>
          <w:i/>
          <w:iCs/>
        </w:rPr>
        <w:t>et al.</w:t>
      </w:r>
      <w:r>
        <w:t xml:space="preserve"> (2024) Intensive leaf cooling </w:t>
      </w:r>
      <w:proofErr w:type="gramStart"/>
      <w:r>
        <w:t>promotes</w:t>
      </w:r>
      <w:proofErr w:type="gramEnd"/>
      <w:r>
        <w:t xml:space="preserve"> tree survival during a record heatwave. </w:t>
      </w:r>
      <w:r>
        <w:rPr>
          <w:i/>
          <w:iCs/>
        </w:rPr>
        <w:t>Proc. Natl. Acad. Sci. U. S. A.</w:t>
      </w:r>
      <w:r>
        <w:t xml:space="preserve"> 121, e2408583121</w:t>
      </w:r>
    </w:p>
    <w:p w14:paraId="6CEDBCFC" w14:textId="77777777" w:rsidR="00CB4F36"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7777F73F" w14:textId="77777777" w:rsidR="00CB4F36"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505514B6" w14:textId="77777777" w:rsidR="00CB4F36"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6B086873" w14:textId="77777777" w:rsidR="00CB4F36"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 xml:space="preserve">Trends Ecol. </w:t>
      </w:r>
      <w:proofErr w:type="spellStart"/>
      <w:r>
        <w:rPr>
          <w:i/>
          <w:iCs/>
        </w:rPr>
        <w:t>Evol</w:t>
      </w:r>
      <w:proofErr w:type="spellEnd"/>
      <w:r>
        <w:rPr>
          <w:i/>
          <w:iCs/>
        </w:rPr>
        <w:t>.</w:t>
      </w:r>
    </w:p>
    <w:p w14:paraId="3C9BF7EB" w14:textId="77777777" w:rsidR="00CB4F36" w:rsidRDefault="00000000">
      <w:pPr>
        <w:pStyle w:val="Bibliography"/>
      </w:pPr>
      <w:bookmarkStart w:id="72" w:name="ref-Chouhan2023"/>
      <w:bookmarkEnd w:id="71"/>
      <w:r>
        <w:lastRenderedPageBreak/>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4682BAD4" w14:textId="77777777" w:rsidR="00CB4F36"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 xml:space="preserve">Plant </w:t>
      </w:r>
      <w:proofErr w:type="spellStart"/>
      <w:r>
        <w:rPr>
          <w:i/>
          <w:iCs/>
        </w:rPr>
        <w:t>Biotechnol</w:t>
      </w:r>
      <w:proofErr w:type="spellEnd"/>
      <w:r>
        <w:rPr>
          <w:i/>
          <w:iCs/>
        </w:rPr>
        <w:t>. J.</w:t>
      </w:r>
      <w:r>
        <w:t xml:space="preserve"> 23, 986–998</w:t>
      </w:r>
    </w:p>
    <w:p w14:paraId="2046234B" w14:textId="77777777" w:rsidR="00CB4F36"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DC4CAA4" w14:textId="77777777" w:rsidR="00CB4F36"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w:t>
      </w:r>
      <w:proofErr w:type="spellStart"/>
      <w:r>
        <w:t>arabidopsis</w:t>
      </w:r>
      <w:proofErr w:type="spellEnd"/>
      <w:r>
        <w:t xml:space="preserve"> root microbiota. </w:t>
      </w:r>
      <w:r>
        <w:rPr>
          <w:i/>
          <w:iCs/>
        </w:rPr>
        <w:t>Science</w:t>
      </w:r>
      <w:r>
        <w:t xml:space="preserve"> 364, eaau6389</w:t>
      </w:r>
    </w:p>
    <w:p w14:paraId="419EB99D" w14:textId="77777777" w:rsidR="00CB4F36" w:rsidRDefault="00000000">
      <w:pPr>
        <w:pStyle w:val="Bibliography"/>
      </w:pPr>
      <w:bookmarkStart w:id="76" w:name="ref-Dastogeer2022"/>
      <w:bookmarkEnd w:id="75"/>
      <w:r>
        <w:t xml:space="preserve">59.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0143932E" w14:textId="77777777" w:rsidR="00CB4F36"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 xml:space="preserve">Ecol. </w:t>
      </w:r>
      <w:proofErr w:type="spellStart"/>
      <w:r>
        <w:rPr>
          <w:i/>
          <w:iCs/>
        </w:rPr>
        <w:t>Evol</w:t>
      </w:r>
      <w:proofErr w:type="spellEnd"/>
      <w:r>
        <w:rPr>
          <w:i/>
          <w:iCs/>
        </w:rPr>
        <w:t>.</w:t>
      </w:r>
      <w:r>
        <w:t xml:space="preserve"> 9, 3491–3499</w:t>
      </w:r>
    </w:p>
    <w:p w14:paraId="187208B5" w14:textId="77777777" w:rsidR="00CB4F36"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69C4B5AF" w14:textId="77777777" w:rsidR="00CB4F36" w:rsidRDefault="00000000">
      <w:pPr>
        <w:pStyle w:val="Bibliography"/>
      </w:pPr>
      <w:bookmarkStart w:id="79" w:name="ref-Marchin2022"/>
      <w:bookmarkEnd w:id="78"/>
      <w:r>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3A7AED2D" w14:textId="77777777" w:rsidR="00CB4F36" w:rsidRDefault="00000000">
      <w:pPr>
        <w:pStyle w:val="Bibliography"/>
      </w:pPr>
      <w:bookmarkStart w:id="80" w:name="ref-Youngblood2025"/>
      <w:bookmarkEnd w:id="79"/>
      <w:r>
        <w:t xml:space="preserve">63.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18E9BD67" w14:textId="77777777" w:rsidR="00CB4F36" w:rsidRDefault="00000000">
      <w:pPr>
        <w:pStyle w:val="Bibliography"/>
      </w:pPr>
      <w:bookmarkStart w:id="81" w:name="ref-Mengutay2013"/>
      <w:bookmarkEnd w:id="80"/>
      <w:r>
        <w:t xml:space="preserve">64.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5A13DB07" w14:textId="77777777" w:rsidR="00CB4F36"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6C687BD" w14:textId="77777777" w:rsidR="00CB4F36"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49524297" w14:textId="77777777" w:rsidR="00CB4F36" w:rsidRDefault="00000000">
      <w:pPr>
        <w:pStyle w:val="Bibliography"/>
      </w:pPr>
      <w:bookmarkStart w:id="84" w:name="ref-Jager2020"/>
      <w:bookmarkEnd w:id="83"/>
      <w:r>
        <w:t xml:space="preserve">67. </w:t>
      </w:r>
      <w:r>
        <w:tab/>
        <w:t xml:space="preserve">Jager, T. (2020) Revisiting simplified </w:t>
      </w:r>
      <w:proofErr w:type="spellStart"/>
      <w:r>
        <w:t>DEBtox</w:t>
      </w:r>
      <w:proofErr w:type="spellEnd"/>
      <w:r>
        <w:t xml:space="preserve"> models for </w:t>
      </w:r>
      <w:proofErr w:type="spellStart"/>
      <w:r>
        <w:t>analysing</w:t>
      </w:r>
      <w:proofErr w:type="spellEnd"/>
      <w:r>
        <w:t xml:space="preserve"> ecotoxicity data. </w:t>
      </w:r>
      <w:r>
        <w:rPr>
          <w:i/>
          <w:iCs/>
        </w:rPr>
        <w:t>Ecol. Modell.</w:t>
      </w:r>
      <w:r>
        <w:t xml:space="preserve"> 416, 108904</w:t>
      </w:r>
    </w:p>
    <w:p w14:paraId="73D16807" w14:textId="77777777" w:rsidR="00CB4F36"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4390D831" w14:textId="77777777" w:rsidR="00CB4F36"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26C2AF30" w14:textId="77777777" w:rsidR="00CB4F36"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15C780AF" w14:textId="77777777" w:rsidR="00CB4F36"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proofErr w:type="spellStart"/>
      <w:r>
        <w:rPr>
          <w:i/>
          <w:iCs/>
        </w:rPr>
        <w:t>Conserv</w:t>
      </w:r>
      <w:proofErr w:type="spellEnd"/>
      <w:r>
        <w:rPr>
          <w:i/>
          <w:iCs/>
        </w:rPr>
        <w:t>. Physiol.</w:t>
      </w:r>
      <w:r>
        <w:t xml:space="preserve"> 10, coac061</w:t>
      </w:r>
    </w:p>
    <w:p w14:paraId="21A06E8D" w14:textId="77777777" w:rsidR="00CB4F36" w:rsidRDefault="00000000">
      <w:pPr>
        <w:pStyle w:val="Bibliography"/>
      </w:pPr>
      <w:bookmarkStart w:id="89" w:name="ref-Marques2018"/>
      <w:bookmarkEnd w:id="88"/>
      <w:r>
        <w:t xml:space="preserve">72.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22BDDACF" w14:textId="77777777" w:rsidR="00CB4F36" w:rsidRDefault="00000000">
      <w:pPr>
        <w:pStyle w:val="Bibliography"/>
      </w:pPr>
      <w:bookmarkStart w:id="90" w:name="ref-Kooijman2021"/>
      <w:bookmarkEnd w:id="89"/>
      <w:r>
        <w:t xml:space="preserve">73.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68800AE4" w14:textId="77777777" w:rsidR="00CB4F36" w:rsidRDefault="00000000">
      <w:pPr>
        <w:pStyle w:val="Bibliography"/>
      </w:pPr>
      <w:bookmarkStart w:id="91" w:name="ref-Bruggeman2009"/>
      <w:bookmarkEnd w:id="90"/>
      <w:r>
        <w:lastRenderedPageBreak/>
        <w:t xml:space="preserve">74.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132EC8EA" w14:textId="77777777" w:rsidR="00CB4F36" w:rsidRDefault="00000000">
      <w:pPr>
        <w:pStyle w:val="Bibliography"/>
      </w:pPr>
      <w:bookmarkStart w:id="92" w:name="ref-Kearney2020a"/>
      <w:bookmarkEnd w:id="91"/>
      <w:r>
        <w:t xml:space="preserve">75.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04DE64B2" w14:textId="77777777" w:rsidR="00CB4F36" w:rsidRDefault="00000000">
      <w:pPr>
        <w:pStyle w:val="Bibliography"/>
      </w:pPr>
      <w:bookmarkStart w:id="93" w:name="ref-Chesson2000"/>
      <w:bookmarkEnd w:id="92"/>
      <w:r>
        <w:t xml:space="preserve">76.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62C9B02B" w14:textId="77777777" w:rsidR="00CB4F36"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6E78419A" w14:textId="77777777" w:rsidR="00CB4F36" w:rsidRDefault="00000000">
      <w:pPr>
        <w:pStyle w:val="Bibliography"/>
      </w:pPr>
      <w:bookmarkStart w:id="95" w:name="ref-Beverton2012"/>
      <w:bookmarkEnd w:id="94"/>
      <w:r>
        <w:t xml:space="preserve">78. </w:t>
      </w:r>
      <w:r>
        <w:tab/>
      </w:r>
      <w:proofErr w:type="spellStart"/>
      <w:r>
        <w:t>Beverton</w:t>
      </w:r>
      <w:proofErr w:type="spellEnd"/>
      <w:r>
        <w:t xml:space="preserve">, R.J.H. and Holt, S. (2012) </w:t>
      </w:r>
      <w:r>
        <w:rPr>
          <w:i/>
          <w:iCs/>
        </w:rPr>
        <w:t>On the dynamics of exploited fish populations</w:t>
      </w:r>
      <w:r>
        <w:t>, Springer</w:t>
      </w:r>
    </w:p>
    <w:p w14:paraId="1679A4F0" w14:textId="77777777" w:rsidR="00CB4F36" w:rsidRDefault="00000000">
      <w:pPr>
        <w:pStyle w:val="Bibliography"/>
      </w:pPr>
      <w:bookmarkStart w:id="96" w:name="ref-Mayfield2017"/>
      <w:bookmarkEnd w:id="95"/>
      <w:r>
        <w:t xml:space="preserve">79. </w:t>
      </w:r>
      <w:r>
        <w:tab/>
        <w:t xml:space="preserve">Mayfield, M. and Stouffer, D.B. (2017) Higher-order interactions capture unexplained complexity in diverse communities. </w:t>
      </w:r>
      <w:r>
        <w:rPr>
          <w:i/>
          <w:iCs/>
        </w:rPr>
        <w:t>Nature Ecology &amp;Evolution</w:t>
      </w:r>
      <w:r>
        <w:t xml:space="preserve"> 1, 0062</w:t>
      </w:r>
    </w:p>
    <w:p w14:paraId="53B9458E" w14:textId="77777777" w:rsidR="00CB4F36" w:rsidRDefault="00000000">
      <w:pPr>
        <w:pStyle w:val="Bibliography"/>
      </w:pPr>
      <w:bookmarkStart w:id="97" w:name="ref-Buche2025"/>
      <w:bookmarkEnd w:id="96"/>
      <w:r>
        <w:t xml:space="preserve">80.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05AE4589" w14:textId="77777777" w:rsidR="00CB4F36" w:rsidRDefault="00000000">
      <w:pPr>
        <w:pStyle w:val="Bibliography"/>
      </w:pPr>
      <w:bookmarkStart w:id="98" w:name="ref-Bimler2024"/>
      <w:bookmarkEnd w:id="97"/>
      <w:r>
        <w:t xml:space="preserve">81.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09AE504C" w14:textId="77777777" w:rsidR="00CB4F36" w:rsidRDefault="00000000">
      <w:pPr>
        <w:pStyle w:val="Bibliography"/>
      </w:pPr>
      <w:bookmarkStart w:id="99" w:name="ref-Martyn2021"/>
      <w:bookmarkEnd w:id="98"/>
      <w:r>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7F4B1792" w14:textId="77777777" w:rsidR="00CB4F36"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7ED4436E" w14:textId="77777777" w:rsidR="00CB4F36"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02BDBDB" w14:textId="77777777" w:rsidR="00CB4F36" w:rsidRDefault="00000000">
      <w:pPr>
        <w:pStyle w:val="Bibliography"/>
      </w:pPr>
      <w:bookmarkStart w:id="102" w:name="ref-Hoffmann2011"/>
      <w:bookmarkEnd w:id="101"/>
      <w:r>
        <w:t xml:space="preserve">85. </w:t>
      </w:r>
      <w:r>
        <w:tab/>
        <w:t xml:space="preserve">Hoffmann, A.A. and </w:t>
      </w:r>
      <w:proofErr w:type="spellStart"/>
      <w:r>
        <w:t>Sgrò</w:t>
      </w:r>
      <w:proofErr w:type="spellEnd"/>
      <w:r>
        <w:t>, C.M. (2011) Climate change and evolutionary adaptation. 470, 479–485</w:t>
      </w:r>
    </w:p>
    <w:p w14:paraId="1D9E3501" w14:textId="77777777" w:rsidR="00CB4F36"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59643609" w14:textId="77777777" w:rsidR="00CB4F36" w:rsidRDefault="00000000">
      <w:pPr>
        <w:pStyle w:val="Bibliography"/>
      </w:pPr>
      <w:bookmarkStart w:id="104" w:name="ref-Ghalambor2015"/>
      <w:bookmarkEnd w:id="103"/>
      <w:r>
        <w:t xml:space="preserve">87.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7479ECD4" w14:textId="77777777" w:rsidR="00CB4F36"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047F80FF" w14:textId="77777777" w:rsidR="00CB4F36"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2A847368" w14:textId="77777777" w:rsidR="00CB4F36"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364C1C2C" w14:textId="77777777" w:rsidR="00CB4F36" w:rsidRDefault="00000000">
      <w:pPr>
        <w:pStyle w:val="Bibliography"/>
      </w:pPr>
      <w:bookmarkStart w:id="108" w:name="ref-Lande1979"/>
      <w:bookmarkEnd w:id="107"/>
      <w:r>
        <w:t xml:space="preserve">91.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20E19116" w14:textId="77777777" w:rsidR="00CB4F36"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0887CF50" w14:textId="77777777" w:rsidR="00CB4F36"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D28ED21" w14:textId="77777777" w:rsidR="00CB4F36" w:rsidRDefault="00000000">
      <w:pPr>
        <w:pStyle w:val="Bibliography"/>
      </w:pPr>
      <w:bookmarkStart w:id="111" w:name="ref-Kearney2009a"/>
      <w:bookmarkEnd w:id="110"/>
      <w:r>
        <w:lastRenderedPageBreak/>
        <w:t xml:space="preserve">94.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061DE641" w14:textId="77777777" w:rsidR="00CB4F36"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4417083B" w14:textId="77777777" w:rsidR="00CB4F36"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42A39740" w14:textId="77777777" w:rsidR="00CB4F36"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18EE4799" w14:textId="77777777" w:rsidR="00CB4F36"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83D67CA" w14:textId="77777777" w:rsidR="00CB4F36"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6C3747E" w14:textId="77777777" w:rsidR="00CB4F36" w:rsidRDefault="00000000">
      <w:pPr>
        <w:pStyle w:val="Bibliography"/>
      </w:pPr>
      <w:bookmarkStart w:id="117" w:name="ref-Assessment_undated-fv"/>
      <w:bookmarkEnd w:id="116"/>
      <w:r>
        <w:t xml:space="preserve">100. </w:t>
      </w:r>
      <w:r>
        <w:tab/>
        <w:t>Assessment, M.E. (2005) Opportunities and challenges for business and industryunioviedo.es</w:t>
      </w:r>
    </w:p>
    <w:p w14:paraId="0358E3E3" w14:textId="77777777" w:rsidR="00CB4F36" w:rsidRDefault="00000000">
      <w:pPr>
        <w:pStyle w:val="Bibliography"/>
      </w:pPr>
      <w:bookmarkStart w:id="118" w:name="ref-Dandy2019"/>
      <w:bookmarkEnd w:id="117"/>
      <w:r>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042B3457" w14:textId="77777777" w:rsidR="00CB4F36" w:rsidRDefault="00000000">
      <w:pPr>
        <w:pStyle w:val="Bibliography"/>
      </w:pPr>
      <w:bookmarkStart w:id="119" w:name="ref-Leviston2018"/>
      <w:bookmarkEnd w:id="118"/>
      <w:r>
        <w:t xml:space="preserve">102.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08839BEA" w14:textId="77777777" w:rsidR="00CB4F36" w:rsidRDefault="00000000">
      <w:pPr>
        <w:pStyle w:val="Bibliography"/>
      </w:pPr>
      <w:bookmarkStart w:id="120" w:name="ref-Bai2016"/>
      <w:bookmarkEnd w:id="119"/>
      <w:r>
        <w:t xml:space="preserve">103.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3C011D3A" w14:textId="77777777" w:rsidR="00CB4F36" w:rsidRDefault="00000000">
      <w:pPr>
        <w:pStyle w:val="Bibliography"/>
      </w:pPr>
      <w:bookmarkStart w:id="121" w:name="ref-Grimm2008"/>
      <w:bookmarkEnd w:id="120"/>
      <w:r>
        <w:t xml:space="preserve">104. </w:t>
      </w:r>
      <w:r>
        <w:tab/>
        <w:t xml:space="preserve">Grimm, N.B. </w:t>
      </w:r>
      <w:r>
        <w:rPr>
          <w:i/>
          <w:iCs/>
        </w:rPr>
        <w:t>et al.</w:t>
      </w:r>
      <w:r>
        <w:t xml:space="preserve"> (2008) Global change and the ecology of cities. </w:t>
      </w:r>
      <w:r>
        <w:rPr>
          <w:i/>
          <w:iCs/>
        </w:rPr>
        <w:t>Science</w:t>
      </w:r>
      <w:r>
        <w:t xml:space="preserve"> 319, 756–760</w:t>
      </w:r>
    </w:p>
    <w:p w14:paraId="11CAFCE9" w14:textId="77777777" w:rsidR="00CB4F36" w:rsidRDefault="00000000">
      <w:pPr>
        <w:pStyle w:val="Bibliography"/>
      </w:pPr>
      <w:bookmarkStart w:id="122" w:name="ref-Shekhawat2022"/>
      <w:bookmarkEnd w:id="121"/>
      <w:r>
        <w:t xml:space="preserve">105.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33552B05" w14:textId="77777777" w:rsidR="00CB4F36" w:rsidRDefault="00000000">
      <w:pPr>
        <w:pStyle w:val="Bibliography"/>
      </w:pPr>
      <w:bookmarkStart w:id="123" w:name="ref-Black2011"/>
      <w:bookmarkEnd w:id="122"/>
      <w:r>
        <w:t xml:space="preserve">106. </w:t>
      </w:r>
      <w:r>
        <w:tab/>
        <w:t xml:space="preserve">Black, R. </w:t>
      </w:r>
      <w:r>
        <w:rPr>
          <w:i/>
          <w:iCs/>
        </w:rPr>
        <w:t>et al.</w:t>
      </w:r>
      <w:r>
        <w:t xml:space="preserve"> (2011) The effect of environmental change on human migration. </w:t>
      </w:r>
      <w:r>
        <w:rPr>
          <w:i/>
          <w:iCs/>
        </w:rPr>
        <w:t>Glob. Environ. Change</w:t>
      </w:r>
      <w:r>
        <w:t xml:space="preserve"> 21, S3–S11</w:t>
      </w:r>
    </w:p>
    <w:p w14:paraId="65603761" w14:textId="77777777" w:rsidR="00CB4F36" w:rsidRDefault="00000000">
      <w:pPr>
        <w:pStyle w:val="Bibliography"/>
      </w:pPr>
      <w:bookmarkStart w:id="124" w:name="ref-Neil_Adger1999"/>
      <w:bookmarkEnd w:id="123"/>
      <w:r>
        <w:t xml:space="preserve">107.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373978E7" w14:textId="77777777" w:rsidR="00CB4F36" w:rsidRDefault="00000000">
      <w:pPr>
        <w:pStyle w:val="Bibliography"/>
      </w:pPr>
      <w:bookmarkStart w:id="125" w:name="ref-Folke2016"/>
      <w:bookmarkEnd w:id="124"/>
      <w:r>
        <w:t xml:space="preserve">108.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32E008A4" w14:textId="77777777" w:rsidR="00CB4F36" w:rsidRDefault="00000000">
      <w:pPr>
        <w:pStyle w:val="Bibliography"/>
      </w:pPr>
      <w:bookmarkStart w:id="126" w:name="ref-Schluter2012"/>
      <w:bookmarkEnd w:id="125"/>
      <w:r>
        <w:t xml:space="preserve">109. </w:t>
      </w:r>
      <w:r>
        <w:tab/>
        <w:t xml:space="preserve">Schlüter, M. </w:t>
      </w:r>
      <w:r>
        <w:rPr>
          <w:i/>
          <w:iCs/>
        </w:rPr>
        <w:t>et al.</w:t>
      </w:r>
      <w:r>
        <w:t xml:space="preserve"> (2012) New horizons for managing the environment: A review of coupled social‐ecological systems modeling: Social-ecological systems modeling. </w:t>
      </w:r>
      <w:r>
        <w:rPr>
          <w:i/>
          <w:iCs/>
        </w:rPr>
        <w:t xml:space="preserve">Nat. </w:t>
      </w:r>
      <w:proofErr w:type="spellStart"/>
      <w:r>
        <w:rPr>
          <w:i/>
          <w:iCs/>
        </w:rPr>
        <w:t>Resour</w:t>
      </w:r>
      <w:proofErr w:type="spellEnd"/>
      <w:r>
        <w:rPr>
          <w:i/>
          <w:iCs/>
        </w:rPr>
        <w:t>. Model.</w:t>
      </w:r>
      <w:r>
        <w:t xml:space="preserve"> 25, 219–272</w:t>
      </w:r>
    </w:p>
    <w:p w14:paraId="57B8436F" w14:textId="77777777" w:rsidR="00CB4F36" w:rsidRDefault="00000000">
      <w:pPr>
        <w:pStyle w:val="Bibliography"/>
      </w:pPr>
      <w:bookmarkStart w:id="127" w:name="ref-Biggs2021"/>
      <w:bookmarkEnd w:id="126"/>
      <w:r>
        <w:t xml:space="preserve">110.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52FFDA95" w14:textId="77777777" w:rsidR="00CB4F36" w:rsidRDefault="00000000">
      <w:pPr>
        <w:pStyle w:val="Bibliography"/>
      </w:pPr>
      <w:bookmarkStart w:id="128" w:name="ref-Brown2021"/>
      <w:bookmarkEnd w:id="127"/>
      <w:r>
        <w:t xml:space="preserve">111. </w:t>
      </w:r>
      <w:r>
        <w:tab/>
        <w:t xml:space="preserve">Brown, C. and Rounsevell, M. (2021) How can social–ecological system models simulate the emergence of social–ecological crises? </w:t>
      </w:r>
      <w:r>
        <w:rPr>
          <w:i/>
          <w:iCs/>
        </w:rPr>
        <w:t>People Nat. (Hoboken)</w:t>
      </w:r>
      <w:r>
        <w:t xml:space="preserve"> 3, 88–103</w:t>
      </w:r>
    </w:p>
    <w:p w14:paraId="3C715720" w14:textId="77777777" w:rsidR="00CB4F36" w:rsidRDefault="00000000">
      <w:pPr>
        <w:pStyle w:val="Bibliography"/>
      </w:pPr>
      <w:bookmarkStart w:id="129" w:name="ref-Wise2014"/>
      <w:bookmarkEnd w:id="128"/>
      <w:r>
        <w:t xml:space="preserve">112. </w:t>
      </w:r>
      <w:r>
        <w:tab/>
        <w:t xml:space="preserve">Wise, R.M. </w:t>
      </w:r>
      <w:r>
        <w:rPr>
          <w:i/>
          <w:iCs/>
        </w:rPr>
        <w:t>et al.</w:t>
      </w:r>
      <w:r>
        <w:t xml:space="preserve"> (2014) </w:t>
      </w:r>
      <w:proofErr w:type="spellStart"/>
      <w:r>
        <w:t>Reconceptualising</w:t>
      </w:r>
      <w:proofErr w:type="spellEnd"/>
      <w:r>
        <w:t xml:space="preserve"> adaptation to climate change as part of pathways of change and response. </w:t>
      </w:r>
      <w:r>
        <w:rPr>
          <w:i/>
          <w:iCs/>
        </w:rPr>
        <w:t>Glob. Environ. Change</w:t>
      </w:r>
      <w:r>
        <w:t xml:space="preserve"> 28, 325–336</w:t>
      </w:r>
    </w:p>
    <w:bookmarkEnd w:id="16"/>
    <w:bookmarkEnd w:id="18"/>
    <w:bookmarkEnd w:id="129"/>
    <w:p w14:paraId="63284E06" w14:textId="77777777" w:rsidR="00CB4F36" w:rsidRDefault="00CB4F36">
      <w:pPr>
        <w:pStyle w:val="BodyText"/>
      </w:pPr>
    </w:p>
    <w:sectPr w:rsidR="00CB4F36"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9280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466580736">
    <w:abstractNumId w:val="10"/>
  </w:num>
  <w:num w:numId="86" w16cid:durableId="17304162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18235A"/>
    <w:rsid w:val="003139EF"/>
    <w:rsid w:val="00393E41"/>
    <w:rsid w:val="0049079A"/>
    <w:rsid w:val="00495A0F"/>
    <w:rsid w:val="00553B80"/>
    <w:rsid w:val="005A5007"/>
    <w:rsid w:val="00676013"/>
    <w:rsid w:val="006A2A8B"/>
    <w:rsid w:val="00711671"/>
    <w:rsid w:val="00760DDB"/>
    <w:rsid w:val="007A378E"/>
    <w:rsid w:val="008F43C3"/>
    <w:rsid w:val="00951576"/>
    <w:rsid w:val="00987C01"/>
    <w:rsid w:val="00A22BFF"/>
    <w:rsid w:val="00A5574C"/>
    <w:rsid w:val="00A977A1"/>
    <w:rsid w:val="00B34D88"/>
    <w:rsid w:val="00BF0CFA"/>
    <w:rsid w:val="00CB4F36"/>
    <w:rsid w:val="00DF260B"/>
    <w:rsid w:val="00DF2E2D"/>
    <w:rsid w:val="00E2790B"/>
    <w:rsid w:val="00EA038E"/>
    <w:rsid w:val="00F20D11"/>
    <w:rsid w:val="00F40BE7"/>
    <w:rsid w:val="00FA6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DDC9C"/>
  <w15:docId w15:val="{722FA90B-52BF-BF4C-BD80-ABE64EFD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463518">
      <w:bodyDiv w:val="1"/>
      <w:marLeft w:val="0"/>
      <w:marRight w:val="0"/>
      <w:marTop w:val="0"/>
      <w:marBottom w:val="0"/>
      <w:divBdr>
        <w:top w:val="none" w:sz="0" w:space="0" w:color="auto"/>
        <w:left w:val="none" w:sz="0" w:space="0" w:color="auto"/>
        <w:bottom w:val="none" w:sz="0" w:space="0" w:color="auto"/>
        <w:right w:val="none" w:sz="0" w:space="0" w:color="auto"/>
      </w:divBdr>
      <w:divsChild>
        <w:div w:id="895512924">
          <w:marLeft w:val="0"/>
          <w:marRight w:val="0"/>
          <w:marTop w:val="0"/>
          <w:marBottom w:val="0"/>
          <w:divBdr>
            <w:top w:val="none" w:sz="0" w:space="0" w:color="auto"/>
            <w:left w:val="none" w:sz="0" w:space="0" w:color="auto"/>
            <w:bottom w:val="none" w:sz="0" w:space="0" w:color="auto"/>
            <w:right w:val="none" w:sz="0" w:space="0" w:color="auto"/>
          </w:divBdr>
          <w:divsChild>
            <w:div w:id="202185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501736">
      <w:bodyDiv w:val="1"/>
      <w:marLeft w:val="0"/>
      <w:marRight w:val="0"/>
      <w:marTop w:val="0"/>
      <w:marBottom w:val="0"/>
      <w:divBdr>
        <w:top w:val="none" w:sz="0" w:space="0" w:color="auto"/>
        <w:left w:val="none" w:sz="0" w:space="0" w:color="auto"/>
        <w:bottom w:val="none" w:sz="0" w:space="0" w:color="auto"/>
        <w:right w:val="none" w:sz="0" w:space="0" w:color="auto"/>
      </w:divBdr>
      <w:divsChild>
        <w:div w:id="1075859974">
          <w:marLeft w:val="0"/>
          <w:marRight w:val="0"/>
          <w:marTop w:val="0"/>
          <w:marBottom w:val="0"/>
          <w:divBdr>
            <w:top w:val="none" w:sz="0" w:space="0" w:color="auto"/>
            <w:left w:val="none" w:sz="0" w:space="0" w:color="auto"/>
            <w:bottom w:val="none" w:sz="0" w:space="0" w:color="auto"/>
            <w:right w:val="none" w:sz="0" w:space="0" w:color="auto"/>
          </w:divBdr>
          <w:divsChild>
            <w:div w:id="195231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5914">
      <w:bodyDiv w:val="1"/>
      <w:marLeft w:val="0"/>
      <w:marRight w:val="0"/>
      <w:marTop w:val="0"/>
      <w:marBottom w:val="0"/>
      <w:divBdr>
        <w:top w:val="none" w:sz="0" w:space="0" w:color="auto"/>
        <w:left w:val="none" w:sz="0" w:space="0" w:color="auto"/>
        <w:bottom w:val="none" w:sz="0" w:space="0" w:color="auto"/>
        <w:right w:val="none" w:sz="0" w:space="0" w:color="auto"/>
      </w:divBdr>
      <w:divsChild>
        <w:div w:id="1475488286">
          <w:marLeft w:val="0"/>
          <w:marRight w:val="0"/>
          <w:marTop w:val="0"/>
          <w:marBottom w:val="0"/>
          <w:divBdr>
            <w:top w:val="none" w:sz="0" w:space="0" w:color="auto"/>
            <w:left w:val="none" w:sz="0" w:space="0" w:color="auto"/>
            <w:bottom w:val="none" w:sz="0" w:space="0" w:color="auto"/>
            <w:right w:val="none" w:sz="0" w:space="0" w:color="auto"/>
          </w:divBdr>
          <w:divsChild>
            <w:div w:id="213505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24626">
      <w:bodyDiv w:val="1"/>
      <w:marLeft w:val="0"/>
      <w:marRight w:val="0"/>
      <w:marTop w:val="0"/>
      <w:marBottom w:val="0"/>
      <w:divBdr>
        <w:top w:val="none" w:sz="0" w:space="0" w:color="auto"/>
        <w:left w:val="none" w:sz="0" w:space="0" w:color="auto"/>
        <w:bottom w:val="none" w:sz="0" w:space="0" w:color="auto"/>
        <w:right w:val="none" w:sz="0" w:space="0" w:color="auto"/>
      </w:divBdr>
      <w:divsChild>
        <w:div w:id="1535847990">
          <w:marLeft w:val="0"/>
          <w:marRight w:val="0"/>
          <w:marTop w:val="0"/>
          <w:marBottom w:val="0"/>
          <w:divBdr>
            <w:top w:val="none" w:sz="0" w:space="0" w:color="auto"/>
            <w:left w:val="none" w:sz="0" w:space="0" w:color="auto"/>
            <w:bottom w:val="none" w:sz="0" w:space="0" w:color="auto"/>
            <w:right w:val="none" w:sz="0" w:space="0" w:color="auto"/>
          </w:divBdr>
          <w:divsChild>
            <w:div w:id="198299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hyperlink" Target="https://daniel1noble.github.io/thermal_tol_interactions/" TargetMode="External"/><Relationship Id="rId5" Type="http://schemas.openxmlformats.org/officeDocument/2006/relationships/image" Target="media/image1.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20</Pages>
  <Words>8974</Words>
  <Characters>51157</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14</cp:revision>
  <dcterms:created xsi:type="dcterms:W3CDTF">2025-06-09T04:42:00Z</dcterms:created>
  <dcterms:modified xsi:type="dcterms:W3CDTF">2025-06-22T11:44:00Z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