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957C8B" w14:textId="77777777" w:rsidR="00542893" w:rsidRDefault="00000000">
      <w:pPr>
        <w:pStyle w:val="Title"/>
      </w:pPr>
      <w:r>
        <w:t>A systems-modelling approach to predict biological responses to extreme heat</w:t>
      </w:r>
    </w:p>
    <w:p w14:paraId="41D7C846" w14:textId="77777777" w:rsidR="00542893" w:rsidRDefault="00000000">
      <w:pPr>
        <w:pStyle w:val="FirstParagraph"/>
      </w:pPr>
      <w:r>
        <w:t>Daniel W.A. Noble</w:t>
      </w:r>
      <w:r>
        <w:rPr>
          <w:vertAlign w:val="superscript"/>
        </w:rPr>
        <w:t>1</w:t>
      </w:r>
      <w:r>
        <w:t xml:space="preserve"> </w:t>
      </w:r>
      <m:oMath>
        <m:r>
          <m:rPr>
            <m:sty m:val="p"/>
          </m:rPr>
          <w:rPr>
            <w:rFonts w:ascii="Cambria Math" w:hAnsi="Cambria Math"/>
          </w:rPr>
          <m:t>‡</m:t>
        </m:r>
      </m:oMath>
      <w:r>
        <w:t>, Margaret Mayfield</w:t>
      </w:r>
      <w:r>
        <w:rPr>
          <w:vertAlign w:val="superscript"/>
        </w:rPr>
        <w:t>2</w:t>
      </w:r>
      <w:r>
        <w:t xml:space="preserve"> </w:t>
      </w:r>
      <m:oMath>
        <m:r>
          <m:rPr>
            <m:sty m:val="p"/>
          </m:rPr>
          <w:rPr>
            <w:rFonts w:ascii="Cambria Math" w:hAnsi="Cambria Math"/>
          </w:rPr>
          <m:t>†</m:t>
        </m:r>
      </m:oMath>
      <w:r>
        <w:t>, Ary Hoffmann</w:t>
      </w:r>
      <w:r>
        <w:rPr>
          <w:vertAlign w:val="superscript"/>
        </w:rPr>
        <w:t>2</w:t>
      </w:r>
      <w:r>
        <w:t xml:space="preserve"> </w:t>
      </w:r>
      <m:oMath>
        <m:r>
          <m:rPr>
            <m:sty m:val="p"/>
          </m:rPr>
          <w:rPr>
            <w:rFonts w:ascii="Cambria Math" w:hAnsi="Cambria Math"/>
          </w:rPr>
          <m:t>†</m:t>
        </m:r>
      </m:oMath>
      <w:r>
        <w:t>, Zhong-Hua Chen</w:t>
      </w:r>
      <w:r>
        <w:rPr>
          <w:vertAlign w:val="superscript"/>
        </w:rPr>
        <w:t>3,4</w:t>
      </w:r>
      <w:r>
        <w:t xml:space="preserve"> </w:t>
      </w:r>
      <m:oMath>
        <m:r>
          <m:rPr>
            <m:sty m:val="p"/>
          </m:rPr>
          <w:rPr>
            <w:rFonts w:ascii="Cambria Math" w:hAnsi="Cambria Math"/>
          </w:rPr>
          <m:t>†</m:t>
        </m:r>
      </m:oMath>
      <w:r>
        <w:t>, Steven J. Lade</w:t>
      </w:r>
      <w:r>
        <w:rPr>
          <w:vertAlign w:val="superscript"/>
        </w:rPr>
        <w:t>5,6</w:t>
      </w:r>
      <w:r>
        <w:t xml:space="preserve"> </w:t>
      </w:r>
      <m:oMath>
        <m:r>
          <m:rPr>
            <m:sty m:val="p"/>
          </m:rPr>
          <w:rPr>
            <w:rFonts w:ascii="Cambria Math" w:hAnsi="Cambria Math"/>
          </w:rPr>
          <m:t>†</m:t>
        </m:r>
      </m:oMath>
      <w:r>
        <w:t>, Xuemei Bai</w:t>
      </w:r>
      <w:r>
        <w:rPr>
          <w:vertAlign w:val="superscript"/>
        </w:rPr>
        <w:t>5</w:t>
      </w:r>
      <w:r>
        <w:t xml:space="preserve"> </w:t>
      </w:r>
      <m:oMath>
        <m:r>
          <m:rPr>
            <m:sty m:val="p"/>
          </m:rPr>
          <w:rPr>
            <w:rFonts w:ascii="Cambria Math" w:hAnsi="Cambria Math"/>
          </w:rPr>
          <m:t>†</m:t>
        </m:r>
      </m:oMath>
      <w:r>
        <w:t>, Danielle Way</w:t>
      </w:r>
      <w:r>
        <w:rPr>
          <w:vertAlign w:val="superscript"/>
        </w:rPr>
        <w:t>7</w:t>
      </w:r>
      <w:r>
        <w:t xml:space="preserve"> </w:t>
      </w:r>
      <m:oMath>
        <m:r>
          <m:rPr>
            <m:sty m:val="p"/>
          </m:rPr>
          <w:rPr>
            <w:rFonts w:ascii="Cambria Math" w:hAnsi="Cambria Math"/>
          </w:rPr>
          <m:t>†</m:t>
        </m:r>
      </m:oMath>
      <w:r>
        <w:t>, Belinda Medlyn</w:t>
      </w:r>
      <w:r>
        <w:rPr>
          <w:vertAlign w:val="superscript"/>
        </w:rPr>
        <w:t>3</w:t>
      </w:r>
      <w:r>
        <w:t xml:space="preserve"> </w:t>
      </w:r>
      <m:oMath>
        <m:r>
          <m:rPr>
            <m:sty m:val="p"/>
          </m:rPr>
          <w:rPr>
            <w:rFonts w:ascii="Cambria Math" w:hAnsi="Cambria Math"/>
          </w:rPr>
          <m:t>†</m:t>
        </m:r>
      </m:oMath>
      <w:r>
        <w:t>, Owen K. Atkin</w:t>
      </w:r>
      <w:r>
        <w:rPr>
          <w:vertAlign w:val="superscript"/>
        </w:rPr>
        <w:t>7,8</w:t>
      </w:r>
      <w:r>
        <w:t xml:space="preserve"> </w:t>
      </w:r>
      <m:oMath>
        <m:r>
          <m:rPr>
            <m:sty m:val="p"/>
          </m:rPr>
          <w:rPr>
            <w:rFonts w:ascii="Cambria Math" w:hAnsi="Cambria Math"/>
          </w:rPr>
          <m:t>†</m:t>
        </m:r>
      </m:oMath>
      <w:r>
        <w:t>, Adrienne Nicotra</w:t>
      </w:r>
      <w:r>
        <w:rPr>
          <w:vertAlign w:val="superscript"/>
        </w:rPr>
        <w:t>1,7</w:t>
      </w:r>
      <w:r>
        <w:t xml:space="preserve"> </w:t>
      </w:r>
      <m:oMath>
        <m:r>
          <m:rPr>
            <m:sty m:val="p"/>
          </m:rPr>
          <w:rPr>
            <w:rFonts w:ascii="Cambria Math" w:hAnsi="Cambria Math"/>
          </w:rPr>
          <m:t>†</m:t>
        </m:r>
      </m:oMath>
      <w:r>
        <w:t>, James M. Cook</w:t>
      </w:r>
      <w:r>
        <w:rPr>
          <w:vertAlign w:val="superscript"/>
        </w:rPr>
        <w:t>3</w:t>
      </w:r>
      <w:r>
        <w:t>, Brajesh Singh</w:t>
      </w:r>
      <w:r>
        <w:rPr>
          <w:vertAlign w:val="superscript"/>
        </w:rPr>
        <w:t>3</w:t>
      </w:r>
      <w:r>
        <w:t>, Alison Bentley</w:t>
      </w:r>
      <w:r>
        <w:rPr>
          <w:vertAlign w:val="superscript"/>
        </w:rPr>
        <w:t>7</w:t>
      </w:r>
      <w:r>
        <w:t>, Ian Wright</w:t>
      </w:r>
      <w:r>
        <w:rPr>
          <w:vertAlign w:val="superscript"/>
        </w:rPr>
        <w:t>3</w:t>
      </w:r>
      <w:r>
        <w:t>, Michael R. Kearney</w:t>
      </w:r>
      <w:r>
        <w:rPr>
          <w:vertAlign w:val="superscript"/>
        </w:rPr>
        <w:t>2</w:t>
      </w:r>
      <w:r>
        <w:t xml:space="preserve"> </w:t>
      </w:r>
      <m:oMath>
        <m:r>
          <m:rPr>
            <m:sty m:val="p"/>
          </m:rPr>
          <w:rPr>
            <w:rFonts w:ascii="Cambria Math" w:hAnsi="Cambria Math"/>
          </w:rPr>
          <m:t>‡</m:t>
        </m:r>
      </m:oMath>
    </w:p>
    <w:p w14:paraId="0E2AEEDD" w14:textId="77777777" w:rsidR="00542893" w:rsidRDefault="00000000">
      <w:pPr>
        <w:pStyle w:val="BodyText"/>
      </w:pPr>
      <w:r>
        <w:rPr>
          <w:b/>
          <w:bCs/>
        </w:rPr>
        <w:t>Affiliations</w:t>
      </w:r>
      <w:r>
        <w:t>:</w:t>
      </w:r>
    </w:p>
    <w:p w14:paraId="201A4810" w14:textId="77777777" w:rsidR="00542893" w:rsidRDefault="00000000">
      <w:pPr>
        <w:pStyle w:val="BodyText"/>
      </w:pPr>
      <w:r>
        <w:rPr>
          <w:vertAlign w:val="superscript"/>
        </w:rPr>
        <w:t>1</w:t>
      </w:r>
      <w:r>
        <w:t xml:space="preserve"> Division of Ecology and Evolution, Research School of Biology, The Australian National University, Canberra ACT 2601, Australia </w:t>
      </w:r>
      <w:r>
        <w:br/>
      </w:r>
      <w:r>
        <w:rPr>
          <w:vertAlign w:val="superscript"/>
        </w:rPr>
        <w:t>2</w:t>
      </w:r>
      <w:r>
        <w:t xml:space="preserve"> School of Biosciences, The University of Melbourne, Australia  </w:t>
      </w:r>
      <w:r>
        <w:rPr>
          <w:vertAlign w:val="superscript"/>
        </w:rPr>
        <w:t>3</w:t>
      </w:r>
      <w:r>
        <w:t xml:space="preserve"> Hawkesbury Institute for the Environment, Western Sydney University, Australia  </w:t>
      </w:r>
      <w:r>
        <w:rPr>
          <w:vertAlign w:val="superscript"/>
        </w:rPr>
        <w:t>4</w:t>
      </w:r>
      <w:r>
        <w:t xml:space="preserve"> School of Agriculture, Food and Wine, Waite Research Institute, University of Adelaide, Glen Osmond, SA 5064, Australia  </w:t>
      </w:r>
      <w:r>
        <w:rPr>
          <w:vertAlign w:val="superscript"/>
        </w:rPr>
        <w:t>5</w:t>
      </w:r>
      <w:r>
        <w:t xml:space="preserve"> Fenner School of Environment and Society, The Australian National University, Canberra ACT 2602, Australia  </w:t>
      </w:r>
      <w:r>
        <w:rPr>
          <w:vertAlign w:val="superscript"/>
        </w:rPr>
        <w:t>6</w:t>
      </w:r>
      <w:r>
        <w:t xml:space="preserve"> Stockholm Resilience Centre, Stockholm University, Stockholm, Sweden</w:t>
      </w:r>
      <w:r>
        <w:br/>
      </w:r>
      <w:r>
        <w:rPr>
          <w:vertAlign w:val="superscript"/>
        </w:rPr>
        <w:t>7</w:t>
      </w:r>
      <w:r>
        <w:t xml:space="preserve"> Division of Plant Sciences, Research School of Biology, The Australian National University, Canberra ACT 2602, Australia</w:t>
      </w:r>
      <w:r>
        <w:br/>
      </w:r>
      <w:r>
        <w:rPr>
          <w:vertAlign w:val="superscript"/>
        </w:rPr>
        <w:t>8</w:t>
      </w:r>
      <w:r>
        <w:t xml:space="preserve"> Agrifood Innovation Institute, Australian National University, Canberra, ACT 2601, Australia</w:t>
      </w:r>
      <w:r>
        <w:br/>
      </w:r>
    </w:p>
    <w:p w14:paraId="2B4B54FF" w14:textId="77777777" w:rsidR="00542893" w:rsidRDefault="00000000">
      <w:pPr>
        <w:pStyle w:val="BodyText"/>
      </w:pPr>
      <w:r>
        <w:rPr>
          <w:vertAlign w:val="superscript"/>
        </w:rPr>
        <w:t>1</w:t>
      </w:r>
      <w:r>
        <w:t xml:space="preserve"> </w:t>
      </w:r>
      <m:oMath>
        <m:r>
          <m:rPr>
            <m:sty m:val="p"/>
          </m:rPr>
          <w:rPr>
            <w:rFonts w:ascii="Cambria Math" w:hAnsi="Cambria Math"/>
          </w:rPr>
          <m:t>‡</m:t>
        </m:r>
      </m:oMath>
      <w:r>
        <w:t xml:space="preserve"> Correspondence: daniel.noble@anu.edu.au &amp; m.kearney@unimelb.edu.au</w:t>
      </w:r>
      <w:r>
        <w:br/>
      </w:r>
      <m:oMath>
        <m:r>
          <m:rPr>
            <m:sty m:val="p"/>
          </m:rPr>
          <w:rPr>
            <w:rFonts w:ascii="Cambria Math" w:hAnsi="Cambria Math"/>
          </w:rPr>
          <m:t>†</m:t>
        </m:r>
      </m:oMath>
      <w:r>
        <w:t xml:space="preserve"> These authors contributed equally to this work.</w:t>
      </w:r>
    </w:p>
    <w:p w14:paraId="0408838C" w14:textId="77777777" w:rsidR="00542893" w:rsidRDefault="00000000">
      <w:pPr>
        <w:pStyle w:val="Heading4"/>
      </w:pPr>
      <w:bookmarkStart w:id="0" w:name="X9b6cb994ec0d2f2a9da21a2fc21e27ced4ee15e"/>
      <w:r>
        <w:t>Keywords: plant-animal interactions, microclimate, biophysical models, thermal load sensitivity, dynamic energy budget models, coexistence theory, ecological modelling</w:t>
      </w:r>
    </w:p>
    <w:p w14:paraId="55AB3B38" w14:textId="77777777" w:rsidR="00542893" w:rsidRDefault="00000000">
      <w:pPr>
        <w:pStyle w:val="Heading1"/>
      </w:pPr>
      <w:bookmarkStart w:id="1" w:name="abstract"/>
      <w:bookmarkEnd w:id="0"/>
      <w:r>
        <w:t>Abstract</w:t>
      </w:r>
    </w:p>
    <w:p w14:paraId="250BB760" w14:textId="3DCC6A4E" w:rsidR="00542893" w:rsidRDefault="00000000">
      <w:pPr>
        <w:pStyle w:val="FirstParagraph"/>
      </w:pPr>
      <w:r>
        <w:t>Anthropogenic climate change is leading to more frequent and extreme heat waves. These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level of individuals. We review and demonstrate how existing models in disparate fields can be linked to achieve a level of understanding necessary for calculated responses to extreme heat from individuals to communities, now and into the future</w:t>
      </w:r>
      <w:r w:rsidR="000F6847">
        <w:t>.</w:t>
      </w:r>
    </w:p>
    <w:p w14:paraId="4D86A428" w14:textId="77777777" w:rsidR="00542893" w:rsidRDefault="00000000">
      <w:pPr>
        <w:pStyle w:val="Heading1"/>
      </w:pPr>
      <w:bookmarkStart w:id="2" w:name="X2b97b971c201f11017c10c1d6e4dbfd69043166"/>
      <w:bookmarkEnd w:id="1"/>
      <w:r>
        <w:t>A systems-modelling approach to modelling biotic impacts of heatwaves</w:t>
      </w:r>
    </w:p>
    <w:p w14:paraId="41547AE8" w14:textId="77777777" w:rsidR="00542893" w:rsidRDefault="00000000">
      <w:pPr>
        <w:pStyle w:val="FirstParagraph"/>
      </w:pPr>
      <w:r>
        <w:t xml:space="preserve">Climate change is leading to warmer and more variable thermal environments globally [1,2]. Greater thermal variability is resulting in organisms experiencing extreme heat waves that lead to thermal stress impacting organismal growth, survival and reproduction, with cascading effects on population dynamics, species interactions, community composition and ecosystem structure and function [3,4]. Climate variability has already been linked to dramatic declines in pollinator abundance [5] and crop yields globally [6–8], but the causes underlying such declines, and their ramifications through communities and society, are not fully understood. The impacts of extreme heat on species and communities are driven by a combination of direct effects of heat stress on the physiology and fitness of organisms within a given species [9–11] and indirect </w:t>
      </w:r>
      <w:r>
        <w:lastRenderedPageBreak/>
        <w:t>effects on interactions (both positive and negative) among species [e.g., 12]. Understanding the dynamic interplay between direct and indirect effects of extreme heat, and how these are mediated by environmental factors (e.g., water and food availability, microbes), has been hampered by inadequate coupling of models that predict the cumulative damage to physiological function from extreme heat, which impacts fitness of populations, with community dynamic models across species [13]. Predicting how extreme heat impacts population dynamics and communities requires a stronger coupling of biophysical, physiological, population and community ecology models but too often these models remain disjunct from each other. In addition, most studies focus on a single species making it impossible to begin modelling the dynamic feedbacks and interactions between species. A systems-thinking perspective is now needed to better capture the multifaceted nature with which extreme heat manifests within in a community (e.g., capturing non-linearities and interactions) – an approach we argue will better capture the dynamic feed backs within and between species to improve predictions.</w:t>
      </w:r>
    </w:p>
    <w:p w14:paraId="60FBF118" w14:textId="77777777" w:rsidR="00542893" w:rsidRDefault="00000000">
      <w:pPr>
        <w:pStyle w:val="BodyText"/>
      </w:pPr>
      <w:r>
        <w:t>Using plants and insects as examples, we review broad classes of models across fields and discuss how they can be linked to model the biotic impacts of heatwaves from individuals to communities (</w:t>
      </w:r>
      <w:hyperlink w:anchor="fig-sys">
        <w:r w:rsidR="00542893">
          <w:rPr>
            <w:rStyle w:val="Hyperlink"/>
          </w:rPr>
          <w:t>Figure 1</w:t>
        </w:r>
      </w:hyperlink>
      <w:r>
        <w:t>). We focus on plant and insect communities given the strong interconnections between them, the ease with which they can be studied, and their importance to socioecological systems. Physiological models can now be seamlessly integrated with biophysical models to characterize temperatures experienced by organisms and simulate the effects of extreme heat events on the entire life cycle of species within ecological communities [14–17] (</w:t>
      </w:r>
      <w:hyperlink w:anchor="fig-sys">
        <w:r w:rsidR="00542893">
          <w:rPr>
            <w:rStyle w:val="Hyperlink"/>
          </w:rPr>
          <w:t>Figure 1</w:t>
        </w:r>
      </w:hyperlink>
      <w:r>
        <w:t>). Physiological models that incorporate estimates of thermal sensitivity across species can capture the delicate balance between damage and repair of physiological systems [10,11,18,19], yielding predictions of the immediate and cumulative impacts of extreme heat on growth, survival and reproduction. Importantly, mechanistic physiological models provide outputs at the individual level (e.g., energy and water requirements, waste production, activity constraints, vital rates) that can be integrated into population and community ecology models to capture how extreme heat events perturb interactions among species [20,21]. We demonstrate how such a coupling can be made within and across species and highlight the opportunities it presents to develop a greater understanding of the ways in which extreme heat stress manifests across species. We end by discussing the challenges of coupling models across diverse species in communities along with capturing the eco-evolutionary feedbacks that will be necessary for accurate predictions in the future.</w:t>
      </w:r>
    </w:p>
    <w:tbl>
      <w:tblPr>
        <w:tblStyle w:val="Table"/>
        <w:tblW w:w="5000" w:type="pct"/>
        <w:tblLayout w:type="fixed"/>
        <w:tblLook w:val="0000" w:firstRow="0" w:lastRow="0" w:firstColumn="0" w:lastColumn="0" w:noHBand="0" w:noVBand="0"/>
      </w:tblPr>
      <w:tblGrid>
        <w:gridCol w:w="10538"/>
      </w:tblGrid>
      <w:tr w:rsidR="00542893" w14:paraId="171E36D8" w14:textId="77777777">
        <w:tc>
          <w:tcPr>
            <w:tcW w:w="7920" w:type="dxa"/>
          </w:tcPr>
          <w:p w14:paraId="3C5D0541" w14:textId="77777777" w:rsidR="00542893" w:rsidRDefault="00000000">
            <w:pPr>
              <w:pStyle w:val="Compact"/>
              <w:jc w:val="center"/>
            </w:pPr>
            <w:bookmarkStart w:id="3" w:name="fig-sys"/>
            <w:r>
              <w:rPr>
                <w:noProof/>
              </w:rPr>
              <w:lastRenderedPageBreak/>
              <w:drawing>
                <wp:inline distT="0" distB="0" distL="0" distR="0" wp14:anchorId="3D4C3019" wp14:editId="2EDDF9A3">
                  <wp:extent cx="6096000" cy="4876800"/>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ms_files/figure-docx/fig-sys-1.png"/>
                          <pic:cNvPicPr>
                            <a:picLocks noChangeAspect="1" noChangeArrowheads="1"/>
                          </pic:cNvPicPr>
                        </pic:nvPicPr>
                        <pic:blipFill>
                          <a:blip r:embed="rId5"/>
                          <a:stretch>
                            <a:fillRect/>
                          </a:stretch>
                        </pic:blipFill>
                        <pic:spPr bwMode="auto">
                          <a:xfrm>
                            <a:off x="0" y="0"/>
                            <a:ext cx="6096000" cy="4876800"/>
                          </a:xfrm>
                          <a:prstGeom prst="rect">
                            <a:avLst/>
                          </a:prstGeom>
                          <a:noFill/>
                          <a:ln w="9525">
                            <a:noFill/>
                            <a:headEnd/>
                            <a:tailEnd/>
                          </a:ln>
                        </pic:spPr>
                      </pic:pic>
                    </a:graphicData>
                  </a:graphic>
                </wp:inline>
              </w:drawing>
            </w:r>
          </w:p>
          <w:p w14:paraId="579F58CB" w14:textId="79F6A21D" w:rsidR="00542893" w:rsidRDefault="00000000">
            <w:pPr>
              <w:pStyle w:val="ImageCaption"/>
              <w:spacing w:before="200"/>
            </w:pPr>
            <w:r>
              <w:t xml:space="preserve">Figure 1- </w:t>
            </w:r>
            <w:r>
              <w:rPr>
                <w:b/>
                <w:bCs/>
              </w:rPr>
              <w:t xml:space="preserve">A coupled </w:t>
            </w:r>
            <w:r w:rsidR="00D24293">
              <w:rPr>
                <w:b/>
                <w:bCs/>
              </w:rPr>
              <w:t xml:space="preserve">systems </w:t>
            </w:r>
            <w:r>
              <w:rPr>
                <w:b/>
                <w:bCs/>
              </w:rPr>
              <w:t>modelling framework for predicting the effects of extreme heat on ecological communities</w:t>
            </w:r>
            <w:r>
              <w:t>. The modelling approach we develop here integrates (1) climate/biophysical models to predict the different microclimates species experience. (2) Microclimates experienced by organisms then provide inputs for physiological models that integrate temperature exposure with explicit physiological processes that simulate development, behaviour, survival and reproduction in response to microclimate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(either to the environment or suite of interacting organisms). Environment-mediated feedback loops (4) influence organism thermal exposure and sensitivity (e.g., water availability, microbiota), which can vary across different life stages and organs. Coupling existing models will allow for quantitative predictions to be made on how extreme heatwaves perturb biological systems and allow for the development and implementation of strategies to enhance biological system resilience to extreme heat. Created with BioRender.com.</w:t>
            </w:r>
          </w:p>
        </w:tc>
        <w:bookmarkEnd w:id="3"/>
      </w:tr>
    </w:tbl>
    <w:p w14:paraId="7D2AC0CD" w14:textId="77777777" w:rsidR="00542893" w:rsidRDefault="00000000">
      <w:pPr>
        <w:pStyle w:val="Heading1"/>
      </w:pPr>
      <w:bookmarkStart w:id="4" w:name="X4da05dea4acdb2054c1e59c2f12913febac8a0c"/>
      <w:bookmarkEnd w:id="2"/>
      <w:r>
        <w:lastRenderedPageBreak/>
        <w:t>From weather to microclimates: predicting community wide exposure to extreme heat</w:t>
      </w:r>
    </w:p>
    <w:p w14:paraId="6C336B7C" w14:textId="77777777" w:rsidR="00542893" w:rsidRDefault="00000000">
      <w:pPr>
        <w:pStyle w:val="FirstParagraph"/>
      </w:pPr>
      <w:r>
        <w:t xml:space="preserve">Extreme weather events are predicted by Global Circulation Models (GCMs), typically at large spatial scales (e.g. 0.5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xml:space="preserve"> grid cells). Yet, species across communities experience these heatwaves differently because of the varied microhabitats they occupy. For example, while air temperature may be 50°C, an organism a metre below the soil surface may be exposed to temperatures ~20°C cooler (</w:t>
      </w:r>
      <w:hyperlink w:anchor="fig-sys">
        <w:r w:rsidR="00542893">
          <w:rPr>
            <w:rStyle w:val="Hyperlink"/>
          </w:rPr>
          <w:t>Figure 1</w:t>
        </w:r>
      </w:hyperlink>
      <w:r>
        <w:t>). Therefore, to understand how extreme heat impacts on a community of organisms, we must characterize the ‘</w:t>
      </w:r>
      <w:r>
        <w:rPr>
          <w:b/>
          <w:bCs/>
        </w:rPr>
        <w:t>microclimates</w:t>
      </w:r>
      <w:r>
        <w:t>’ experienced by individuals of different species under a given atmospheric event. Predicting microhabitats often involves taking the atmospheric conditions as independent forcing variables and combining them with detailed information on terrain (slope, aspect, hill shade), vegetation [plant-area index (PAI), stomatal behaviour, leaf reflectance] and soil properties (thermal and hydraulic) to predict how radiation, wind speed, air temperature, humidity, soil temperature and soil moisture vary on small spatial scales [22–28]. Microclimate models, which typically make predictions at fine spatial and temporal resolutions, offer huge potential in capturing the impacts of past weather conditions which can also determine how a given heat wave manifests. The same atmospheric heat wave can have different implications for microclimatic conditions depending on the recent history of rainfall and temperature. Importantly, downscaling to microclimate conditions does require additional variables for a given location than typically used in climate models (e.g., % shade, soil characteristics, surface albedo), however, many of the additional variables are readily available. In addition, depending on the organism and question of interest, not all input variables are needed to parameterize a given microclimate. Indeed, guides for helping choose what microclimate variables to include and the spatial and temporal resolution needed exist to help decision making [e.g., 29,30].</w:t>
      </w:r>
    </w:p>
    <w:p w14:paraId="0BAF6D5C" w14:textId="77777777" w:rsidR="00542893" w:rsidRDefault="00000000">
      <w:pPr>
        <w:pStyle w:val="BodyText"/>
      </w:pPr>
      <w:r>
        <w:t>Beyond parameterization, the benefit of a systems-thinking approach in the context of microclimate modelling is its ability to capture vegetation and soil dynamics which can dramatically shape microclimate conditions within and between species dynamically across time. For example, plant water use dynamics during heatwaves can amplify or reduce high temperatures via effects on photosynthetic capacity, stomatal decoupling, cuticular conductance, leaf damage and plant mortality [16,31]. These impacts are important for the plants themselves, but also for thermal regimes available to other organisms. Forecasting future thermal regimes is challenging because it involves forecasting future vegetation dynamics, including changes in key vegetation properties such as leaf area index, as a function of plant growth, plant population dynamics and shifts in community composition. Despite the complexity and non-linearity of these interactions across the soil-plant-atmosphere continuum, there is existing capacity, and growing potential, to model them and determine individual-specific exposure to extreme heat. For example, a wide range of vegetation models is available for this purpose, from crop growth models that simulate growth and yield of crops over a season (e.g. APSIM, [32]) up to the dynamic global vegetation models (DGVMs) that simulate vegetation function and distribution at local to global scales [33].</w:t>
      </w:r>
    </w:p>
    <w:p w14:paraId="640318E5" w14:textId="77777777" w:rsidR="00542893" w:rsidRDefault="00000000">
      <w:pPr>
        <w:pStyle w:val="Heading1"/>
      </w:pPr>
      <w:bookmarkStart w:id="5" w:name="X5a6e6d313f4187bfc77082e5e5979262b26b081"/>
      <w:bookmarkEnd w:id="4"/>
      <w:r>
        <w:t>Translating exposure to organism temperature: biophysics to the rescue!</w:t>
      </w:r>
    </w:p>
    <w:p w14:paraId="65DEE50D" w14:textId="1BDF3744" w:rsidR="00542893" w:rsidRDefault="00000000">
      <w:pPr>
        <w:pStyle w:val="FirstParagraph"/>
      </w:pPr>
      <w:r>
        <w:t xml:space="preserve">Once microclimates are quantified, it is crucial to estimate heat and water budgets of organisms to determine how microclimate variability within a system translates to realized organismal temperatures and hydration states. Heat and water budgets can be computed using a combination of species functional traits (e.g., body mass, metabolic rate, surface area, integument emissivity) along with how heat energy and water are exchanged with the environment – dependent on the microclimate experienced. Such </w:t>
      </w:r>
      <w:r>
        <w:rPr>
          <w:b/>
          <w:bCs/>
        </w:rPr>
        <w:t>biophysical models</w:t>
      </w:r>
      <w:r>
        <w:t xml:space="preserve"> have a long history[</w:t>
      </w:r>
      <w:r w:rsidR="00234AC1">
        <w:t xml:space="preserve">e.g., </w:t>
      </w:r>
      <w:r>
        <w:t xml:space="preserve">34,35,16] but have become more widely applied in ecology in the past 20 years, facilitated by developments in environmental datasets, microclimate modelling, and the emergence of high-level programming languages such as R [17]. Biophysical models of ectothermic animals make use of equations for energy and mass exchange between an organism and its environment and can account for complex radiative heat transfer and the role of evaporative water loss across surfaces [17,22,36]. Equivalent </w:t>
      </w:r>
      <w:r>
        <w:lastRenderedPageBreak/>
        <w:t>models of leaves incorporate the dynamic role of stomata [16,37</w:t>
      </w:r>
      <w:r w:rsidR="00091E3A">
        <w:t>] (</w:t>
      </w:r>
      <w:r w:rsidR="00AC0813" w:rsidRPr="00AC0813">
        <w:rPr>
          <w:b/>
          <w:bCs/>
        </w:rPr>
        <w:t>Box 1</w:t>
      </w:r>
      <w:r w:rsidR="00091E3A">
        <w:t>)</w:t>
      </w:r>
      <w:r>
        <w:t>. Biophysical models are powerful because, by translating microclimate conditions to organism body temperature and hydric states, simple regulatory decision-making models can be used [38,39]. For example, an organism’s current body temperature can be compared to temperatures available within its microclimate. Given an understanding of an organism’s thermal activity windows, thermal optima, and critical thermal limits suitable microclimates that lead to body temperatures within its thermal limits, and as close as possible to its thermal optima, can be chosen [e.g., 38,39]. Incorporating such behavioural thermoregulatory decision making is crucial for mitigating the negative impacts of extreme heat and can inherently capture the trade-offs such a strategy entails through reduced foraging time [17,38]. In addition, incorporating stomatal behaviour can mitigate or exacerbate the extreme temperatures leaf tissue experiences while simultaneously shaping the microclimate conditions for other organisms [16</w:t>
      </w:r>
      <w:r w:rsidR="00AC0813">
        <w:t xml:space="preserve">, </w:t>
      </w:r>
      <w:r>
        <w:t>40]</w:t>
      </w:r>
      <w:r w:rsidR="00F4402A">
        <w:t xml:space="preserve"> (</w:t>
      </w:r>
      <w:r w:rsidR="00F4402A" w:rsidRPr="00091E3A">
        <w:rPr>
          <w:b/>
          <w:bCs/>
        </w:rPr>
        <w:t>Box 1</w:t>
      </w:r>
      <w:r w:rsidR="00F4402A">
        <w:t>)</w:t>
      </w:r>
      <w:r>
        <w:t>. Future developments in biophysical modelling of organismal temperature under extreme heat will involve understanding the nuances of plastic physiological and behavioral responses. For example, lizards may pant when exposed to high temperatures [41], birds may ‘wind surf’ or seek thermal micro-refugia [42], and stomatal behavior may depart from the typical responses to vapor pressure and light intensity to allow emergency cooling [31], though this response may depend on prior soil moisture conditions [43]. While biophysical models require many variables for parameterization they can be tailored to the question and organism of interest [17]. Many traits can be assumed, or traits of similar species can be used to construct basic models which can be validated and updated. The application of biophysical models in concert with microclimate models can thus be used to infer the thermal conditions to which members of the same ecological community are exposed with different degrees of detail. Realised thermal exposure can then be linked to physiological models.</w:t>
      </w:r>
    </w:p>
    <w:p w14:paraId="33061816" w14:textId="77777777" w:rsidR="00542893" w:rsidRDefault="00000000">
      <w:pPr>
        <w:pStyle w:val="Heading1"/>
      </w:pPr>
      <w:bookmarkStart w:id="6" w:name="X034f8e5698580bf7448238067f484f5e1d792b9"/>
      <w:bookmarkEnd w:id="5"/>
      <w:r>
        <w:t>Capturing both physiological damage and repair to predict multi-species thermal sensitivity</w:t>
      </w:r>
    </w:p>
    <w:p w14:paraId="0BD6E135" w14:textId="77777777" w:rsidR="00542893" w:rsidRDefault="00000000">
      <w:pPr>
        <w:pStyle w:val="FirstParagraph"/>
      </w:pPr>
      <w:r>
        <w:t xml:space="preserve">Translating how heat waves impact plants and animals not only depends on modelling temperature </w:t>
      </w:r>
      <w:r>
        <w:rPr>
          <w:i/>
          <w:iCs/>
        </w:rPr>
        <w:t>exposure</w:t>
      </w:r>
      <w:r>
        <w:t xml:space="preserve"> but also the varying </w:t>
      </w:r>
      <w:r>
        <w:rPr>
          <w:i/>
          <w:iCs/>
        </w:rPr>
        <w:t>sensitivity</w:t>
      </w:r>
      <w:r>
        <w:t xml:space="preserve"> of organisms to extreme heat [18,44]. Sensitivity to extreme heat can be captured by </w:t>
      </w:r>
      <w:r>
        <w:rPr>
          <w:b/>
          <w:bCs/>
        </w:rPr>
        <w:t>thermal load sensitivity (TLS) / thermal death time (TDT)</w:t>
      </w:r>
      <w:r>
        <w:t xml:space="preserve"> models that explicitly account for how heat stress depends on both the temperature experienced and and its duration [18,19]. TLS models predict the relative accumulation of damage to cellular and sub-cellular systems that compromise physiological function. Without periods of recovery, where damage can be repaired, organisms accumulate damage over time reducing growth and impacting survival and reproduction. Typically, TLS models focus on endpoints that include survival (e.g., lethal temperatures,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or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80</m:t>
            </m:r>
          </m:sub>
        </m:sSub>
      </m:oMath>
      <w:r>
        <w:t xml:space="preserve">) or some measure of reduced fertility, but this need not be the case [19]. Endpoints are predicted by assuming the effect of time at a given temperature decreases survival or fertility exponentially and have been shown to have high predictive power [10,11,18,44]. For example, Ørsted </w:t>
      </w:r>
      <w:r>
        <w:rPr>
          <w:i/>
          <w:iCs/>
        </w:rPr>
        <w:t>et al.</w:t>
      </w:r>
      <w:r>
        <w:t xml:space="preserve"> [11] show that both mortality and fecundity follow a clear exponential relationship with time in in the Spotted Wing Drosophila (</w:t>
      </w:r>
      <w:r>
        <w:rPr>
          <w:i/>
          <w:iCs/>
        </w:rPr>
        <w:t>Drosophila suzuki</w:t>
      </w:r>
      <w:r>
        <w:t xml:space="preserve">), with survival and fecundity being compromised most for long thermal exposures at high temperatures. Importantly, Ørsted </w:t>
      </w:r>
      <w:r>
        <w:rPr>
          <w:i/>
          <w:iCs/>
        </w:rPr>
        <w:t>et al.</w:t>
      </w:r>
      <w:r>
        <w:t xml:space="preserve"> [11] show that reproductive sensitivity can be higher than mortality, with heat injury accumulating faster to impact productivity earlier than survival. TLS theory also applies well to photosynthetic function in plants [45,46], highlighting the potential generality of the TLS framework and its capacity to explore plastic responses (e.g., acclimation and priming) of organisms. TLS models are crucial for predicting how heat waves affect organisms because accumulated damage to physiological systems can result in lagged responses to heat stress or exacerbate future stress (i.e., future heat waves / droughts) – a common feature of extreme heat events [19,47].</w:t>
      </w:r>
    </w:p>
    <w:p w14:paraId="4D8A603B" w14:textId="77777777" w:rsidR="00542893" w:rsidRDefault="00000000">
      <w:pPr>
        <w:pStyle w:val="BodyText"/>
      </w:pPr>
      <w:r>
        <w:t>Environmental factors known to impact thermal sensitivity, such as water and drought stress [e.g., 48,49] along with nutritional and dietary changes [e.g., 50,51] can also be incorporated into systems modelling approach through their impacts on thermal sensitivity and tolerance [19] (</w:t>
      </w:r>
      <w:hyperlink w:anchor="fig-sys">
        <w:r w:rsidR="00542893">
          <w:rPr>
            <w:rStyle w:val="Hyperlink"/>
          </w:rPr>
          <w:t>Figure 1</w:t>
        </w:r>
      </w:hyperlink>
      <w:r>
        <w:t xml:space="preserve">). Indeed, an exciting potential application of a systems-modelling approach is to explore how microclimatic conditions mediate </w:t>
      </w:r>
      <w:r>
        <w:lastRenderedPageBreak/>
        <w:t>changes to interactions between plant and animal microbial communities. Interactions between plants and microorganisms, such as plant growth-promoting rhizobacteria (PGPR), arbuscular mycorrhizal fungi (AMF), and bacterial or fungal endophytes are known to impact growth, defense, and heat tolerance in plants [52,53], and gut microbiotia can impact heat tolerance in animals [54]. Additionally, modelling the intricate balance between damage and repair for a suite of different species can help identify susceptible species, life stages and tissues that are most at risk from extreme heat events due to direct sensitivity to extreme heat, which should allow for more accurate predictions of the varying levels of species sensitivity within a community [19].</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542893" w14:paraId="292EED6A" w14:textId="77777777">
        <w:trPr>
          <w:cantSplit/>
        </w:trPr>
        <w:tc>
          <w:tcPr>
            <w:tcW w:w="0" w:type="auto"/>
            <w:tcMar>
              <w:left w:w="144" w:type="dxa"/>
            </w:tcMar>
          </w:tcPr>
          <w:p w14:paraId="509A9731" w14:textId="77777777" w:rsidR="00542893" w:rsidRDefault="00000000">
            <w:pPr>
              <w:pStyle w:val="BodyText"/>
              <w:spacing w:before="16" w:after="64"/>
            </w:pPr>
            <w:r>
              <w:rPr>
                <w:b/>
                <w:bCs/>
              </w:rPr>
              <w:lastRenderedPageBreak/>
              <w:t>Box 1: Building a systems modelling approach to capture multi-species exposure to extreme heat</w:t>
            </w:r>
          </w:p>
          <w:p w14:paraId="55A711E2" w14:textId="77777777" w:rsidR="00542893" w:rsidRDefault="00000000">
            <w:pPr>
              <w:pStyle w:val="BodyText"/>
              <w:spacing w:before="16"/>
            </w:pPr>
            <w:r>
              <w:t>Using a simple hypothetical community (</w:t>
            </w:r>
            <w:hyperlink w:anchor="fig-box1">
              <w:r w:rsidR="00542893">
                <w:rPr>
                  <w:rStyle w:val="Hyperlink"/>
                </w:rPr>
                <w:t>Figure 2</w:t>
              </w:r>
            </w:hyperlink>
            <w:r>
              <w:t>) we outline how a systems-modelling approach can be developed. In Box 1 we focus on how climate, microclimate, and biophysical models can predict the differential exposure to extreme heat events across species, how species can alter each others microclimates and incorporate ‘behavioural’ responses of species in response to temperature (e.g., stomatal behaviour, thermoregulation). In Box 2, we then demonstrate how we can use the predicted organismal temperatures from these models to predict life-cycles for species, incorporate differences in thermal sensitivity, and use the output from physiological models to estimate vital rates for population and community ecology models.</w:t>
            </w:r>
          </w:p>
          <w:p w14:paraId="0565F833" w14:textId="77777777" w:rsidR="00542893" w:rsidRDefault="00000000">
            <w:pPr>
              <w:pStyle w:val="BodyText"/>
            </w:pPr>
            <w:r>
              <w:t xml:space="preserve">To begin, we use natural climate data collected during a heatwave event in January 2018/19 at Renmark, South Australia (Calperum Station). Briefly, we use the </w:t>
            </w:r>
            <w:r>
              <w:rPr>
                <w:rStyle w:val="VerbatimChar"/>
              </w:rPr>
              <w:t>micro_silo</w:t>
            </w:r>
            <w:r>
              <w:t xml:space="preserve"> function in </w:t>
            </w:r>
            <w:r>
              <w:rPr>
                <w:i/>
                <w:iCs/>
              </w:rPr>
              <w:t>NicheMapR</w:t>
            </w:r>
            <w:r>
              <w:t xml:space="preserve"> [16,55] in conjunction with </w:t>
            </w:r>
            <w:r>
              <w:rPr>
                <w:i/>
                <w:iCs/>
              </w:rPr>
              <w:t>microclima</w:t>
            </w:r>
            <w:r>
              <w:t xml:space="preserve"> [23,24] in the R statistical language. </w:t>
            </w:r>
            <w:r>
              <w:rPr>
                <w:rStyle w:val="VerbatimChar"/>
              </w:rPr>
              <w:t>micro_silo</w:t>
            </w:r>
            <w:r>
              <w:t xml:space="preserve"> uses climate data from 1889 to present (https://www.longpaddock.qld.gov.au/silo/) to compute microclimates. By default </w:t>
            </w:r>
            <w:r>
              <w:rPr>
                <w:rStyle w:val="VerbatimChar"/>
              </w:rPr>
              <w:t>micro_silo</w:t>
            </w:r>
            <w:r>
              <w:t xml:space="preserve"> computes microclimates at various heights above ground (20cm-1.2m, relevant to our plants and insects) and soil depths (for burrowers) with varying levels of shade (we use 40 and 80%). Simulating these varied conditions allows us to capture the diversity of microclimates that different species in a community might experience, and provides opportunities to build in behavioural plasticity.</w:t>
            </w:r>
          </w:p>
          <w:p w14:paraId="33EF81FD" w14:textId="77777777" w:rsidR="00542893" w:rsidRDefault="00000000">
            <w:pPr>
              <w:pStyle w:val="BodyText"/>
            </w:pPr>
            <w:r>
              <w:t xml:space="preserve">With available microclimates predicted, we can compute leaf and body temperatures using biophysical models. However, plant temperatures will impact temperatures experienced by our grasshopper species because plant stoma change in response to extreme heat events. We will first model leaf temperatures that capture stomatal behaviour with the help of the </w:t>
            </w:r>
            <w:r>
              <w:rPr>
                <w:i/>
                <w:iCs/>
              </w:rPr>
              <w:t>plantecophys</w:t>
            </w:r>
            <w:r>
              <w:t xml:space="preserve"> package [37]. Here, we define traits of the leaf and use the </w:t>
            </w:r>
            <w:r>
              <w:rPr>
                <w:rStyle w:val="VerbatimChar"/>
              </w:rPr>
              <w:t>ectotherm</w:t>
            </w:r>
            <w:r>
              <w:t xml:space="preserve"> function in </w:t>
            </w:r>
            <w:r>
              <w:rPr>
                <w:i/>
                <w:iCs/>
              </w:rPr>
              <w:t>NicheMapR</w:t>
            </w:r>
            <w:r>
              <w:t xml:space="preserve"> to compute realistic leaf temperatures as stoma open and close in response to temperature and vapor pressure deficit (Figure I). The combination of microclimate, leaf traits (e.g., shape, leaf conductance, emissivity) and stomatal behaviour allows us to compute realistic leaf temperatures during the heatwave event.</w:t>
            </w:r>
          </w:p>
          <w:p w14:paraId="065A8900" w14:textId="77777777" w:rsidR="00542893" w:rsidRDefault="00000000">
            <w:pPr>
              <w:pStyle w:val="BodyText"/>
            </w:pPr>
            <w:r>
              <w:t xml:space="preserve">Once we have leaf temperatures, we can assume these now form part of the microclimate for our insect species (Figure I). Using the </w:t>
            </w:r>
            <w:r>
              <w:rPr>
                <w:rStyle w:val="VerbatimChar"/>
              </w:rPr>
              <w:t>ectotherm</w:t>
            </w:r>
            <w:r>
              <w:t xml:space="preserve"> function in </w:t>
            </w:r>
            <w:r>
              <w:rPr>
                <w:i/>
                <w:iCs/>
              </w:rPr>
              <w:t>NicheMapR</w:t>
            </w:r>
            <w:r>
              <w:t xml:space="preserve"> again, we use the temperatures in the vicinity of the plants, along with insect traits to compute insect body temperatures. Insects are able to thermoregulate behaviourally, so we allow the insect to choose a restricted set of microclimates using information on their thermal preferences to minimize thermal stress when possible (i.e., keep body temperature within thermal limits). All code to demonstrate this process is available at: https://daniel1noble.github.io/thermal_tol_interactions/.</w:t>
            </w:r>
          </w:p>
          <w:tbl>
            <w:tblPr>
              <w:tblStyle w:val="Table"/>
              <w:tblW w:w="5000" w:type="pct"/>
              <w:tblLayout w:type="fixed"/>
              <w:tblLook w:val="0000" w:firstRow="0" w:lastRow="0" w:firstColumn="0" w:lastColumn="0" w:noHBand="0" w:noVBand="0"/>
            </w:tblPr>
            <w:tblGrid>
              <w:gridCol w:w="10200"/>
            </w:tblGrid>
            <w:tr w:rsidR="00542893" w14:paraId="2C490F13" w14:textId="77777777">
              <w:tc>
                <w:tcPr>
                  <w:tcW w:w="0" w:type="auto"/>
                </w:tcPr>
                <w:p w14:paraId="5A46806B" w14:textId="4B3CA34B" w:rsidR="00542893" w:rsidRDefault="00EF10CD">
                  <w:pPr>
                    <w:pStyle w:val="Compact"/>
                    <w:jc w:val="center"/>
                  </w:pPr>
                  <w:bookmarkStart w:id="7" w:name="fig-box1"/>
                  <w:r>
                    <w:rPr>
                      <w:noProof/>
                    </w:rPr>
                    <w:lastRenderedPageBreak/>
                    <w:drawing>
                      <wp:inline distT="0" distB="0" distL="0" distR="0" wp14:anchorId="70513E93" wp14:editId="68122D1F">
                        <wp:extent cx="5292181" cy="3292771"/>
                        <wp:effectExtent l="0" t="0" r="3810" b="0"/>
                        <wp:docPr id="195381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8167" name="Picture 19538167"/>
                                <pic:cNvPicPr/>
                              </pic:nvPicPr>
                              <pic:blipFill>
                                <a:blip r:embed="rId6" cstate="print">
                                  <a:extLst>
                                    <a:ext uri="{28A0092B-C50C-407E-A947-70E740481C1C}">
                                      <a14:useLocalDpi xmlns:a14="http://schemas.microsoft.com/office/drawing/2010/main" val="0"/>
                                    </a:ext>
                                  </a:extLst>
                                </a:blip>
                                <a:stretch>
                                  <a:fillRect/>
                                </a:stretch>
                              </pic:blipFill>
                              <pic:spPr>
                                <a:xfrm>
                                  <a:off x="0" y="0"/>
                                  <a:ext cx="5325984" cy="3313803"/>
                                </a:xfrm>
                                <a:prstGeom prst="rect">
                                  <a:avLst/>
                                </a:prstGeom>
                              </pic:spPr>
                            </pic:pic>
                          </a:graphicData>
                        </a:graphic>
                      </wp:inline>
                    </w:drawing>
                  </w:r>
                </w:p>
                <w:p w14:paraId="5DB96448" w14:textId="5F25F8FE" w:rsidR="00542893" w:rsidRDefault="00000000">
                  <w:pPr>
                    <w:pStyle w:val="ImageCaption"/>
                    <w:spacing w:before="200"/>
                  </w:pPr>
                  <w:r>
                    <w:t>Figure I: Predicting and coupling microclimate and biophysical models of plants and insects. Created with BioRender.com.</w:t>
                  </w:r>
                </w:p>
              </w:tc>
              <w:bookmarkEnd w:id="7"/>
            </w:tr>
          </w:tbl>
          <w:p w14:paraId="09D41B7B" w14:textId="77777777" w:rsidR="00085D7A" w:rsidRDefault="00085D7A">
            <w:pPr>
              <w:spacing w:after="0"/>
            </w:pPr>
          </w:p>
        </w:tc>
      </w:tr>
    </w:tbl>
    <w:p w14:paraId="0856CA09" w14:textId="77777777" w:rsidR="00542893" w:rsidRDefault="00000000">
      <w:pPr>
        <w:pStyle w:val="BodyText"/>
      </w:pPr>
      <w:r>
        <w:lastRenderedPageBreak/>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542893" w14:paraId="04CF7DEE" w14:textId="77777777">
        <w:trPr>
          <w:cantSplit/>
        </w:trPr>
        <w:tc>
          <w:tcPr>
            <w:tcW w:w="0" w:type="auto"/>
            <w:tcMar>
              <w:left w:w="144" w:type="dxa"/>
            </w:tcMar>
          </w:tcPr>
          <w:p w14:paraId="04917C89" w14:textId="77777777" w:rsidR="00542893" w:rsidRDefault="00000000">
            <w:pPr>
              <w:pStyle w:val="BodyText"/>
              <w:spacing w:before="16" w:after="64"/>
            </w:pPr>
            <w:r>
              <w:rPr>
                <w:b/>
                <w:bCs/>
              </w:rPr>
              <w:t>Glossary</w:t>
            </w:r>
          </w:p>
          <w:p w14:paraId="5C634F43" w14:textId="77777777" w:rsidR="00542893" w:rsidRDefault="00000000">
            <w:pPr>
              <w:pStyle w:val="BodyText"/>
              <w:spacing w:before="16"/>
            </w:pPr>
            <w:r>
              <w:rPr>
                <w:b/>
                <w:bCs/>
              </w:rPr>
              <w:t>Coexistence</w:t>
            </w:r>
            <w:r>
              <w:t>: Coexistence occurs when populations of two or more species are able to persist in each other’s presence indefinitely under constant, equilibrium conditions.</w:t>
            </w:r>
          </w:p>
          <w:p w14:paraId="68E49FB8" w14:textId="77777777" w:rsidR="00542893" w:rsidRDefault="00000000">
            <w:pPr>
              <w:pStyle w:val="BodyText"/>
            </w:pPr>
            <w:r>
              <w:rPr>
                <w:b/>
                <w:bCs/>
              </w:rPr>
              <w:t>Microclimate</w:t>
            </w:r>
            <w:r>
              <w:t>: Microclimates are the local atmospheric conditions experienced by organisms, which can differ substantially from the broader atmospheric conditions. Microclimates are influenced by factors such as vegetation cover, soil properties, and topography, and can significantly affect the thermal environment experienced by organisms</w:t>
            </w:r>
          </w:p>
          <w:p w14:paraId="25D042A4" w14:textId="77777777" w:rsidR="00542893" w:rsidRDefault="00000000">
            <w:pPr>
              <w:pStyle w:val="BodyText"/>
            </w:pPr>
            <w:r>
              <w:rPr>
                <w:b/>
                <w:bCs/>
              </w:rPr>
              <w:t>Functional traits</w:t>
            </w:r>
            <w:r>
              <w:t>: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p>
          <w:p w14:paraId="41995D87" w14:textId="77777777" w:rsidR="00542893" w:rsidRDefault="00000000">
            <w:pPr>
              <w:pStyle w:val="BodyText"/>
            </w:pPr>
            <w:r>
              <w:rPr>
                <w:b/>
                <w:bCs/>
              </w:rPr>
              <w:t>Biophysical models</w:t>
            </w:r>
            <w:r>
              <w:t>: Biophysical models capture the balances of heat, water, and other aspects of energy and mass exchange between organisms and their microclimatic environmment to predict how organisms function, survive, and behave in varying environments.</w:t>
            </w:r>
          </w:p>
          <w:p w14:paraId="33A5D69D" w14:textId="77777777" w:rsidR="00542893" w:rsidRDefault="00000000">
            <w:pPr>
              <w:pStyle w:val="BodyText"/>
            </w:pPr>
            <w:r>
              <w:rPr>
                <w:b/>
                <w:bCs/>
              </w:rPr>
              <w:t>Thermal load sensitivity (TLS) / thermal death time (TDT) models</w:t>
            </w:r>
            <w:r>
              <w:t>: Models that use biophysical models to predict organism temperature and calculate thermal load that captures lethal and sublethal impacts on tissues, organs and whole organisms.</w:t>
            </w:r>
          </w:p>
          <w:p w14:paraId="7C272551" w14:textId="77777777" w:rsidR="00542893" w:rsidRDefault="00000000">
            <w:pPr>
              <w:pStyle w:val="BodyText"/>
              <w:spacing w:after="16"/>
            </w:pPr>
            <w:r>
              <w:rPr>
                <w:b/>
                <w:bCs/>
              </w:rPr>
              <w:t>Vital rates</w:t>
            </w:r>
            <w:r>
              <w:t>: Demographic parameters that determine how populations change over time. They include measures of birth, death, growth, and reproduction.</w:t>
            </w:r>
          </w:p>
        </w:tc>
      </w:tr>
    </w:tbl>
    <w:p w14:paraId="271EBD59" w14:textId="77777777" w:rsidR="00542893" w:rsidRDefault="00000000">
      <w:pPr>
        <w:pStyle w:val="Heading1"/>
      </w:pPr>
      <w:bookmarkStart w:id="8" w:name="Xa42fff9f9b55ab8c457a10a6df2c5c7c3edac3c"/>
      <w:bookmarkEnd w:id="6"/>
      <w:r>
        <w:lastRenderedPageBreak/>
        <w:t>Physiological models that capture the effects of extreme heat across life</w:t>
      </w:r>
    </w:p>
    <w:p w14:paraId="6152C769" w14:textId="77777777" w:rsidR="00542893" w:rsidRDefault="00000000">
      <w:pPr>
        <w:pStyle w:val="FirstParagraph"/>
      </w:pPr>
      <w:r>
        <w:t>Dynamic Energy Budget (DEB) models are physiologically explicit life-cycle models of energy and mass uptake and conversion that predict key life-history transitions, growth, reproduction and survival (senescence) through time [14,56]. DEB models consider organisms as a thermodynamic system (adhering to energy-mass balance) capturing the exchange of food, water, respiratory gases and metabolic waste throughout the life cycle [17]. DEB models can translate short-term (hourly) variation in factors such as temperature, toxins (e.g., toxicants, [57]) and resource availability (nutrients) [58,59] into long-term (days, months, years) effects on development, growth, reproduction and survival [15,17]. DEB theory, when combined with biophysical models more generally, allows the full water budget to be computed to account for heat stress impacts of a hydric nature [17]. Perhaps most importantly, DEB theory calculates the life cycle trajectory of an organism and so can account for the effects of timing of heat wave impacts relative to life stage. Applied to multi-species assemblages, DEB models can capture how different species’ life cycles are impacted by heat and interact with each other to predict how traits such as birth, age at maturity, reproductive events, energy flow and lifespan vary across species (</w:t>
      </w:r>
      <w:r>
        <w:rPr>
          <w:b/>
          <w:bCs/>
        </w:rPr>
        <w:t>Box 2</w:t>
      </w:r>
      <w:r>
        <w:t xml:space="preserve">). DEB models integrate many fundamental physiological processes, and necessary parameters have been estimated for &gt; 6000 species already (although there are taxonomic biases) [60,61]. New analytical approaches using phylogenetic imputation methods show promise for calculating energy budgets for species without data. Such methods have, for instance, already been used to predict DEB parameters for over 1.3 million animal species [see, 62]. In addition, software packages such as </w:t>
      </w:r>
      <w:r>
        <w:rPr>
          <w:i/>
          <w:iCs/>
        </w:rPr>
        <w:t>NicheMapR</w:t>
      </w:r>
      <w:r>
        <w:t xml:space="preserve"> [22,55] allow for simulations of life-cycles using parameters for diverse species. DEB model outputs, such as body mass and size, reproductive success and timing, and survival, can be used to parameterize vital rates needed for population and community models, with additional options to incorporate eco-evolutionary feedbacks (see </w:t>
      </w:r>
      <w:r>
        <w:rPr>
          <w:b/>
          <w:bCs/>
        </w:rPr>
        <w:t>Box 3</w:t>
      </w:r>
      <w:r>
        <w:t>).</w:t>
      </w:r>
    </w:p>
    <w:p w14:paraId="3FB8FD4F" w14:textId="77777777" w:rsidR="00542893" w:rsidRDefault="00000000">
      <w:pPr>
        <w:pStyle w:val="BodyText"/>
      </w:pPr>
      <w:r>
        <w:t>Analogously, physiologically-based vegetation models simulate plant growth over time as a function of carbon, water and nutrient uptake and use, following mass balance principles [63]. Model drivers typically include incident radiation, humidity, rainfall, and soil properties as well as air temperature. The models capture the direct effects of temperature on key physiological processes, such as photosynthesis, respiration and phenology, as well as the indirect effects via feedbacks on the vegetation water balance and soil nutrient availability. Short-term responses to temperature are captured well in these models through representations of enzyme kinetics, but representation of longer-term responses remains challenging because plants show high flexibility in their ability to acclimate to ambient temperatures [64]. Another area under active research is capturing plant damage and death from hot-dry weather extremes. Considerable progress has been made by representing the plant hydraulic system explicitly, enabling the risk of hydraulic failure to be predicted under conditions of low rainfall and high evaporative demand [65]. Direct damage to plant tissue from extreme heat has yet to be represented in such models, but the thermal death time framework outlined above offers a promising way forward.</w:t>
      </w:r>
    </w:p>
    <w:p w14:paraId="36DA8456" w14:textId="77777777" w:rsidR="00542893" w:rsidRDefault="00000000">
      <w:pPr>
        <w:pStyle w:val="Heading1"/>
      </w:pPr>
      <w:bookmarkStart w:id="9" w:name="Xe20b556bb99a49ef81dd5b1307d42fae8e49e0c"/>
      <w:bookmarkEnd w:id="8"/>
      <w:r>
        <w:t>Mechanistic approaches that ‘speak’ to population and community ecology under extreme heat</w:t>
      </w:r>
    </w:p>
    <w:p w14:paraId="78139967" w14:textId="77777777" w:rsidR="00542893" w:rsidRDefault="00000000">
      <w:pPr>
        <w:pStyle w:val="FirstParagraph"/>
      </w:pPr>
      <w:r>
        <w:rPr>
          <w:b/>
          <w:bCs/>
        </w:rPr>
        <w:t>Coexistence</w:t>
      </w:r>
      <w:r>
        <w:t xml:space="preserve"> models provide powerful opportunities to understand interactions of species and model whole community responses to extreme climate events. Modern coexistence theory [MCT; [66]] uses simple two-species individual-based population growth models [67,68], to determine how interactions between species at the individual level lead to “coexistence”.</w:t>
      </w:r>
    </w:p>
    <w:p w14:paraId="22F0ED2B" w14:textId="77777777" w:rsidR="00542893" w:rsidRDefault="00000000">
      <w:pPr>
        <w:pStyle w:val="BodyText"/>
      </w:pPr>
      <w:r>
        <w:t>Population dynamic models calculate the individual fitness effect of interactions [69] (</w:t>
      </w:r>
      <w:r>
        <w:rPr>
          <w:b/>
          <w:bCs/>
        </w:rPr>
        <w:t>Box 2</w:t>
      </w:r>
      <w:r>
        <w:t xml:space="preserve">). These models can incorporate variation in the environment [20] and in the outcome of interactions themselves [70]. As these models use the same fitness measures as DEB models, they offer a population modelling framework to add thermal biology to community diversity predictions. This is because population dynamical models can be </w:t>
      </w:r>
      <w:r>
        <w:lastRenderedPageBreak/>
        <w:t xml:space="preserve">combined, for example as networks [71], and compared between microsites with different biophysical properties and composed of species with different thermal responses to their microenvironment. For example, Bimler </w:t>
      </w:r>
      <w:r>
        <w:rPr>
          <w:i/>
          <w:iCs/>
        </w:rPr>
        <w:t>et al</w:t>
      </w:r>
      <w:r>
        <w:t xml:space="preserve"> [71] used this approach to determine which species were keystone species under shady and sunny portions of the same plant communities.</w:t>
      </w:r>
    </w:p>
    <w:p w14:paraId="0FC761EA" w14:textId="77777777" w:rsidR="00542893" w:rsidRDefault="00000000">
      <w:pPr>
        <w:pStyle w:val="BodyText"/>
      </w:pPr>
      <w:r>
        <w:t xml:space="preserve">Modified </w:t>
      </w:r>
      <w:r>
        <w:rPr>
          <w:b/>
          <w:bCs/>
        </w:rPr>
        <w:t>vital rate</w:t>
      </w:r>
      <w:r>
        <w:t xml:space="preserve"> functions (which can be used with any measure of fitness) can be used in population growth models to compare population growth predictions for individuals in areas with different biophysical properties and/or thermal tolerances. The outcomes from DEB models could be used to directly parameterise growth rate models or used to predict </w:t>
      </w:r>
      <w:r>
        <w:rPr>
          <w:b/>
          <w:bCs/>
        </w:rPr>
        <w:t>functional traits</w:t>
      </w:r>
      <w:r>
        <w:t>, which at a community scale can be used to categorize species with different response and effect profiles. Horizontal interaction networks can then be used to determine how important microclimates with different biophysical properties are for species interactions (defined by their fitness responses to their thermal environment) within the context of whole communities. These networks can also be made to target particular types of interaction effects or responses to extreme heat events, or used to compare how species interact in areas with different thermal landscapes. The limitation of these methods is that they are data hungry, but even this can be handled by categorizing species by ‘trait’ or shared phylogenetic relationships, which are simplifications shown to be effective at reducing model complexity without sacrificing model accuracy [72].</w:t>
      </w:r>
    </w:p>
    <w:p w14:paraId="6F0418EF" w14:textId="77777777" w:rsidR="00542893" w:rsidRDefault="00000000">
      <w:pPr>
        <w:pStyle w:val="BodyText"/>
      </w:pPr>
      <w:r>
        <w:t>Population growth models used in coexistence frameworks are best suited to sessile organisms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 [e.g., 21].</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542893" w14:paraId="2E528C00" w14:textId="77777777">
        <w:trPr>
          <w:cantSplit/>
        </w:trPr>
        <w:tc>
          <w:tcPr>
            <w:tcW w:w="0" w:type="auto"/>
            <w:tcMar>
              <w:left w:w="144" w:type="dxa"/>
            </w:tcMar>
          </w:tcPr>
          <w:p w14:paraId="0B3D7B3E" w14:textId="77777777" w:rsidR="00542893" w:rsidRDefault="00000000">
            <w:pPr>
              <w:pStyle w:val="BodyText"/>
              <w:spacing w:before="16" w:after="64"/>
            </w:pPr>
            <w:r>
              <w:rPr>
                <w:b/>
                <w:bCs/>
              </w:rPr>
              <w:lastRenderedPageBreak/>
              <w:t>Box 2: Scaling up extreme heat effects from impacts on individuals of species to communities</w:t>
            </w:r>
          </w:p>
          <w:p w14:paraId="50ADBB16" w14:textId="2AD84535" w:rsidR="00542893" w:rsidRDefault="00000000">
            <w:pPr>
              <w:pStyle w:val="BodyText"/>
              <w:spacing w:before="16"/>
            </w:pPr>
            <w:r>
              <w:t xml:space="preserve">Box 1 demonstrated how to predict differential exposure to extreme heat events across species in a community, couple microclimates between species, and incorporate thermoregulatory behaviour. Here, we use predicted organismal temperatures to take stock of how thermal heat stress accumulation impacts survival probability and simulate </w:t>
            </w:r>
            <w:r w:rsidR="00B3213E">
              <w:t>life cycles</w:t>
            </w:r>
            <w:r>
              <w:t xml:space="preserve"> for two interacting grasshopper species under their respective microclimates.</w:t>
            </w:r>
          </w:p>
          <w:p w14:paraId="33EF125C" w14:textId="77777777" w:rsidR="00542893" w:rsidRDefault="00000000">
            <w:pPr>
              <w:pStyle w:val="BodyText"/>
            </w:pPr>
            <w:r>
              <w:t xml:space="preserve">To start, using existing parameters for a dynamic energy budget (DEB) model for a grasshopper [73] we can use the </w:t>
            </w:r>
            <w:r>
              <w:rPr>
                <w:rStyle w:val="VerbatimChar"/>
              </w:rPr>
              <w:t>ectotherm</w:t>
            </w:r>
            <w:r>
              <w:t xml:space="preserve"> function in </w:t>
            </w:r>
            <w:r>
              <w:rPr>
                <w:i/>
                <w:iCs/>
              </w:rPr>
              <w:t>NicheMapR</w:t>
            </w:r>
            <w:r>
              <w:t>, to simulate life cycles for each of the two species. We assume that both species have similar DEB parameters but vary in their life-history, thermal physiology, size and reproduction, which we include in our DEB model (see Figure I in Box 1).</w:t>
            </w:r>
          </w:p>
          <w:p w14:paraId="75A02551" w14:textId="0AA0FB04" w:rsidR="00542893" w:rsidRDefault="00000000">
            <w:pPr>
              <w:pStyle w:val="BodyText"/>
            </w:pPr>
            <w:r>
              <w:t>DEB models incorporate a simple Gompertz mortality function to capture senescence, but do not integrate the effects of thermal load accumulation in response to extreme heat events into survival functions</w:t>
            </w:r>
            <w:r w:rsidR="00320621">
              <w:t>. W</w:t>
            </w:r>
            <w:r>
              <w:t xml:space="preserve">e assume reproduction is not impacted </w:t>
            </w:r>
            <w:r w:rsidR="00320621">
              <w:t xml:space="preserve">by heat </w:t>
            </w:r>
            <w:r>
              <w:t>for simplicity</w:t>
            </w:r>
            <w:r w:rsidR="00320621">
              <w:t>, but thermal load on reproduction can also be incorporated in a similar way [1</w:t>
            </w:r>
            <w:r w:rsidR="00406F5F">
              <w:t>1</w:t>
            </w:r>
            <w:r w:rsidR="00320621">
              <w:t>].</w:t>
            </w:r>
            <w:r>
              <w:t xml:space="preserve"> By using thermal sensitivity parameters for mortality endpoints from TLS models (i.e. </w:t>
            </w:r>
            <m:oMath>
              <m:r>
                <w:rPr>
                  <w:rFonts w:ascii="Cambria Math" w:hAnsi="Cambria Math"/>
                </w:rPr>
                <m:t>z</m:t>
              </m:r>
            </m:oMath>
            <w:r>
              <w:t xml:space="preserve">, slope and </w:t>
            </w:r>
            <m:oMath>
              <m:r>
                <w:rPr>
                  <w:rFonts w:ascii="Cambria Math" w:hAnsi="Cambria Math"/>
                </w:rPr>
                <m:t>α</m:t>
              </m:r>
            </m:oMath>
            <w:r>
              <w:t xml:space="preserve"> = critical thermal limit), they can be used to predict the accumulation of damage during stressful temperatures experienced under realistic conditions for each species by calculating heat injury (HI) accumulated between time point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oMath>
            <w:r>
              <w:t xml:space="preserve"> across life (using an </w:t>
            </w:r>
            <m:oMath>
              <m:r>
                <w:rPr>
                  <w:rFonts w:ascii="Cambria Math" w:hAnsi="Cambria Math"/>
                </w:rPr>
                <m:t>L</m:t>
              </m:r>
              <m:sSub>
                <m:sSubPr>
                  <m:ctrlPr>
                    <w:rPr>
                      <w:rFonts w:ascii="Cambria Math" w:hAnsi="Cambria Math"/>
                    </w:rPr>
                  </m:ctrlPr>
                </m:sSubPr>
                <m:e>
                  <m:r>
                    <w:rPr>
                      <w:rFonts w:ascii="Cambria Math" w:hAnsi="Cambria Math"/>
                    </w:rPr>
                    <m:t>T</m:t>
                  </m:r>
                </m:e>
                <m:sub>
                  <m:r>
                    <w:rPr>
                      <w:rFonts w:ascii="Cambria Math" w:hAnsi="Cambria Math"/>
                    </w:rPr>
                    <m:t>50</m:t>
                  </m:r>
                </m:sub>
              </m:sSub>
            </m:oMath>
            <w:r>
              <w:t xml:space="preserve"> threshold)(</w:t>
            </w:r>
            <w:hyperlink w:anchor="eq-hi">
              <w:r w:rsidR="00542893">
                <w:rPr>
                  <w:rStyle w:val="Hyperlink"/>
                </w:rPr>
                <w:t>Equation 1</w:t>
              </w:r>
            </w:hyperlink>
            <w:r>
              <w:t>) (Fig IIA) [10,11,19,44].</w:t>
            </w:r>
          </w:p>
          <w:p w14:paraId="1BC482B9" w14:textId="77777777" w:rsidR="00542893" w:rsidRDefault="00000000">
            <w:pPr>
              <w:pStyle w:val="BodyText"/>
            </w:pPr>
            <w:bookmarkStart w:id="10" w:name="eq-hi"/>
            <m:oMathPara>
              <m:oMathParaPr>
                <m:jc m:val="center"/>
              </m:oMathParaPr>
              <m:oMath>
                <m:r>
                  <w:rPr>
                    <w:rFonts w:ascii="Cambria Math" w:hAnsi="Cambria Math"/>
                  </w:rPr>
                  <m:t>HI</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T</m:t>
                        </m:r>
                      </m:e>
                      <m:sub>
                        <m:r>
                          <w:rPr>
                            <w:rFonts w:ascii="Cambria Math" w:hAnsi="Cambria Math"/>
                          </w:rPr>
                          <m:t>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c</m:t>
                        </m:r>
                      </m:sub>
                    </m:sSub>
                  </m:sup>
                  <m:e>
                    <m:f>
                      <m:fPr>
                        <m:ctrlPr>
                          <w:rPr>
                            <w:rFonts w:ascii="Cambria Math" w:hAnsi="Cambria Math"/>
                          </w:rPr>
                        </m:ctrlPr>
                      </m:fPr>
                      <m:num>
                        <m:r>
                          <w:rPr>
                            <w:rFonts w:ascii="Cambria Math" w:hAnsi="Cambria Math"/>
                          </w:rPr>
                          <m:t>100</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e>
                        </m:d>
                      </m:num>
                      <m:den>
                        <m:sSup>
                          <m:sSupPr>
                            <m:ctrlPr>
                              <w:rPr>
                                <w:rFonts w:ascii="Cambria Math" w:hAnsi="Cambria Math"/>
                              </w:rPr>
                            </m:ctrlPr>
                          </m:sSupPr>
                          <m:e>
                            <m:r>
                              <w:rPr>
                                <w:rFonts w:ascii="Cambria Math" w:hAnsi="Cambria Math"/>
                              </w:rPr>
                              <m:t>10</m:t>
                            </m:r>
                          </m:e>
                          <m:sup>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z</m:t>
                                    </m:r>
                                  </m:den>
                                </m:f>
                                <m:r>
                                  <m:rPr>
                                    <m:sty m:val="p"/>
                                  </m:rPr>
                                  <w:rPr>
                                    <w:rFonts w:ascii="Cambria Math" w:hAnsi="Cambria Math"/>
                                  </w:rPr>
                                  <m:t>⋅</m:t>
                                </m:r>
                                <m: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r>
                                          <m:rPr>
                                            <m:sty m:val="p"/>
                                          </m:rPr>
                                          <w:rPr>
                                            <w:rFonts w:ascii="Cambria Math" w:hAnsi="Cambria Math"/>
                                          </w:rPr>
                                          <m:t>+</m:t>
                                        </m:r>
                                        <m:r>
                                          <w:rPr>
                                            <w:rFonts w:ascii="Cambria Math" w:hAnsi="Cambria Math"/>
                                          </w:rPr>
                                          <m:t>1</m:t>
                                        </m:r>
                                      </m:sub>
                                    </m:sSub>
                                  </m:e>
                                </m:d>
                                <m:r>
                                  <m:rPr>
                                    <m:sty m:val="p"/>
                                  </m:rPr>
                                  <w:rPr>
                                    <w:rFonts w:ascii="Cambria Math" w:hAnsi="Cambria Math"/>
                                  </w:rPr>
                                  <m:t>+</m:t>
                                </m:r>
                                <m:r>
                                  <w:rPr>
                                    <w:rFonts w:ascii="Cambria Math" w:hAnsi="Cambria Math"/>
                                  </w:rPr>
                                  <m:t>α</m:t>
                                </m:r>
                              </m:e>
                            </m:d>
                          </m:sup>
                        </m:sSup>
                      </m:den>
                    </m:f>
                  </m:e>
                </m:nary>
                <m:r>
                  <w:rPr>
                    <w:rFonts w:ascii="Cambria Math" w:hAnsi="Cambria Math"/>
                  </w:rPr>
                  <m:t>  </m:t>
                </m:r>
                <m:d>
                  <m:dPr>
                    <m:ctrlPr>
                      <w:rPr>
                        <w:rFonts w:ascii="Cambria Math" w:hAnsi="Cambria Math"/>
                      </w:rPr>
                    </m:ctrlPr>
                  </m:dPr>
                  <m:e>
                    <m:r>
                      <w:rPr>
                        <w:rFonts w:ascii="Cambria Math" w:hAnsi="Cambria Math"/>
                      </w:rPr>
                      <m:t>1</m:t>
                    </m:r>
                  </m:e>
                </m:d>
              </m:oMath>
            </m:oMathPara>
            <w:bookmarkEnd w:id="10"/>
          </w:p>
          <w:p w14:paraId="5CD7B511" w14:textId="74CF900A" w:rsidR="00542893" w:rsidRDefault="00000000">
            <w:pPr>
              <w:pStyle w:val="FirstParagraph"/>
            </w:pPr>
            <w:r>
              <w:t xml:space="preserve">After calculating HI, and converting to the probability of mortality through time, we can calculate the total probability of survival (i.e., from senescence, thermal stress, and activity based mortality) for each age/stage class. In combination with the DEB model outputs on total reproduction across life, we can build a simple stage-structured population matrix </w:t>
            </w:r>
            <w:r w:rsidR="00406F5F" w:rsidRPr="00406F5F">
              <w:t>(day of life or developmental stage)</w:t>
            </w:r>
            <w:r w:rsidR="00406F5F" w:rsidRPr="00406F5F">
              <w:t xml:space="preserve"> </w:t>
            </w:r>
            <w:r>
              <w:t xml:space="preserve">(Fig IIB) to estimate population growth rate </w:t>
            </w:r>
            <w:r w:rsidR="00460C42">
              <w:t>[</w:t>
            </w:r>
            <m:oMath>
              <m:sSub>
                <m:sSubPr>
                  <m:ctrlPr>
                    <w:rPr>
                      <w:rFonts w:ascii="Cambria Math" w:hAnsi="Cambria Math"/>
                    </w:rPr>
                  </m:ctrlPr>
                </m:sSubPr>
                <m:e>
                  <m:r>
                    <w:rPr>
                      <w:rFonts w:ascii="Cambria Math" w:hAnsi="Cambria Math"/>
                    </w:rPr>
                    <m:t>r</m:t>
                  </m:r>
                </m:e>
                <m:sub>
                  <m:r>
                    <w:rPr>
                      <w:rFonts w:ascii="Cambria Math" w:hAnsi="Cambria Math"/>
                    </w:rPr>
                    <m:t>max</m:t>
                  </m:r>
                </m:sub>
              </m:sSub>
            </m:oMath>
            <w:r>
              <w:t xml:space="preserve"> = ln(</w:t>
            </w:r>
            <m:oMath>
              <m:r>
                <w:rPr>
                  <w:rFonts w:ascii="Cambria Math" w:hAnsi="Cambria Math"/>
                </w:rPr>
                <m:t>λ</m:t>
              </m:r>
            </m:oMath>
            <w:r>
              <w:t>)</w:t>
            </w:r>
            <w:r w:rsidR="00460C42">
              <w:t>]</w:t>
            </w:r>
            <w:r>
              <w:t xml:space="preserve"> for each species under their respective microclimates. </w:t>
            </w:r>
            <m:oMath>
              <m:sSub>
                <m:sSubPr>
                  <m:ctrlPr>
                    <w:rPr>
                      <w:rFonts w:ascii="Cambria Math" w:hAnsi="Cambria Math"/>
                    </w:rPr>
                  </m:ctrlPr>
                </m:sSubPr>
                <m:e>
                  <m:r>
                    <w:rPr>
                      <w:rFonts w:ascii="Cambria Math" w:hAnsi="Cambria Math"/>
                    </w:rPr>
                    <m:t>r</m:t>
                  </m:r>
                </m:e>
                <m:sub>
                  <m:r>
                    <w:rPr>
                      <w:rFonts w:ascii="Cambria Math" w:hAnsi="Cambria Math"/>
                    </w:rPr>
                    <m:t>max</m:t>
                  </m:r>
                </m:sub>
              </m:sSub>
            </m:oMath>
            <w:r>
              <w:t xml:space="preserve"> can then be included in a two-species, density dependent Ricker model to predict their population growth under competition (</w:t>
            </w:r>
            <w:hyperlink w:anchor="eq-general">
              <w:r w:rsidR="00542893">
                <w:rPr>
                  <w:rStyle w:val="Hyperlink"/>
                </w:rPr>
                <w:t>Equation 2</w:t>
              </w:r>
            </w:hyperlink>
            <w:r>
              <w:t>).</w:t>
            </w:r>
          </w:p>
          <w:bookmarkStart w:id="11" w:name="eq-general"/>
          <w:p w14:paraId="5A4A406A" w14:textId="77777777" w:rsidR="00542893"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N</m:t>
                    </m:r>
                  </m:e>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i</m:t>
                    </m:r>
                  </m:sup>
                </m:sSubSup>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i</m:t>
                    </m:r>
                  </m:sup>
                </m:sSubSup>
                <m:r>
                  <m:rPr>
                    <m:sty m:val="p"/>
                  </m:rPr>
                  <w:rPr>
                    <w:rFonts w:ascii="Cambria Math" w:hAnsi="Cambria Math"/>
                  </w:rPr>
                  <m:t>⋅exp</m:t>
                </m:r>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m:rPr>
                            <m:sty m:val="p"/>
                          </m:rPr>
                          <w:rPr>
                            <w:rFonts w:ascii="Cambria Math" w:hAnsi="Cambria Math"/>
                          </w:rPr>
                          <m:t>max,</m:t>
                        </m:r>
                        <m:r>
                          <w:rPr>
                            <w:rFonts w:ascii="Cambria Math" w:hAnsi="Cambria Math"/>
                          </w:rPr>
                          <m:t>i</m:t>
                        </m:r>
                      </m:sub>
                    </m:sSub>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i</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α</m:t>
                                    </m:r>
                                  </m:e>
                                  <m:sub>
                                    <m:r>
                                      <w:rPr>
                                        <w:rFonts w:ascii="Cambria Math" w:hAnsi="Cambria Math"/>
                                      </w:rPr>
                                      <m:t>ij</m:t>
                                    </m:r>
                                  </m:sub>
                                </m:sSub>
                              </m:e>
                            </m:nary>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j</m:t>
                                </m:r>
                              </m:sup>
                            </m:sSubSup>
                          </m:num>
                          <m:den>
                            <m:sSub>
                              <m:sSubPr>
                                <m:ctrlPr>
                                  <w:rPr>
                                    <w:rFonts w:ascii="Cambria Math" w:hAnsi="Cambria Math"/>
                                  </w:rPr>
                                </m:ctrlPr>
                              </m:sSubPr>
                              <m:e>
                                <m:r>
                                  <w:rPr>
                                    <w:rFonts w:ascii="Cambria Math" w:hAnsi="Cambria Math"/>
                                  </w:rPr>
                                  <m:t>K</m:t>
                                </m:r>
                              </m:e>
                              <m:sub>
                                <m:r>
                                  <w:rPr>
                                    <w:rFonts w:ascii="Cambria Math" w:hAnsi="Cambria Math"/>
                                  </w:rPr>
                                  <m:t>i</m:t>
                                </m:r>
                              </m:sub>
                            </m:sSub>
                          </m:den>
                        </m:f>
                      </m:e>
                    </m:d>
                  </m:e>
                </m:d>
                <m:r>
                  <w:rPr>
                    <w:rFonts w:ascii="Cambria Math" w:hAnsi="Cambria Math"/>
                  </w:rPr>
                  <m:t>  </m:t>
                </m:r>
                <m:d>
                  <m:dPr>
                    <m:ctrlPr>
                      <w:rPr>
                        <w:rFonts w:ascii="Cambria Math" w:hAnsi="Cambria Math"/>
                      </w:rPr>
                    </m:ctrlPr>
                  </m:dPr>
                  <m:e>
                    <m:r>
                      <w:rPr>
                        <w:rFonts w:ascii="Cambria Math" w:hAnsi="Cambria Math"/>
                      </w:rPr>
                      <m:t>2</m:t>
                    </m:r>
                  </m:e>
                </m:d>
              </m:oMath>
            </m:oMathPara>
            <w:bookmarkEnd w:id="11"/>
          </w:p>
          <w:p w14:paraId="6D960A48" w14:textId="7DF63536" w:rsidR="00542893" w:rsidRDefault="00000000">
            <w:pPr>
              <w:pStyle w:val="FirstParagraph"/>
            </w:pPr>
            <w:r>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i</m:t>
                  </m:r>
                </m:sup>
              </m:sSubSup>
            </m:oMath>
            <w:r>
              <w:t xml:space="preserve"> is the population size of species </w:t>
            </w:r>
            <m:oMath>
              <m:r>
                <w:rPr>
                  <w:rFonts w:ascii="Cambria Math" w:hAnsi="Cambria Math"/>
                </w:rPr>
                <m:t>i</m:t>
              </m:r>
            </m:oMath>
            <w:r>
              <w:t xml:space="preserve"> at time </w:t>
            </w:r>
            <m:oMath>
              <m:r>
                <w:rPr>
                  <w:rFonts w:ascii="Cambria Math" w:hAnsi="Cambria Math"/>
                </w:rPr>
                <m:t>t</m:t>
              </m:r>
            </m:oMath>
            <w:r>
              <w:t xml:space="preserve">, </w:t>
            </w:r>
            <m:oMath>
              <m:sSub>
                <m:sSubPr>
                  <m:ctrlPr>
                    <w:rPr>
                      <w:rFonts w:ascii="Cambria Math" w:hAnsi="Cambria Math"/>
                    </w:rPr>
                  </m:ctrlPr>
                </m:sSubPr>
                <m:e>
                  <m:sSub>
                    <m:sSubPr>
                      <m:ctrlPr>
                        <w:rPr>
                          <w:rFonts w:ascii="Cambria Math" w:hAnsi="Cambria Math"/>
                        </w:rPr>
                      </m:ctrlPr>
                    </m:sSubPr>
                    <m:e>
                      <m:r>
                        <w:rPr>
                          <w:rFonts w:ascii="Cambria Math" w:hAnsi="Cambria Math"/>
                        </w:rPr>
                        <m:t>r</m:t>
                      </m:r>
                    </m:e>
                    <m:sub>
                      <m:r>
                        <w:rPr>
                          <w:rFonts w:ascii="Cambria Math" w:hAnsi="Cambria Math"/>
                        </w:rPr>
                        <m:t>max</m:t>
                      </m:r>
                    </m:sub>
                  </m:sSub>
                </m:e>
                <m:sub>
                  <m:r>
                    <w:rPr>
                      <w:rFonts w:ascii="Cambria Math" w:hAnsi="Cambria Math"/>
                    </w:rPr>
                    <m:t>i</m:t>
                  </m:r>
                </m:sub>
              </m:sSub>
            </m:oMath>
            <w:r>
              <w:t xml:space="preserve"> is the intrinsic growth rate of species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K</m:t>
                  </m:r>
                </m:e>
                <m:sub>
                  <m:r>
                    <w:rPr>
                      <w:rFonts w:ascii="Cambria Math" w:hAnsi="Cambria Math"/>
                    </w:rPr>
                    <m:t>i</m:t>
                  </m:r>
                </m:sub>
              </m:sSub>
            </m:oMath>
            <w:r>
              <w:t xml:space="preserve"> is the carrying capacity of species </w:t>
            </w:r>
            <m:oMath>
              <m:r>
                <w:rPr>
                  <w:rFonts w:ascii="Cambria Math" w:hAnsi="Cambria Math"/>
                </w:rPr>
                <m:t>i</m:t>
              </m:r>
            </m:oMath>
            <w:r>
              <w:t xml:space="preserve">, and </w:t>
            </w:r>
            <m:oMath>
              <m:sSub>
                <m:sSubPr>
                  <m:ctrlPr>
                    <w:rPr>
                      <w:rFonts w:ascii="Cambria Math" w:hAnsi="Cambria Math"/>
                    </w:rPr>
                  </m:ctrlPr>
                </m:sSubPr>
                <m:e>
                  <m:r>
                    <w:rPr>
                      <w:rFonts w:ascii="Cambria Math" w:hAnsi="Cambria Math"/>
                    </w:rPr>
                    <m:t>α</m:t>
                  </m:r>
                </m:e>
                <m:sub>
                  <m:r>
                    <w:rPr>
                      <w:rFonts w:ascii="Cambria Math" w:hAnsi="Cambria Math"/>
                    </w:rPr>
                    <m:t>ij</m:t>
                  </m:r>
                </m:sub>
              </m:sSub>
            </m:oMath>
            <w:r>
              <w:t xml:space="preserve"> is the competition coefficient that describes how much species </w:t>
            </w:r>
            <m:oMath>
              <m:r>
                <w:rPr>
                  <w:rFonts w:ascii="Cambria Math" w:hAnsi="Cambria Math"/>
                </w:rPr>
                <m:t>j</m:t>
              </m:r>
            </m:oMath>
            <w:r>
              <w:t xml:space="preserve"> affects species </w:t>
            </w:r>
            <m:oMath>
              <m:r>
                <w:rPr>
                  <w:rFonts w:ascii="Cambria Math" w:hAnsi="Cambria Math"/>
                </w:rPr>
                <m:t>i</m:t>
              </m:r>
            </m:oMath>
            <w:r>
              <w:t>. Given mechanistic physiological models are used, the population matrix can be updated each generation to reflect changes in vital rates (survival and reproduction) under different microclimates in the future.</w:t>
            </w:r>
          </w:p>
          <w:tbl>
            <w:tblPr>
              <w:tblStyle w:val="Table"/>
              <w:tblW w:w="5000" w:type="pct"/>
              <w:tblLayout w:type="fixed"/>
              <w:tblLook w:val="0000" w:firstRow="0" w:lastRow="0" w:firstColumn="0" w:lastColumn="0" w:noHBand="0" w:noVBand="0"/>
            </w:tblPr>
            <w:tblGrid>
              <w:gridCol w:w="10200"/>
            </w:tblGrid>
            <w:tr w:rsidR="00542893" w14:paraId="360DF70E" w14:textId="77777777">
              <w:tc>
                <w:tcPr>
                  <w:tcW w:w="0" w:type="auto"/>
                </w:tcPr>
                <w:p w14:paraId="30155BF3" w14:textId="13AC714F" w:rsidR="00542893" w:rsidRDefault="00EF10CD">
                  <w:pPr>
                    <w:pStyle w:val="Compact"/>
                    <w:jc w:val="center"/>
                  </w:pPr>
                  <w:bookmarkStart w:id="12" w:name="fig-box2"/>
                  <w:r>
                    <w:rPr>
                      <w:noProof/>
                    </w:rPr>
                    <w:lastRenderedPageBreak/>
                    <w:drawing>
                      <wp:inline distT="0" distB="0" distL="0" distR="0" wp14:anchorId="59839F31" wp14:editId="0B877EA5">
                        <wp:extent cx="5359652" cy="4182397"/>
                        <wp:effectExtent l="0" t="0" r="0" b="0"/>
                        <wp:docPr id="14423751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75189" name="Picture 144237518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387513" cy="4204138"/>
                                </a:xfrm>
                                <a:prstGeom prst="rect">
                                  <a:avLst/>
                                </a:prstGeom>
                              </pic:spPr>
                            </pic:pic>
                          </a:graphicData>
                        </a:graphic>
                      </wp:inline>
                    </w:drawing>
                  </w:r>
                </w:p>
                <w:p w14:paraId="3E75536B" w14:textId="5DC2E647" w:rsidR="00542893" w:rsidRDefault="00000000">
                  <w:pPr>
                    <w:pStyle w:val="ImageCaption"/>
                    <w:spacing w:before="200"/>
                  </w:pPr>
                  <w:r>
                    <w:t>Figure II: A systems approach to using mechanistic physiological models to capture life-cycle vital rates and thermal load stress on survival to scale up to multi-species population dynamics. Created with BioRender.com.</w:t>
                  </w:r>
                </w:p>
              </w:tc>
              <w:bookmarkEnd w:id="12"/>
            </w:tr>
          </w:tbl>
          <w:p w14:paraId="50CB9CFE" w14:textId="77777777" w:rsidR="00085D7A" w:rsidRDefault="00085D7A">
            <w:pPr>
              <w:spacing w:after="0"/>
            </w:pPr>
          </w:p>
        </w:tc>
      </w:tr>
    </w:tbl>
    <w:p w14:paraId="2FD199AB" w14:textId="77777777" w:rsidR="00542893" w:rsidRDefault="00000000">
      <w:pPr>
        <w:pStyle w:val="Heading1"/>
      </w:pPr>
      <w:bookmarkStart w:id="13" w:name="hot-solutions-for-a-changing-world"/>
      <w:bookmarkEnd w:id="9"/>
      <w:r>
        <w:lastRenderedPageBreak/>
        <w:t>‘Hot’ solutions for a changing world</w:t>
      </w:r>
    </w:p>
    <w:p w14:paraId="1700FB68" w14:textId="68195343" w:rsidR="00542893" w:rsidRDefault="00000000">
      <w:pPr>
        <w:pStyle w:val="FirstParagraph"/>
      </w:pPr>
      <w:r>
        <w:t>Extreme heat will have dramatic and widespread effects on biological and socioecological systems that humans rely upon. For example, under current global climate change scenarios, each degree Celsius increase in global mean temperature is estimated to reduce the global yield of wheat by 6.0% and soybean by 3.1% [74], exacerbating food shortages. A systems-modelling approach can help us develop suitable interventions, predict the varied consequences of such interventions, and allow for adjustments that can improve decision making for mitigating the impacts of extreme heat in real world situations. As a simple example (</w:t>
      </w:r>
      <w:hyperlink w:anchor="fig-2">
        <w:r w:rsidR="00542893">
          <w:rPr>
            <w:rStyle w:val="Hyperlink"/>
          </w:rPr>
          <w:t>Figure 2</w:t>
        </w:r>
      </w:hyperlink>
      <w:r>
        <w:t xml:space="preserve">A), a systems modelling approach can allow for informed predictions about how to mitigate heat stress to crops while also considering the potential for pest outbreaks. In essence, we want to add a minimal amount of water to a system to cool leaves </w:t>
      </w:r>
      <w:r w:rsidR="00D76B28">
        <w:t>while</w:t>
      </w:r>
      <w:r>
        <w:t xml:space="preserve"> avoid</w:t>
      </w:r>
      <w:r w:rsidR="00D76B28">
        <w:t>ing</w:t>
      </w:r>
      <w:r>
        <w:t xml:space="preserve"> depleting limited water supplies </w:t>
      </w:r>
      <w:r w:rsidR="00D76B28">
        <w:t xml:space="preserve">and creating </w:t>
      </w:r>
      <w:r>
        <w:t>microclimate conditions from becoming more optimal for pests. Making use of real weather data to predict microclimates and organism temperatures we can assess how adding 2, 5, 10, or 20 mm d</w:t>
      </w:r>
      <w:r>
        <w:rPr>
          <w:vertAlign w:val="superscript"/>
        </w:rPr>
        <w:t>-1</w:t>
      </w:r>
      <w:r>
        <w:t xml:space="preserve"> of water to a system affects leaf temperatures and the life-cycle for a grasshopper species that is a known pest (</w:t>
      </w:r>
      <w:hyperlink w:anchor="fig-2">
        <w:r w:rsidR="00542893">
          <w:rPr>
            <w:rStyle w:val="Hyperlink"/>
          </w:rPr>
          <w:t>Figure 2</w:t>
        </w:r>
      </w:hyperlink>
      <w:r>
        <w:t>). We can see that adding 2-5 mm of water can result in as much as a 3.63°C decrease in leaf temperature (</w:t>
      </w:r>
      <w:hyperlink w:anchor="fig-2">
        <w:r w:rsidR="00542893">
          <w:rPr>
            <w:rStyle w:val="Hyperlink"/>
          </w:rPr>
          <w:t>Figure 2</w:t>
        </w:r>
      </w:hyperlink>
      <w:r>
        <w:t>B), but adding more water does not result in significant gains in cooling. In additon, 2-5mm of water added each day to avoid extreme heat impacts results in grasshopper populations being suppressed over time whereas not adding water at all results in grasshopper population growth, leading to potential heatwave associated outbreaks. Here, the optimal solution is adding 2-5 mm d</w:t>
      </w:r>
      <w:r>
        <w:rPr>
          <w:vertAlign w:val="superscript"/>
        </w:rPr>
        <w:t>-1</w:t>
      </w:r>
      <w:r>
        <w:t xml:space="preserve"> of water to both cool plants and protect them from pests. Identifying and/or modifying the thermal suitability of landscapes, such as in our simple example, may dramatically benefit plants and animals under extreme heat and is a promising feature of a systems-thinking </w:t>
      </w:r>
      <w:r>
        <w:lastRenderedPageBreak/>
        <w:t>approach [17]. Additionally, as our understanding of the mechanisms associated with heat tolerance improve, genetic tools, environmental manipulations (e.g., promoting beneficial microbes) and artificial breeding can be used to enhance thermal tolerance creating more resilience to extreme heat events [e.g., 53].</w:t>
      </w:r>
    </w:p>
    <w:tbl>
      <w:tblPr>
        <w:tblStyle w:val="Table"/>
        <w:tblW w:w="5000" w:type="pct"/>
        <w:tblLayout w:type="fixed"/>
        <w:tblLook w:val="0000" w:firstRow="0" w:lastRow="0" w:firstColumn="0" w:lastColumn="0" w:noHBand="0" w:noVBand="0"/>
      </w:tblPr>
      <w:tblGrid>
        <w:gridCol w:w="10538"/>
      </w:tblGrid>
      <w:tr w:rsidR="00542893" w14:paraId="1CD6F17C" w14:textId="77777777">
        <w:tc>
          <w:tcPr>
            <w:tcW w:w="7920" w:type="dxa"/>
          </w:tcPr>
          <w:p w14:paraId="1BB986CC" w14:textId="4571B521" w:rsidR="00542893" w:rsidRDefault="00FD1B40">
            <w:pPr>
              <w:pStyle w:val="Compact"/>
              <w:jc w:val="center"/>
            </w:pPr>
            <w:bookmarkStart w:id="14" w:name="fig-2"/>
            <w:r>
              <w:rPr>
                <w:noProof/>
              </w:rPr>
              <w:drawing>
                <wp:inline distT="0" distB="0" distL="0" distR="0" wp14:anchorId="363E9C6A" wp14:editId="4CC51C20">
                  <wp:extent cx="5839485" cy="4087413"/>
                  <wp:effectExtent l="0" t="0" r="2540" b="2540"/>
                  <wp:docPr id="12940198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019834" name="Picture 129401983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866526" cy="4106341"/>
                          </a:xfrm>
                          <a:prstGeom prst="rect">
                            <a:avLst/>
                          </a:prstGeom>
                        </pic:spPr>
                      </pic:pic>
                    </a:graphicData>
                  </a:graphic>
                </wp:inline>
              </w:drawing>
            </w:r>
          </w:p>
          <w:p w14:paraId="3774F48F" w14:textId="33B4E6BB" w:rsidR="00542893" w:rsidRDefault="00000000">
            <w:pPr>
              <w:pStyle w:val="ImageCaption"/>
              <w:spacing w:before="200"/>
            </w:pPr>
            <w:r>
              <w:t>Figure </w:t>
            </w:r>
            <w:r w:rsidR="00CD0962">
              <w:t>2</w:t>
            </w:r>
            <w:r>
              <w:t>- How a systems modelling approach to extreme heat can be used to inform solutions. Heat stress to crops can result in foliage loss and crop failure, but also weaken crops to pests. Using a hypothetical case study of a crop and associated pest, we explore how different watering regimes impact plant temperatures and the flow on effects such regimes have for pest dynamics (A). Using a site near Renmark, South Australia, we use microclimate and biophysical models to estimate leaf temperatures. We see that, compared to original rainfall conditions, certain watering regimes can significantly reduce leaf temperatures by as much as 3.87°C, providing protection to leaves (B). Modelling how these changed microclimate conditions translate to grasshopper body temperatures, we can then estimate changes to grasshopper life cycles and use the vital rates to predict population dynamics, showing, in this case, that even small amounts of water can supress pest growth (C). Created with BioRender.com.</w:t>
            </w:r>
          </w:p>
        </w:tc>
        <w:bookmarkEnd w:id="14"/>
      </w:tr>
    </w:tbl>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542893" w14:paraId="189D0881" w14:textId="77777777">
        <w:trPr>
          <w:cantSplit/>
        </w:trPr>
        <w:tc>
          <w:tcPr>
            <w:tcW w:w="0" w:type="auto"/>
            <w:tcMar>
              <w:left w:w="144" w:type="dxa"/>
            </w:tcMar>
          </w:tcPr>
          <w:p w14:paraId="7CFAEC39" w14:textId="77777777" w:rsidR="00542893" w:rsidRDefault="00000000">
            <w:pPr>
              <w:pStyle w:val="BodyText"/>
              <w:spacing w:before="16" w:after="64"/>
            </w:pPr>
            <w:r>
              <w:rPr>
                <w:b/>
                <w:bCs/>
              </w:rPr>
              <w:lastRenderedPageBreak/>
              <w:t>Box 3: An important frontier: integrating eco-evolutionary feedback within a systems-modelling framework</w:t>
            </w:r>
          </w:p>
          <w:p w14:paraId="4145402B" w14:textId="77777777" w:rsidR="00542893" w:rsidRDefault="00000000">
            <w:pPr>
              <w:pStyle w:val="BodyText"/>
              <w:spacing w:before="16"/>
            </w:pPr>
            <w:r>
              <w:t>Extreme climactic events, such as heatwaves and droughts, are known to result in intense episodes of selection which can lead to rapid evolutionary change when traits are heritable [75]. In addition, given the intensity of selection associated with extreme climatic events, they have the potential to radically alter the phenotypic and genetic variability available to selection in the future [76], potentially impacting population resilience to future events. Predicting evolutionary responses from extreme heat events is challenging because of their rarity and stochasticity which makes quantifying the strength of selection difficult as it often can only be opportunistically measured [75].</w:t>
            </w:r>
          </w:p>
          <w:p w14:paraId="18BB7609" w14:textId="77777777" w:rsidR="00542893" w:rsidRDefault="00000000">
            <w:pPr>
              <w:pStyle w:val="BodyText"/>
            </w:pPr>
            <w:r>
              <w:t>Predicting evolutionary responses also relies on our ability to predict heatwaves and how organisms experience them in the future – a task that is becoming more feasible with new climate models [e.g., 77,78]. Evolutionary consequences of extreme heat events will depend on their characteristics (e.g., frequency, timing, exposure intensity and duration), the traits under selection and their levels of genetic (co)variation, as well as the demographic and ecological context in which the event occurs [79–81]. Considering various forms of plastic responses (e.g., behavioural, developmental, and physiological plasticity) as environments change through time is also crucial because it can dampen selection and shelter genetic variation while also promoting persistence [82,83]. Many of these processes can now be incorporated into a systems modelling framework (e.g, behavioural plasticity), to capture well known environment-phenotype feedback.</w:t>
            </w:r>
          </w:p>
          <w:p w14:paraId="6AABE486" w14:textId="77777777" w:rsidR="00542893" w:rsidRDefault="00000000">
            <w:pPr>
              <w:pStyle w:val="BodyText"/>
            </w:pPr>
            <w:r>
              <w:t>A more complete systems modelling approach that captures eco-evolutionary dynamics needs to think about ‘traits’ more broadly than those typically thought of by evolutionary ecologists (e.g., body mass). For example, ‘traits’ can include the parameters within models that establish functional traits within a population (e.g., DEB parameters)[84,85], which may provide predictions for suites of resulting traits that emerge from such parameters. Furthermore, it needs to consider the evolution of suites of traits which can be done using the multivariate breeders equation [86]:</w:t>
            </w:r>
          </w:p>
          <w:p w14:paraId="5F6ADDCA" w14:textId="77777777" w:rsidR="00542893" w:rsidRDefault="00000000">
            <w:pPr>
              <w:pStyle w:val="BodyText"/>
            </w:pPr>
            <w:bookmarkStart w:id="15" w:name="eq-breeders"/>
            <m:oMathPara>
              <m:oMathParaPr>
                <m:jc m:val="center"/>
              </m:oMathParaPr>
              <m:oMath>
                <m:r>
                  <w:rPr>
                    <w:rFonts w:ascii="Cambria Math" w:hAnsi="Cambria Math"/>
                  </w:rPr>
                  <m:t>Δ</m:t>
                </m:r>
                <m:acc>
                  <m:accPr>
                    <m:chr m:val="‾"/>
                    <m:ctrlPr>
                      <w:rPr>
                        <w:rFonts w:ascii="Cambria Math" w:hAnsi="Cambria Math"/>
                      </w:rPr>
                    </m:ctrlPr>
                  </m:accPr>
                  <m:e>
                    <m:r>
                      <m:rPr>
                        <m:sty m:val="b"/>
                      </m:rPr>
                      <w:rPr>
                        <w:rFonts w:ascii="Cambria Math" w:hAnsi="Cambria Math"/>
                      </w:rPr>
                      <m:t>z</m:t>
                    </m:r>
                  </m:e>
                </m:acc>
                <m:r>
                  <m:rPr>
                    <m:sty m:val="p"/>
                  </m:rPr>
                  <w:rPr>
                    <w:rFonts w:ascii="Cambria Math" w:hAnsi="Cambria Math"/>
                  </w:rPr>
                  <m:t>=</m:t>
                </m:r>
                <m:r>
                  <m:rPr>
                    <m:sty m:val="b"/>
                  </m:rPr>
                  <w:rPr>
                    <w:rFonts w:ascii="Cambria Math" w:hAnsi="Cambria Math"/>
                  </w:rPr>
                  <m:t>G</m:t>
                </m:r>
                <m:r>
                  <m:rPr>
                    <m:sty m:val="p"/>
                  </m:rPr>
                  <w:rPr>
                    <w:rFonts w:ascii="Cambria Math" w:hAnsi="Cambria Math"/>
                  </w:rPr>
                  <m:t>⋅</m:t>
                </m:r>
                <m:r>
                  <m:rPr>
                    <m:sty m:val="b"/>
                  </m:rPr>
                  <w:rPr>
                    <w:rFonts w:ascii="Cambria Math" w:hAnsi="Cambria Math"/>
                  </w:rPr>
                  <m:t>β</m:t>
                </m:r>
                <m:r>
                  <w:rPr>
                    <w:rFonts w:ascii="Cambria Math" w:hAnsi="Cambria Math"/>
                  </w:rPr>
                  <m:t>  </m:t>
                </m:r>
                <m:d>
                  <m:dPr>
                    <m:ctrlPr>
                      <w:rPr>
                        <w:rFonts w:ascii="Cambria Math" w:hAnsi="Cambria Math"/>
                      </w:rPr>
                    </m:ctrlPr>
                  </m:dPr>
                  <m:e>
                    <m:r>
                      <w:rPr>
                        <w:rFonts w:ascii="Cambria Math" w:hAnsi="Cambria Math"/>
                      </w:rPr>
                      <m:t>3</m:t>
                    </m:r>
                  </m:e>
                </m:d>
              </m:oMath>
            </m:oMathPara>
            <w:bookmarkEnd w:id="15"/>
          </w:p>
          <w:p w14:paraId="21CB8AEA" w14:textId="77777777" w:rsidR="00542893" w:rsidRDefault="00000000">
            <w:pPr>
              <w:pStyle w:val="FirstParagraph"/>
              <w:spacing w:after="16"/>
            </w:pPr>
            <w:r>
              <w:t xml:space="preserve">where </w:t>
            </w:r>
            <m:oMath>
              <m:r>
                <w:rPr>
                  <w:rFonts w:ascii="Cambria Math" w:hAnsi="Cambria Math"/>
                </w:rPr>
                <m:t>Δ</m:t>
              </m:r>
              <m:acc>
                <m:accPr>
                  <m:chr m:val="‾"/>
                  <m:ctrlPr>
                    <w:rPr>
                      <w:rFonts w:ascii="Cambria Math" w:hAnsi="Cambria Math"/>
                    </w:rPr>
                  </m:ctrlPr>
                </m:accPr>
                <m:e>
                  <m:r>
                    <m:rPr>
                      <m:sty m:val="b"/>
                    </m:rPr>
                    <w:rPr>
                      <w:rFonts w:ascii="Cambria Math" w:hAnsi="Cambria Math"/>
                    </w:rPr>
                    <m:t>z</m:t>
                  </m:r>
                </m:e>
              </m:acc>
            </m:oMath>
            <w:r>
              <w:t xml:space="preserve"> is the vector of changes in the mean trait values, </w:t>
            </w:r>
            <m:oMath>
              <m:r>
                <m:rPr>
                  <m:sty m:val="b"/>
                </m:rPr>
                <w:rPr>
                  <w:rFonts w:ascii="Cambria Math" w:hAnsi="Cambria Math"/>
                </w:rPr>
                <m:t>G</m:t>
              </m:r>
            </m:oMath>
            <w:r>
              <w:t xml:space="preserve"> is the genetic covariance matrix and </w:t>
            </w:r>
            <m:oMath>
              <m:r>
                <m:rPr>
                  <m:sty m:val="b"/>
                </m:rPr>
                <w:rPr>
                  <w:rFonts w:ascii="Cambria Math" w:hAnsi="Cambria Math"/>
                </w:rPr>
                <m:t>β</m:t>
              </m:r>
            </m:oMath>
            <w:r>
              <w:t xml:space="preserve"> is the vector of standardised selection gradients that regress each trait on relative fitness (i.e., </w:t>
            </w:r>
            <m:oMath>
              <m:r>
                <m:rPr>
                  <m:sty m:val="b"/>
                </m:rPr>
                <w:rPr>
                  <w:rFonts w:ascii="Cambria Math" w:hAnsi="Cambria Math"/>
                </w:rPr>
                <m:t>ω</m:t>
              </m:r>
              <m:r>
                <m:rPr>
                  <m:sty m:val="p"/>
                </m:rPr>
                <w:rPr>
                  <w:rFonts w:ascii="Cambria Math" w:hAnsi="Cambria Math"/>
                </w:rPr>
                <m:t>=</m:t>
              </m:r>
              <m:r>
                <m:rPr>
                  <m:sty m:val="b"/>
                </m:rPr>
                <w:rPr>
                  <w:rFonts w:ascii="Cambria Math" w:hAnsi="Cambria Math"/>
                </w:rPr>
                <m:t>α</m:t>
              </m:r>
              <m:r>
                <m:rPr>
                  <m:sty m:val="p"/>
                </m:rPr>
                <w:rPr>
                  <w:rFonts w:ascii="Cambria Math" w:hAnsi="Cambria Math"/>
                </w:rPr>
                <m:t>+</m:t>
              </m:r>
              <m:sSup>
                <m:sSupPr>
                  <m:ctrlPr>
                    <w:rPr>
                      <w:rFonts w:ascii="Cambria Math" w:hAnsi="Cambria Math"/>
                    </w:rPr>
                  </m:ctrlPr>
                </m:sSupPr>
                <m:e>
                  <m:r>
                    <m:rPr>
                      <m:sty m:val="b"/>
                    </m:rPr>
                    <w:rPr>
                      <w:rFonts w:ascii="Cambria Math" w:hAnsi="Cambria Math"/>
                    </w:rPr>
                    <m:t>β</m:t>
                  </m:r>
                </m:e>
                <m:sup>
                  <m:r>
                    <m:rPr>
                      <m:sty m:val="b"/>
                    </m:rPr>
                    <w:rPr>
                      <w:rFonts w:ascii="Cambria Math" w:hAnsi="Cambria Math"/>
                    </w:rPr>
                    <m:t>T</m:t>
                  </m:r>
                </m:sup>
              </m:sSup>
              <m:r>
                <m:rPr>
                  <m:sty m:val="p"/>
                </m:rPr>
                <w:rPr>
                  <w:rFonts w:ascii="Cambria Math" w:hAnsi="Cambria Math"/>
                </w:rPr>
                <m:t>⋅</m:t>
              </m:r>
              <m:r>
                <m:rPr>
                  <m:sty m:val="b"/>
                </m:rPr>
                <w:rPr>
                  <w:rFonts w:ascii="Cambria Math" w:hAnsi="Cambria Math"/>
                </w:rPr>
                <m:t>z</m:t>
              </m:r>
              <m:r>
                <m:rPr>
                  <m:sty m:val="p"/>
                </m:rPr>
                <w:rPr>
                  <w:rFonts w:ascii="Cambria Math" w:hAnsi="Cambria Math"/>
                </w:rPr>
                <m:t>+</m:t>
              </m:r>
              <m:r>
                <m:rPr>
                  <m:sty m:val="b"/>
                </m:rPr>
                <w:rPr>
                  <w:rFonts w:ascii="Cambria Math" w:hAnsi="Cambria Math"/>
                </w:rPr>
                <m:t>e</m:t>
              </m:r>
            </m:oMath>
            <w:r>
              <w:t>; [87]). Plasticity can be captured by mapping trait development to the environment and incorporating environmental variability into the Breeders equation [see also, 88]. While the multivariate breeders equation can be useful for predicting short term evolutionary responses (i.e., one or a few generations) it likely has limited in predictive power over longer timespans because of changes in heritability and selection through time, which is a future challenge [81,87].</w:t>
            </w:r>
          </w:p>
        </w:tc>
      </w:tr>
    </w:tbl>
    <w:p w14:paraId="5B5BFA01" w14:textId="77777777" w:rsidR="00542893" w:rsidRDefault="00000000">
      <w:pPr>
        <w:pStyle w:val="BodyText"/>
      </w:pPr>
      <w:r>
        <w:t xml:space="preserve"> </w:t>
      </w:r>
    </w:p>
    <w:tbl>
      <w:tblPr>
        <w:tblStyle w:val="Table"/>
        <w:tblW w:w="0" w:type="auto"/>
        <w:tblInd w:w="164" w:type="dxa"/>
        <w:tblBorders>
          <w:left w:val="single" w:sz="24" w:space="0" w:color="0758E5"/>
        </w:tblBorders>
        <w:tblCellMar>
          <w:left w:w="0" w:type="dxa"/>
          <w:right w:w="0" w:type="dxa"/>
        </w:tblCellMar>
        <w:tblLook w:val="0000" w:firstRow="0" w:lastRow="0" w:firstColumn="0" w:lastColumn="0" w:noHBand="0" w:noVBand="0"/>
      </w:tblPr>
      <w:tblGrid>
        <w:gridCol w:w="10344"/>
      </w:tblGrid>
      <w:tr w:rsidR="00542893" w14:paraId="47E64F75" w14:textId="77777777">
        <w:trPr>
          <w:cantSplit/>
        </w:trPr>
        <w:tc>
          <w:tcPr>
            <w:tcW w:w="0" w:type="auto"/>
            <w:tcMar>
              <w:left w:w="144" w:type="dxa"/>
            </w:tcMar>
          </w:tcPr>
          <w:p w14:paraId="7292DA97" w14:textId="77777777" w:rsidR="00542893" w:rsidRDefault="00000000">
            <w:pPr>
              <w:pStyle w:val="BodyText"/>
              <w:spacing w:before="16" w:after="64"/>
            </w:pPr>
            <w:r>
              <w:rPr>
                <w:b/>
                <w:bCs/>
              </w:rPr>
              <w:lastRenderedPageBreak/>
              <w:t>Outstanding Questions</w:t>
            </w:r>
          </w:p>
          <w:p w14:paraId="04894B2B" w14:textId="77777777" w:rsidR="00D43B7A" w:rsidRDefault="00D43B7A" w:rsidP="00D43B7A">
            <w:pPr>
              <w:pStyle w:val="Compact"/>
              <w:numPr>
                <w:ilvl w:val="0"/>
                <w:numId w:val="86"/>
              </w:numPr>
            </w:pPr>
            <w:r>
              <w:t xml:space="preserve">For data deficient species, can we use parameters of </w:t>
            </w:r>
            <w:commentRangeStart w:id="16"/>
            <w:r>
              <w:t xml:space="preserve">closely related species at predicting the </w:t>
            </w:r>
            <w:commentRangeEnd w:id="16"/>
            <w:r w:rsidR="00C03DC8">
              <w:rPr>
                <w:rStyle w:val="CommentReference"/>
                <w:rFonts w:asciiTheme="minorHAnsi" w:hAnsiTheme="minorHAnsi"/>
              </w:rPr>
              <w:commentReference w:id="16"/>
            </w:r>
            <w:r>
              <w:t>impacts of extreme heat for species lacking data?</w:t>
            </w:r>
          </w:p>
          <w:p w14:paraId="22155B1C" w14:textId="77777777" w:rsidR="00D43B7A" w:rsidRDefault="00D43B7A" w:rsidP="00D43B7A">
            <w:pPr>
              <w:pStyle w:val="Compact"/>
              <w:numPr>
                <w:ilvl w:val="0"/>
                <w:numId w:val="86"/>
              </w:numPr>
            </w:pPr>
            <w:r>
              <w:t>How can we capture rapid and longer-term evolutionary responses of interacting species to extreme heat in a systems-modelling framework?</w:t>
            </w:r>
          </w:p>
          <w:p w14:paraId="2854F446" w14:textId="77777777" w:rsidR="00D43B7A" w:rsidRDefault="00D43B7A" w:rsidP="00D43B7A">
            <w:pPr>
              <w:pStyle w:val="Compact"/>
              <w:numPr>
                <w:ilvl w:val="0"/>
                <w:numId w:val="86"/>
              </w:numPr>
            </w:pPr>
            <w:r>
              <w:t>Can we use thermal load sensitivity models to describe heat damage to plant tissues?</w:t>
            </w:r>
          </w:p>
          <w:p w14:paraId="5E2BF69F" w14:textId="77777777" w:rsidR="00D43B7A" w:rsidRDefault="00D43B7A" w:rsidP="00D43B7A">
            <w:pPr>
              <w:pStyle w:val="Compact"/>
              <w:numPr>
                <w:ilvl w:val="0"/>
                <w:numId w:val="86"/>
              </w:numPr>
            </w:pPr>
            <w:r>
              <w:t>For plant species, can we build and couple dynamic energy budget models to predict how extreme heat will impact tissue and life cycle dynamics more accurately?</w:t>
            </w:r>
          </w:p>
          <w:p w14:paraId="57A11FC1" w14:textId="77777777" w:rsidR="00D43B7A" w:rsidRDefault="00D43B7A" w:rsidP="00D43B7A">
            <w:pPr>
              <w:pStyle w:val="Compact"/>
              <w:numPr>
                <w:ilvl w:val="0"/>
                <w:numId w:val="86"/>
              </w:numPr>
            </w:pPr>
            <w:r>
              <w:t>How do multiple stressors in anthropogenically modified environments interact with extreme heat to impact organisms, populations and communities?</w:t>
            </w:r>
          </w:p>
          <w:p w14:paraId="5B4C21D4" w14:textId="77777777" w:rsidR="00D43B7A" w:rsidRDefault="00D43B7A" w:rsidP="00D43B7A">
            <w:pPr>
              <w:pStyle w:val="Compact"/>
              <w:numPr>
                <w:ilvl w:val="0"/>
                <w:numId w:val="86"/>
              </w:numPr>
            </w:pPr>
            <w:r>
              <w:t>How will extreme heat impact species coexistence and functional trait diversity in natural and agricultural systems?</w:t>
            </w:r>
          </w:p>
          <w:p w14:paraId="12BA9F61" w14:textId="77777777" w:rsidR="00D43B7A" w:rsidRDefault="00D43B7A" w:rsidP="00D43B7A">
            <w:pPr>
              <w:pStyle w:val="Compact"/>
              <w:numPr>
                <w:ilvl w:val="0"/>
                <w:numId w:val="86"/>
              </w:numPr>
            </w:pPr>
            <w:r>
              <w:t>How can we quantify microhabitat complexity to robustly and accurately capture the heat responses of animal, plants and microbes and their interactions?</w:t>
            </w:r>
          </w:p>
          <w:p w14:paraId="06D8D815" w14:textId="1C810C28" w:rsidR="00542893" w:rsidRDefault="00D43B7A" w:rsidP="00D43B7A">
            <w:pPr>
              <w:pStyle w:val="Compact"/>
              <w:numPr>
                <w:ilvl w:val="0"/>
                <w:numId w:val="86"/>
              </w:numPr>
            </w:pPr>
            <w:r>
              <w:t>How will thermal stress to natural ecosystems and food production systems impact people?</w:t>
            </w:r>
          </w:p>
        </w:tc>
      </w:tr>
    </w:tbl>
    <w:p w14:paraId="69830D53" w14:textId="77777777" w:rsidR="00542893" w:rsidRDefault="00000000">
      <w:pPr>
        <w:pStyle w:val="Heading1"/>
      </w:pPr>
      <w:bookmarkStart w:id="17" w:name="concluding-remarks"/>
      <w:bookmarkEnd w:id="13"/>
      <w:r>
        <w:t>Concluding Remarks</w:t>
      </w:r>
    </w:p>
    <w:p w14:paraId="63A3107A" w14:textId="77777777" w:rsidR="00542893" w:rsidRDefault="00000000">
      <w:pPr>
        <w:pStyle w:val="FirstParagraph"/>
      </w:pPr>
      <w:r>
        <w:t xml:space="preserve">Implementing a systems-modelling approach will no doubt be challenging, particularly for complex communities, and knowledge gaps remain (see </w:t>
      </w:r>
      <w:r>
        <w:rPr>
          <w:b/>
          <w:bCs/>
        </w:rPr>
        <w:t>Outstanding Questions</w:t>
      </w:r>
      <w:r>
        <w:t xml:space="preserve">). However, more mechanistic approaches that encapsulate key biological processes (physiology, behaviour, phenology, species interactions and eco-evolutionary dynamics - </w:t>
      </w:r>
      <w:r>
        <w:rPr>
          <w:b/>
          <w:bCs/>
        </w:rPr>
        <w:t>Box 3</w:t>
      </w:r>
      <w:r>
        <w:t>) are needed now, more than ever, to better predict biological responses to extreme heat [47,89]. Coupled mechanistic models within and across species are expected to have improved predictive power when extrapolated to new conditions and can help better integrate interacting processes [17,89]. Nonetheless, a systems modelling approach will require a solid foundation of species natural history, diverse modelling expertise, and a concerted effort to collect and collate trait and environmental data for model building and validation. However, there are exciting new tools and data that are making overcoming these challenges more feasible [23], and careful consideration of the key processes important to a system can help alleviate these challenges [17]. For example, large databases of physiological traits for both plants and animals now exist [e.g., 90,91] and advanced missing data approaches can help estimate likely parameters for data deficient species [e.g., 62]. In addition, ever more sophisticated and powerful computational pipelines (e.g. </w:t>
      </w:r>
      <w:r>
        <w:rPr>
          <w:i/>
          <w:iCs/>
        </w:rPr>
        <w:t>NicheMapR</w:t>
      </w:r>
      <w:r>
        <w:t xml:space="preserve">, </w:t>
      </w:r>
      <w:r>
        <w:rPr>
          <w:i/>
          <w:iCs/>
        </w:rPr>
        <w:t>TrenchR</w:t>
      </w:r>
      <w:r>
        <w:t xml:space="preserve">, </w:t>
      </w:r>
      <w:r>
        <w:rPr>
          <w:i/>
          <w:iCs/>
        </w:rPr>
        <w:t>mcera5</w:t>
      </w:r>
      <w:r>
        <w:t xml:space="preserve">, </w:t>
      </w:r>
      <w:r>
        <w:rPr>
          <w:i/>
          <w:iCs/>
        </w:rPr>
        <w:t>terra</w:t>
      </w:r>
      <w:r>
        <w:t xml:space="preserve"> in R) make it easier to implement and connect models. Model selection and validation are important steps in any modelling process and will be more complicated when applied to entire systems. However, starting with a simpler model, validating predictions with empirical data and then adding complexity as needed can make building systems models more tractable [17]. Even simple models that compare counterfactual scenarios may provide important quantitative insights into the impacts of extreme heat on organisms, populations and communities [92–94]. Such insights can form the basis for prediction-driven solutions for mitigating the impacts of extreme heat on biodiversity. By working collaboratively and integratively we can develop a more quantitative and predictive understanding of the impacts that extreme heat will have on organisms, populations, and communities along with how to mitigate these impacts to preserve diverse systems now and into the future.</w:t>
      </w:r>
    </w:p>
    <w:p w14:paraId="01BC04AC" w14:textId="77777777" w:rsidR="00542893" w:rsidRDefault="00000000">
      <w:pPr>
        <w:pStyle w:val="Heading1"/>
      </w:pPr>
      <w:bookmarkStart w:id="18" w:name="acknowledgements"/>
      <w:bookmarkEnd w:id="17"/>
      <w:r>
        <w:t>Acknowledgements</w:t>
      </w:r>
    </w:p>
    <w:p w14:paraId="250BE0A0" w14:textId="77777777" w:rsidR="00542893" w:rsidRDefault="00000000">
      <w:pPr>
        <w:pStyle w:val="FirstParagraph"/>
      </w:pPr>
      <w:r>
        <w:t xml:space="preserve">We would like to thank Pieter Arnold, Joel Treutlein and Patrice Pottier for helpful comments on previous versions of this manuscript. We would also like to thank the Editor and three anonymous reviewers who provided very constructive feedback on earlier versions of our manuscript. DWAN and S.J.L. are supported </w:t>
      </w:r>
      <w:r>
        <w:lastRenderedPageBreak/>
        <w:t>by an ARC Future Fellowship (FT220100276 to DWAN and FT200100381 to S.J.L.). We would also like to thank The Australian National University, the University of Melbourne and Western Sydney University for funding to support workshops that helped develop this manuscript.</w:t>
      </w:r>
    </w:p>
    <w:p w14:paraId="53B51F0F" w14:textId="77777777" w:rsidR="00542893" w:rsidRDefault="00000000">
      <w:pPr>
        <w:pStyle w:val="Heading1"/>
      </w:pPr>
      <w:bookmarkStart w:id="19" w:name="data-and-code"/>
      <w:bookmarkEnd w:id="18"/>
      <w:r>
        <w:t>Data and Code</w:t>
      </w:r>
    </w:p>
    <w:p w14:paraId="6675777C" w14:textId="77777777" w:rsidR="00542893" w:rsidRDefault="00000000">
      <w:pPr>
        <w:pStyle w:val="FirstParagraph"/>
      </w:pPr>
      <w:r>
        <w:t>Link to the data and code used to for examples in Box 1 and 2 can be found here: https://daniel1noble.github.io/thermal_tol_interactions/ with the full set of files being located on our GitHub repository at https://github.com/daniel1noble/thermal_tol_interactions.</w:t>
      </w:r>
    </w:p>
    <w:p w14:paraId="4375C59C" w14:textId="77777777" w:rsidR="00542893" w:rsidRDefault="00000000">
      <w:pPr>
        <w:pStyle w:val="Heading1"/>
      </w:pPr>
      <w:bookmarkStart w:id="20" w:name="references"/>
      <w:bookmarkEnd w:id="19"/>
      <w:r>
        <w:t>References</w:t>
      </w:r>
    </w:p>
    <w:p w14:paraId="182ACB4A" w14:textId="77777777" w:rsidR="00542893" w:rsidRDefault="00542893">
      <w:pPr>
        <w:pStyle w:val="FirstParagraph"/>
      </w:pPr>
    </w:p>
    <w:p w14:paraId="3CC592A6" w14:textId="77777777" w:rsidR="00542893" w:rsidRDefault="00000000">
      <w:pPr>
        <w:pStyle w:val="Bibliography"/>
      </w:pPr>
      <w:bookmarkStart w:id="21" w:name="ref-Barriopedro2023"/>
      <w:bookmarkStart w:id="22" w:name="refs"/>
      <w:r>
        <w:t xml:space="preserve">1. </w:t>
      </w:r>
      <w:r>
        <w:tab/>
        <w:t xml:space="preserve">Barriopedro, D. </w:t>
      </w:r>
      <w:r>
        <w:rPr>
          <w:i/>
          <w:iCs/>
        </w:rPr>
        <w:t>et al.</w:t>
      </w:r>
      <w:r>
        <w:t xml:space="preserve"> (2023) Heat waves: Physical understanding and scientific challenges. </w:t>
      </w:r>
      <w:r>
        <w:rPr>
          <w:i/>
          <w:iCs/>
        </w:rPr>
        <w:t>Rev. Geophys.</w:t>
      </w:r>
      <w:r>
        <w:t xml:space="preserve"> 61, e2022RG000780</w:t>
      </w:r>
    </w:p>
    <w:p w14:paraId="0297D010" w14:textId="77777777" w:rsidR="00542893" w:rsidRDefault="00000000">
      <w:pPr>
        <w:pStyle w:val="Bibliography"/>
      </w:pPr>
      <w:bookmarkStart w:id="23" w:name="ref-Perkins-Kirkpatrick2020"/>
      <w:bookmarkEnd w:id="21"/>
      <w:r>
        <w:t xml:space="preserve">2. </w:t>
      </w:r>
      <w:r>
        <w:tab/>
        <w:t xml:space="preserve">Perkins‐Kirkpatrick, S. and Lewis, S.C. (2020) </w:t>
      </w:r>
      <w:hyperlink r:id="rId13">
        <w:r w:rsidR="00542893">
          <w:rPr>
            <w:rStyle w:val="Hyperlink"/>
          </w:rPr>
          <w:t>Increasing trends in regional heatwaves</w:t>
        </w:r>
      </w:hyperlink>
      <w:r>
        <w:t xml:space="preserve">. </w:t>
      </w:r>
      <w:r>
        <w:rPr>
          <w:i/>
          <w:iCs/>
        </w:rPr>
        <w:t>Nat. Commun.</w:t>
      </w:r>
      <w:r>
        <w:t xml:space="preserve"> 11, 3357</w:t>
      </w:r>
    </w:p>
    <w:p w14:paraId="15159C8E" w14:textId="77777777" w:rsidR="00542893" w:rsidRDefault="00000000">
      <w:pPr>
        <w:pStyle w:val="Bibliography"/>
      </w:pPr>
      <w:bookmarkStart w:id="24" w:name="ref-Evans2025"/>
      <w:bookmarkEnd w:id="23"/>
      <w:r>
        <w:t xml:space="preserve">3. </w:t>
      </w:r>
      <w:r>
        <w:tab/>
        <w:t xml:space="preserve">Evans, M.E.K. </w:t>
      </w:r>
      <w:r>
        <w:rPr>
          <w:i/>
          <w:iCs/>
        </w:rPr>
        <w:t>et al.</w:t>
      </w:r>
      <w:r>
        <w:t xml:space="preserve"> (2025) </w:t>
      </w:r>
      <w:hyperlink r:id="rId14">
        <w:r w:rsidR="00542893">
          <w:rPr>
            <w:rStyle w:val="Hyperlink"/>
          </w:rPr>
          <w:t>Scaling plant responses to heat: From molecules to the biosphere</w:t>
        </w:r>
      </w:hyperlink>
      <w:r>
        <w:t xml:space="preserve">. </w:t>
      </w:r>
      <w:r>
        <w:rPr>
          <w:i/>
          <w:iCs/>
        </w:rPr>
        <w:t>Science</w:t>
      </w:r>
      <w:r>
        <w:t xml:space="preserve"> 388, 1167–1173</w:t>
      </w:r>
    </w:p>
    <w:p w14:paraId="7923A38A" w14:textId="77777777" w:rsidR="00542893" w:rsidRDefault="00000000">
      <w:pPr>
        <w:pStyle w:val="Bibliography"/>
      </w:pPr>
      <w:bookmarkStart w:id="25" w:name="ref-Margalef-Marrase2020"/>
      <w:bookmarkEnd w:id="24"/>
      <w:r>
        <w:t xml:space="preserve">4. </w:t>
      </w:r>
      <w:r>
        <w:tab/>
        <w:t xml:space="preserve">Margalef-Marrase, J. </w:t>
      </w:r>
      <w:r>
        <w:rPr>
          <w:i/>
          <w:iCs/>
        </w:rPr>
        <w:t>et al.</w:t>
      </w:r>
      <w:r>
        <w:t xml:space="preserve"> (2020) Relationship between heatwave-induced forest die-off and climatic suitability in multiple tree species. </w:t>
      </w:r>
      <w:r>
        <w:rPr>
          <w:i/>
          <w:iCs/>
        </w:rPr>
        <w:t>Global Change Biology</w:t>
      </w:r>
      <w:r>
        <w:t xml:space="preserve"> 26, 3134–3146</w:t>
      </w:r>
    </w:p>
    <w:p w14:paraId="6745DF90" w14:textId="77777777" w:rsidR="00542893" w:rsidRDefault="00000000">
      <w:pPr>
        <w:pStyle w:val="Bibliography"/>
      </w:pPr>
      <w:bookmarkStart w:id="26" w:name="ref-Kazenel2024"/>
      <w:bookmarkEnd w:id="25"/>
      <w:r>
        <w:t xml:space="preserve">5. </w:t>
      </w:r>
      <w:r>
        <w:tab/>
        <w:t xml:space="preserve">Kazenel, M.R. </w:t>
      </w:r>
      <w:r>
        <w:rPr>
          <w:i/>
          <w:iCs/>
        </w:rPr>
        <w:t>et al.</w:t>
      </w:r>
      <w:r>
        <w:t xml:space="preserve"> (2024) Heat and desiccation tolerances predict bee abundance under climate change. </w:t>
      </w:r>
      <w:r>
        <w:rPr>
          <w:i/>
          <w:iCs/>
        </w:rPr>
        <w:t>Nature</w:t>
      </w:r>
      <w:r>
        <w:t xml:space="preserve"> 628, 342–348</w:t>
      </w:r>
    </w:p>
    <w:p w14:paraId="7E9E8FDE" w14:textId="77777777" w:rsidR="00542893" w:rsidRDefault="00000000">
      <w:pPr>
        <w:pStyle w:val="Bibliography"/>
      </w:pPr>
      <w:bookmarkStart w:id="27" w:name="ref-Zhao2017"/>
      <w:bookmarkEnd w:id="26"/>
      <w:r>
        <w:t xml:space="preserve">6. </w:t>
      </w:r>
      <w:r>
        <w:tab/>
        <w:t xml:space="preserve">Zhao, C. </w:t>
      </w:r>
      <w:r>
        <w:rPr>
          <w:i/>
          <w:iCs/>
        </w:rPr>
        <w:t>et al.</w:t>
      </w:r>
      <w:r>
        <w:t xml:space="preserve"> (2017) Temperature increase reduces global yields of major crops in four independent estimates. </w:t>
      </w:r>
      <w:r>
        <w:rPr>
          <w:i/>
          <w:iCs/>
        </w:rPr>
        <w:t>Proc. Natl. Acad. Sci. U. S. A.</w:t>
      </w:r>
      <w:r>
        <w:t xml:space="preserve"> 114, 9326–9331</w:t>
      </w:r>
    </w:p>
    <w:p w14:paraId="240241D1" w14:textId="77777777" w:rsidR="00542893" w:rsidRDefault="00000000">
      <w:pPr>
        <w:pStyle w:val="Bibliography"/>
      </w:pPr>
      <w:bookmarkStart w:id="28" w:name="ref-Tito2018"/>
      <w:bookmarkEnd w:id="27"/>
      <w:r>
        <w:t xml:space="preserve">7. </w:t>
      </w:r>
      <w:r>
        <w:tab/>
        <w:t xml:space="preserve">Tito, R. </w:t>
      </w:r>
      <w:r>
        <w:rPr>
          <w:i/>
          <w:iCs/>
        </w:rPr>
        <w:t>et al.</w:t>
      </w:r>
      <w:r>
        <w:t xml:space="preserve"> (2018) Global climate change increases risk of crop yield losses and food insecurity in the tropical andes. </w:t>
      </w:r>
      <w:r>
        <w:rPr>
          <w:i/>
          <w:iCs/>
        </w:rPr>
        <w:t>Global change biology</w:t>
      </w:r>
      <w:r>
        <w:t xml:space="preserve"> 24, e592–e602</w:t>
      </w:r>
    </w:p>
    <w:p w14:paraId="05A3C6AC" w14:textId="77777777" w:rsidR="00542893" w:rsidRDefault="00000000">
      <w:pPr>
        <w:pStyle w:val="Bibliography"/>
      </w:pPr>
      <w:bookmarkStart w:id="29" w:name="ref-Bernacchi2025"/>
      <w:bookmarkEnd w:id="28"/>
      <w:r>
        <w:t xml:space="preserve">8. </w:t>
      </w:r>
      <w:r>
        <w:tab/>
        <w:t xml:space="preserve">Bernacchi, C.J. </w:t>
      </w:r>
      <w:r>
        <w:rPr>
          <w:i/>
          <w:iCs/>
        </w:rPr>
        <w:t>et al.</w:t>
      </w:r>
      <w:r>
        <w:t xml:space="preserve"> (2025) </w:t>
      </w:r>
      <w:hyperlink r:id="rId15">
        <w:r w:rsidR="00542893">
          <w:rPr>
            <w:rStyle w:val="Hyperlink"/>
          </w:rPr>
          <w:t>Safeguarding crop photosynthesis in a rapidly warming world</w:t>
        </w:r>
      </w:hyperlink>
      <w:r>
        <w:t xml:space="preserve">. </w:t>
      </w:r>
      <w:r>
        <w:rPr>
          <w:i/>
          <w:iCs/>
        </w:rPr>
        <w:t>Science</w:t>
      </w:r>
      <w:r>
        <w:t xml:space="preserve"> 388, 1153–1160</w:t>
      </w:r>
    </w:p>
    <w:p w14:paraId="77095C7E" w14:textId="77777777" w:rsidR="00542893" w:rsidRDefault="00000000">
      <w:pPr>
        <w:pStyle w:val="Bibliography"/>
      </w:pPr>
      <w:bookmarkStart w:id="30" w:name="ref-Martinez2023"/>
      <w:bookmarkEnd w:id="29"/>
      <w:r>
        <w:t xml:space="preserve">9. </w:t>
      </w:r>
      <w:r>
        <w:tab/>
        <w:t xml:space="preserve">Martinez, L.D. </w:t>
      </w:r>
      <w:r>
        <w:rPr>
          <w:i/>
          <w:iCs/>
        </w:rPr>
        <w:t>et al.</w:t>
      </w:r>
      <w:r>
        <w:t xml:space="preserve"> (2023) </w:t>
      </w:r>
      <w:hyperlink r:id="rId16">
        <w:r w:rsidR="00542893">
          <w:rPr>
            <w:rStyle w:val="Hyperlink"/>
          </w:rPr>
          <w:t>Effect of simulated heat waves on the behaviour of two mirid predators</w:t>
        </w:r>
      </w:hyperlink>
      <w:r>
        <w:t xml:space="preserve">. </w:t>
      </w:r>
      <w:r>
        <w:rPr>
          <w:i/>
          <w:iCs/>
        </w:rPr>
        <w:t>J. Appl. Entomol.</w:t>
      </w:r>
      <w:r>
        <w:t xml:space="preserve"> 147, 486–498</w:t>
      </w:r>
    </w:p>
    <w:p w14:paraId="3D2E4DD4" w14:textId="77777777" w:rsidR="00542893" w:rsidRDefault="00000000">
      <w:pPr>
        <w:pStyle w:val="Bibliography"/>
      </w:pPr>
      <w:bookmarkStart w:id="31" w:name="ref-Rezende2020"/>
      <w:bookmarkEnd w:id="30"/>
      <w:r>
        <w:t xml:space="preserve">10. </w:t>
      </w:r>
      <w:r>
        <w:tab/>
        <w:t xml:space="preserve">Rezende, E.L. </w:t>
      </w:r>
      <w:r>
        <w:rPr>
          <w:i/>
          <w:iCs/>
        </w:rPr>
        <w:t>et al.</w:t>
      </w:r>
      <w:r>
        <w:t xml:space="preserve"> (2020) </w:t>
      </w:r>
      <w:hyperlink r:id="rId17">
        <w:r w:rsidR="00542893">
          <w:rPr>
            <w:rStyle w:val="Hyperlink"/>
          </w:rPr>
          <w:t>Predicting temperature mortality and selection in natural drosophila populations</w:t>
        </w:r>
      </w:hyperlink>
      <w:r>
        <w:t xml:space="preserve">. </w:t>
      </w:r>
      <w:r>
        <w:rPr>
          <w:i/>
          <w:iCs/>
        </w:rPr>
        <w:t>Science</w:t>
      </w:r>
      <w:r>
        <w:t xml:space="preserve"> 369, 1242–1245</w:t>
      </w:r>
    </w:p>
    <w:p w14:paraId="346C81D4" w14:textId="77777777" w:rsidR="00542893" w:rsidRDefault="00000000">
      <w:pPr>
        <w:pStyle w:val="Bibliography"/>
      </w:pPr>
      <w:bookmarkStart w:id="32" w:name="ref-Orsted2024"/>
      <w:bookmarkEnd w:id="31"/>
      <w:r>
        <w:t xml:space="preserve">11. </w:t>
      </w:r>
      <w:r>
        <w:tab/>
        <w:t xml:space="preserve">Ørsted, M. </w:t>
      </w:r>
      <w:r>
        <w:rPr>
          <w:i/>
          <w:iCs/>
        </w:rPr>
        <w:t>et al.</w:t>
      </w:r>
      <w:r>
        <w:t xml:space="preserve"> (2024) Thermal limits of survival and reproduction depend on stress duration: A case study of drosophila suzukii. </w:t>
      </w:r>
      <w:r>
        <w:rPr>
          <w:i/>
          <w:iCs/>
        </w:rPr>
        <w:t>Ecol. Lett.</w:t>
      </w:r>
      <w:r>
        <w:t xml:space="preserve"> 27, e14421</w:t>
      </w:r>
    </w:p>
    <w:p w14:paraId="41BD6441" w14:textId="77777777" w:rsidR="00542893" w:rsidRDefault="00000000">
      <w:pPr>
        <w:pStyle w:val="Bibliography"/>
      </w:pPr>
      <w:bookmarkStart w:id="33" w:name="ref-Lopez-Goldar2024"/>
      <w:bookmarkEnd w:id="32"/>
      <w:r>
        <w:t xml:space="preserve">12. </w:t>
      </w:r>
      <w:r>
        <w:tab/>
        <w:t xml:space="preserve">López-Goldar, X. </w:t>
      </w:r>
      <w:r>
        <w:rPr>
          <w:i/>
          <w:iCs/>
        </w:rPr>
        <w:t>et al.</w:t>
      </w:r>
      <w:r>
        <w:t xml:space="preserve"> (2024) </w:t>
      </w:r>
      <w:hyperlink r:id="rId18">
        <w:r w:rsidR="00542893">
          <w:rPr>
            <w:rStyle w:val="Hyperlink"/>
          </w:rPr>
          <w:t>Heat waves induce milkweed resistance to a specialist herbivore via increased toxicity and reduced nutrient content</w:t>
        </w:r>
      </w:hyperlink>
      <w:r>
        <w:t xml:space="preserve">. </w:t>
      </w:r>
      <w:r>
        <w:rPr>
          <w:i/>
          <w:iCs/>
        </w:rPr>
        <w:t>Plant Cell Environ.</w:t>
      </w:r>
      <w:r>
        <w:t xml:space="preserve"> 47, 4530–4542</w:t>
      </w:r>
    </w:p>
    <w:p w14:paraId="19BBDAF9" w14:textId="77777777" w:rsidR="00542893" w:rsidRDefault="00000000">
      <w:pPr>
        <w:pStyle w:val="Bibliography"/>
      </w:pPr>
      <w:bookmarkStart w:id="34" w:name="ref-Trivedi2022"/>
      <w:bookmarkEnd w:id="33"/>
      <w:r>
        <w:t xml:space="preserve">13. </w:t>
      </w:r>
      <w:r>
        <w:tab/>
        <w:t xml:space="preserve">Trivedi, P. </w:t>
      </w:r>
      <w:r>
        <w:rPr>
          <w:i/>
          <w:iCs/>
        </w:rPr>
        <w:t>et al.</w:t>
      </w:r>
      <w:r>
        <w:t xml:space="preserve"> (2022) Plant–microbiome interactions under a changing world: Responses, consequences and perspectives. </w:t>
      </w:r>
      <w:r>
        <w:rPr>
          <w:i/>
          <w:iCs/>
        </w:rPr>
        <w:t>New Phytol.</w:t>
      </w:r>
      <w:r>
        <w:t xml:space="preserve"> 234, 1951–1959</w:t>
      </w:r>
    </w:p>
    <w:p w14:paraId="56CC2F43" w14:textId="77777777" w:rsidR="00542893" w:rsidRDefault="00000000">
      <w:pPr>
        <w:pStyle w:val="Bibliography"/>
      </w:pPr>
      <w:bookmarkStart w:id="35" w:name="ref-Kooijman2010"/>
      <w:bookmarkEnd w:id="34"/>
      <w:r>
        <w:lastRenderedPageBreak/>
        <w:t xml:space="preserve">14. </w:t>
      </w:r>
      <w:r>
        <w:tab/>
        <w:t xml:space="preserve">Kooijman, S.A.L.M. (2010) </w:t>
      </w:r>
      <w:r>
        <w:rPr>
          <w:i/>
          <w:iCs/>
        </w:rPr>
        <w:t>Dynamic energy budget theory for metabolic organisation</w:t>
      </w:r>
      <w:r>
        <w:t>, Cambridge university press</w:t>
      </w:r>
    </w:p>
    <w:p w14:paraId="723E0F01" w14:textId="77777777" w:rsidR="00542893" w:rsidRDefault="00000000">
      <w:pPr>
        <w:pStyle w:val="Bibliography"/>
      </w:pPr>
      <w:bookmarkStart w:id="36" w:name="ref-Kearney2009b"/>
      <w:bookmarkEnd w:id="35"/>
      <w:r>
        <w:t xml:space="preserve">15. </w:t>
      </w:r>
      <w:r>
        <w:tab/>
        <w:t xml:space="preserve">Kearney, M. and Porter, W. (2009) Mechanistic niche modelling: Combining physiological and spatial data to predict species’ ranges. </w:t>
      </w:r>
      <w:r>
        <w:rPr>
          <w:i/>
          <w:iCs/>
        </w:rPr>
        <w:t>Ecol. Lett.</w:t>
      </w:r>
      <w:r>
        <w:t xml:space="preserve"> 12, 334–350</w:t>
      </w:r>
    </w:p>
    <w:p w14:paraId="51D28842" w14:textId="77777777" w:rsidR="00542893" w:rsidRDefault="00000000">
      <w:pPr>
        <w:pStyle w:val="Bibliography"/>
      </w:pPr>
      <w:bookmarkStart w:id="37" w:name="ref-Kearney2024"/>
      <w:bookmarkEnd w:id="36"/>
      <w:r>
        <w:t xml:space="preserve">16. </w:t>
      </w:r>
      <w:r>
        <w:tab/>
        <w:t xml:space="preserve">Kearney, M.R. and Leigh, A. (2024) </w:t>
      </w:r>
      <w:hyperlink r:id="rId19">
        <w:r w:rsidR="00542893">
          <w:rPr>
            <w:rStyle w:val="Hyperlink"/>
          </w:rPr>
          <w:t>Fast, accurate and accessible calculations of leaf temperature and its physiological consequences with NicheMapR</w:t>
        </w:r>
      </w:hyperlink>
      <w:r>
        <w:t xml:space="preserve">. </w:t>
      </w:r>
      <w:r>
        <w:rPr>
          <w:i/>
          <w:iCs/>
        </w:rPr>
        <w:t>Methods Ecol. Evol.</w:t>
      </w:r>
      <w:r>
        <w:t xml:space="preserve"> 15, 1516–1531</w:t>
      </w:r>
    </w:p>
    <w:p w14:paraId="14C21F3A" w14:textId="77777777" w:rsidR="00542893" w:rsidRDefault="00000000">
      <w:pPr>
        <w:pStyle w:val="Bibliography"/>
      </w:pPr>
      <w:bookmarkStart w:id="38" w:name="ref-Briscoe2023"/>
      <w:bookmarkEnd w:id="37"/>
      <w:r>
        <w:t xml:space="preserve">17. </w:t>
      </w:r>
      <w:r>
        <w:tab/>
        <w:t xml:space="preserve">Briscoe, N.J. </w:t>
      </w:r>
      <w:r>
        <w:rPr>
          <w:i/>
          <w:iCs/>
        </w:rPr>
        <w:t>et al.</w:t>
      </w:r>
      <w:r>
        <w:t xml:space="preserve"> (2023) Mechanistic forecasts of species responses to climate change: The promise of biophysical ecology. </w:t>
      </w:r>
      <w:r>
        <w:rPr>
          <w:i/>
          <w:iCs/>
        </w:rPr>
        <w:t>Global Change Biology</w:t>
      </w:r>
      <w:r>
        <w:t xml:space="preserve"> 29, 1451–1470</w:t>
      </w:r>
    </w:p>
    <w:p w14:paraId="76349FFA" w14:textId="77777777" w:rsidR="00542893" w:rsidRDefault="00000000">
      <w:pPr>
        <w:pStyle w:val="Bibliography"/>
      </w:pPr>
      <w:bookmarkStart w:id="39" w:name="ref-Rezende2014"/>
      <w:bookmarkEnd w:id="38"/>
      <w:r>
        <w:t xml:space="preserve">18. </w:t>
      </w:r>
      <w:r>
        <w:tab/>
        <w:t xml:space="preserve">Rezende, E.L. </w:t>
      </w:r>
      <w:r>
        <w:rPr>
          <w:i/>
          <w:iCs/>
        </w:rPr>
        <w:t>et al.</w:t>
      </w:r>
      <w:r>
        <w:t xml:space="preserve"> (2014) </w:t>
      </w:r>
      <w:hyperlink r:id="rId20">
        <w:r w:rsidR="00542893">
          <w:rPr>
            <w:rStyle w:val="Hyperlink"/>
          </w:rPr>
          <w:t>Tolerance landscapes in thermal ecology</w:t>
        </w:r>
      </w:hyperlink>
      <w:r>
        <w:t xml:space="preserve">. </w:t>
      </w:r>
      <w:r>
        <w:rPr>
          <w:i/>
          <w:iCs/>
        </w:rPr>
        <w:t>Funct. Ecol.</w:t>
      </w:r>
      <w:r>
        <w:t xml:space="preserve"> 28, 799–809</w:t>
      </w:r>
    </w:p>
    <w:p w14:paraId="5BEA2497" w14:textId="77777777" w:rsidR="00542893" w:rsidRDefault="00000000">
      <w:pPr>
        <w:pStyle w:val="Bibliography"/>
      </w:pPr>
      <w:bookmarkStart w:id="40" w:name="ref-Arnold2025a"/>
      <w:bookmarkEnd w:id="39"/>
      <w:r>
        <w:t xml:space="preserve">19. </w:t>
      </w:r>
      <w:r>
        <w:tab/>
        <w:t xml:space="preserve">Arnold, P.A. </w:t>
      </w:r>
      <w:r>
        <w:rPr>
          <w:i/>
          <w:iCs/>
        </w:rPr>
        <w:t>et al.</w:t>
      </w:r>
      <w:r>
        <w:t xml:space="preserve"> (2025) </w:t>
      </w:r>
      <w:hyperlink r:id="rId21">
        <w:r w:rsidR="00542893">
          <w:rPr>
            <w:rStyle w:val="Hyperlink"/>
          </w:rPr>
          <w:t>A framework for modelling thermal load sensitivity across life</w:t>
        </w:r>
      </w:hyperlink>
      <w:r>
        <w:t xml:space="preserve">. </w:t>
      </w:r>
      <w:r>
        <w:rPr>
          <w:i/>
          <w:iCs/>
        </w:rPr>
        <w:t>Glob. Chang. Biol.</w:t>
      </w:r>
      <w:r>
        <w:t xml:space="preserve"> 31, e70315</w:t>
      </w:r>
    </w:p>
    <w:p w14:paraId="408AAEEA" w14:textId="77777777" w:rsidR="00542893" w:rsidRDefault="00000000">
      <w:pPr>
        <w:pStyle w:val="Bibliography"/>
      </w:pPr>
      <w:bookmarkStart w:id="41" w:name="ref-Bimler2018"/>
      <w:bookmarkEnd w:id="40"/>
      <w:r>
        <w:t xml:space="preserve">20. </w:t>
      </w:r>
      <w:r>
        <w:tab/>
        <w:t xml:space="preserve">Bimler, M.D. </w:t>
      </w:r>
      <w:r>
        <w:rPr>
          <w:i/>
          <w:iCs/>
        </w:rPr>
        <w:t>et al.</w:t>
      </w:r>
      <w:r>
        <w:t xml:space="preserve"> (2018) </w:t>
      </w:r>
      <w:hyperlink r:id="rId22">
        <w:r w:rsidR="00542893">
          <w:rPr>
            <w:rStyle w:val="Hyperlink"/>
          </w:rPr>
          <w:t>Accurate predictions of coexistence in natural systems require the inclusion of facilitative interactions and environmental dependency</w:t>
        </w:r>
      </w:hyperlink>
      <w:r>
        <w:t xml:space="preserve">. </w:t>
      </w:r>
      <w:r>
        <w:rPr>
          <w:i/>
          <w:iCs/>
        </w:rPr>
        <w:t>J. Ecol.</w:t>
      </w:r>
      <w:r>
        <w:t xml:space="preserve"> 106, 1839–1852</w:t>
      </w:r>
    </w:p>
    <w:p w14:paraId="23651CBA" w14:textId="77777777" w:rsidR="00542893" w:rsidRDefault="00000000">
      <w:pPr>
        <w:pStyle w:val="Bibliography"/>
      </w:pPr>
      <w:bookmarkStart w:id="42" w:name="ref-Bowler2022"/>
      <w:bookmarkEnd w:id="41"/>
      <w:r>
        <w:t xml:space="preserve">21. </w:t>
      </w:r>
      <w:r>
        <w:tab/>
        <w:t xml:space="preserve">Bowler, C.H. </w:t>
      </w:r>
      <w:r>
        <w:rPr>
          <w:i/>
          <w:iCs/>
        </w:rPr>
        <w:t>et al.</w:t>
      </w:r>
      <w:r>
        <w:t xml:space="preserve"> (2022) </w:t>
      </w:r>
      <w:hyperlink r:id="rId23">
        <w:r w:rsidR="00542893">
          <w:rPr>
            <w:rStyle w:val="Hyperlink"/>
          </w:rPr>
          <w:t>Accounting for demographic uncertainty increases predictions for species coexistence: A case study with annual plants</w:t>
        </w:r>
      </w:hyperlink>
      <w:r>
        <w:t xml:space="preserve">. </w:t>
      </w:r>
      <w:r>
        <w:rPr>
          <w:i/>
          <w:iCs/>
        </w:rPr>
        <w:t>Ecol. Lett.</w:t>
      </w:r>
      <w:r>
        <w:t xml:space="preserve"> 25, 1618–1628</w:t>
      </w:r>
    </w:p>
    <w:p w14:paraId="790BDD9D" w14:textId="77777777" w:rsidR="00542893" w:rsidRDefault="00000000">
      <w:pPr>
        <w:pStyle w:val="Bibliography"/>
      </w:pPr>
      <w:bookmarkStart w:id="43" w:name="ref-Kearney2017"/>
      <w:bookmarkEnd w:id="42"/>
      <w:r>
        <w:t xml:space="preserve">22. </w:t>
      </w:r>
      <w:r>
        <w:tab/>
        <w:t xml:space="preserve">Kearney, M.R. and Porter, W.P. (2017) </w:t>
      </w:r>
      <w:hyperlink r:id="rId24">
        <w:r w:rsidR="00542893">
          <w:rPr>
            <w:rStyle w:val="Hyperlink"/>
          </w:rPr>
          <w:t>NicheMapR – an R package for biophysical modelling: The microclimate model</w:t>
        </w:r>
      </w:hyperlink>
      <w:r>
        <w:t xml:space="preserve">. </w:t>
      </w:r>
      <w:r>
        <w:rPr>
          <w:i/>
          <w:iCs/>
        </w:rPr>
        <w:t>Ecography (Cop.)</w:t>
      </w:r>
      <w:r>
        <w:t xml:space="preserve"> 40, 664–674</w:t>
      </w:r>
    </w:p>
    <w:p w14:paraId="5741CC44" w14:textId="77777777" w:rsidR="00542893" w:rsidRDefault="00000000">
      <w:pPr>
        <w:pStyle w:val="Bibliography"/>
      </w:pPr>
      <w:bookmarkStart w:id="44" w:name="ref-Maclean2019"/>
      <w:bookmarkEnd w:id="43"/>
      <w:r>
        <w:t xml:space="preserve">23. </w:t>
      </w:r>
      <w:r>
        <w:tab/>
        <w:t xml:space="preserve">Maclean, I.M.D. </w:t>
      </w:r>
      <w:r>
        <w:rPr>
          <w:i/>
          <w:iCs/>
        </w:rPr>
        <w:t>et al.</w:t>
      </w:r>
      <w:r>
        <w:t xml:space="preserve"> (2019) </w:t>
      </w:r>
      <w:hyperlink r:id="rId25">
        <w:r w:rsidR="00542893">
          <w:rPr>
            <w:rStyle w:val="Hyperlink"/>
          </w:rPr>
          <w:t>Microclima: An r package for modelling meso‐ and microclimate</w:t>
        </w:r>
      </w:hyperlink>
      <w:r>
        <w:t xml:space="preserve">. </w:t>
      </w:r>
      <w:r>
        <w:rPr>
          <w:i/>
          <w:iCs/>
        </w:rPr>
        <w:t>Methods Ecol. Evol.</w:t>
      </w:r>
      <w:r>
        <w:t xml:space="preserve"> 10, 280–290</w:t>
      </w:r>
    </w:p>
    <w:p w14:paraId="12462CB0" w14:textId="77777777" w:rsidR="00542893" w:rsidRDefault="00000000">
      <w:pPr>
        <w:pStyle w:val="Bibliography"/>
      </w:pPr>
      <w:bookmarkStart w:id="45" w:name="ref-Kearney2020"/>
      <w:bookmarkEnd w:id="44"/>
      <w:r>
        <w:t xml:space="preserve">24. </w:t>
      </w:r>
      <w:r>
        <w:tab/>
        <w:t xml:space="preserve">Kearney, M.R. </w:t>
      </w:r>
      <w:r>
        <w:rPr>
          <w:i/>
          <w:iCs/>
        </w:rPr>
        <w:t>et al.</w:t>
      </w:r>
      <w:r>
        <w:t xml:space="preserve"> (2020) </w:t>
      </w:r>
      <w:hyperlink r:id="rId26">
        <w:r w:rsidR="00542893">
          <w:rPr>
            <w:rStyle w:val="Hyperlink"/>
          </w:rPr>
          <w:t>A method for computing hourly, historical, terrain‐corrected microclimate anywhere on earth</w:t>
        </w:r>
      </w:hyperlink>
      <w:r>
        <w:t xml:space="preserve">. </w:t>
      </w:r>
      <w:r>
        <w:rPr>
          <w:i/>
          <w:iCs/>
        </w:rPr>
        <w:t>Methods Ecol. Evol.</w:t>
      </w:r>
      <w:r>
        <w:t xml:space="preserve"> 11, 38–43</w:t>
      </w:r>
    </w:p>
    <w:p w14:paraId="292D2991" w14:textId="77777777" w:rsidR="00542893" w:rsidRDefault="00000000">
      <w:pPr>
        <w:pStyle w:val="Bibliography"/>
      </w:pPr>
      <w:bookmarkStart w:id="46" w:name="ref-Maclean2021"/>
      <w:bookmarkEnd w:id="45"/>
      <w:r>
        <w:t xml:space="preserve">25. </w:t>
      </w:r>
      <w:r>
        <w:tab/>
        <w:t xml:space="preserve">Maclean, I.M.D. </w:t>
      </w:r>
      <w:r>
        <w:rPr>
          <w:i/>
          <w:iCs/>
        </w:rPr>
        <w:t>et al.</w:t>
      </w:r>
      <w:r>
        <w:t xml:space="preserve"> (2021) </w:t>
      </w:r>
      <w:hyperlink r:id="rId27">
        <w:r w:rsidR="00542893">
          <w:rPr>
            <w:rStyle w:val="Hyperlink"/>
          </w:rPr>
          <w:t>On the measurement of microclimate</w:t>
        </w:r>
      </w:hyperlink>
      <w:r>
        <w:t xml:space="preserve">. </w:t>
      </w:r>
      <w:r>
        <w:rPr>
          <w:i/>
          <w:iCs/>
        </w:rPr>
        <w:t>Methods Ecol. Evol.</w:t>
      </w:r>
      <w:r>
        <w:t xml:space="preserve"> 12, 1397–1410</w:t>
      </w:r>
    </w:p>
    <w:p w14:paraId="44A05A0C" w14:textId="77777777" w:rsidR="00542893" w:rsidRDefault="00000000">
      <w:pPr>
        <w:pStyle w:val="Bibliography"/>
      </w:pPr>
      <w:bookmarkStart w:id="47" w:name="ref-Buckley2023"/>
      <w:bookmarkEnd w:id="46"/>
      <w:r>
        <w:t xml:space="preserve">26. </w:t>
      </w:r>
      <w:r>
        <w:tab/>
        <w:t xml:space="preserve">Buckley, L.B. </w:t>
      </w:r>
      <w:r>
        <w:rPr>
          <w:i/>
          <w:iCs/>
        </w:rPr>
        <w:t>et al.</w:t>
      </w:r>
      <w:r>
        <w:t xml:space="preserve"> (2023) </w:t>
      </w:r>
      <w:hyperlink r:id="rId28">
        <w:r w:rsidR="00542893">
          <w:rPr>
            <w:rStyle w:val="Hyperlink"/>
          </w:rPr>
          <w:t>TrenchR: An R package for modular and accessible microclimate and biophysical ecology</w:t>
        </w:r>
      </w:hyperlink>
      <w:r>
        <w:t xml:space="preserve">. </w:t>
      </w:r>
      <w:r>
        <w:rPr>
          <w:i/>
          <w:iCs/>
        </w:rPr>
        <w:t>PLOS Clim</w:t>
      </w:r>
      <w:r>
        <w:t xml:space="preserve"> 2, e0000139</w:t>
      </w:r>
    </w:p>
    <w:p w14:paraId="56AB44F1" w14:textId="77777777" w:rsidR="00542893" w:rsidRDefault="00000000">
      <w:pPr>
        <w:pStyle w:val="Bibliography"/>
      </w:pPr>
      <w:bookmarkStart w:id="48" w:name="ref-Bramer2018"/>
      <w:bookmarkEnd w:id="47"/>
      <w:r>
        <w:t xml:space="preserve">27. </w:t>
      </w:r>
      <w:r>
        <w:tab/>
        <w:t xml:space="preserve">Bramer, I. </w:t>
      </w:r>
      <w:r>
        <w:rPr>
          <w:i/>
          <w:iCs/>
        </w:rPr>
        <w:t>et al.</w:t>
      </w:r>
      <w:r>
        <w:t xml:space="preserve"> (2018) Advances in monitoring and modelling climate at ecologically relevant scales. 58, 101–161</w:t>
      </w:r>
    </w:p>
    <w:p w14:paraId="0380AF71" w14:textId="77777777" w:rsidR="00542893" w:rsidRDefault="00000000">
      <w:pPr>
        <w:pStyle w:val="Bibliography"/>
      </w:pPr>
      <w:bookmarkStart w:id="49" w:name="ref-Levy2016"/>
      <w:bookmarkEnd w:id="48"/>
      <w:r>
        <w:t xml:space="preserve">28. </w:t>
      </w:r>
      <w:r>
        <w:tab/>
        <w:t xml:space="preserve">Levy, O. </w:t>
      </w:r>
      <w:r>
        <w:rPr>
          <w:i/>
          <w:iCs/>
        </w:rPr>
        <w:t>et al.</w:t>
      </w:r>
      <w:r>
        <w:t xml:space="preserve"> (2016) </w:t>
      </w:r>
      <w:hyperlink r:id="rId29">
        <w:r w:rsidR="00542893">
          <w:rPr>
            <w:rStyle w:val="Hyperlink"/>
          </w:rPr>
          <w:t>A dynamically downscaled projection of past and future microclimates</w:t>
        </w:r>
      </w:hyperlink>
      <w:r>
        <w:t xml:space="preserve">. </w:t>
      </w:r>
      <w:r>
        <w:rPr>
          <w:i/>
          <w:iCs/>
        </w:rPr>
        <w:t>Ecology</w:t>
      </w:r>
      <w:r>
        <w:t xml:space="preserve"> 97, 1888–1888</w:t>
      </w:r>
    </w:p>
    <w:p w14:paraId="7AD72603" w14:textId="77777777" w:rsidR="00542893" w:rsidRDefault="00000000">
      <w:pPr>
        <w:pStyle w:val="Bibliography"/>
      </w:pPr>
      <w:bookmarkStart w:id="50" w:name="ref-De_Frenne2024"/>
      <w:bookmarkEnd w:id="49"/>
      <w:r>
        <w:t xml:space="preserve">29. </w:t>
      </w:r>
      <w:r>
        <w:tab/>
        <w:t xml:space="preserve">De Frenne, P. </w:t>
      </w:r>
      <w:r>
        <w:rPr>
          <w:i/>
          <w:iCs/>
        </w:rPr>
        <w:t>et al.</w:t>
      </w:r>
      <w:r>
        <w:t xml:space="preserve"> (2024) Ten practical guidelines for microclimate research in terrestrial ecosystems. </w:t>
      </w:r>
      <w:r>
        <w:rPr>
          <w:i/>
          <w:iCs/>
        </w:rPr>
        <w:t>Methods Ecol. Evol.</w:t>
      </w:r>
      <w:r>
        <w:t xml:space="preserve"> DOI: </w:t>
      </w:r>
      <w:hyperlink r:id="rId30">
        <w:r w:rsidR="00542893">
          <w:rPr>
            <w:rStyle w:val="Hyperlink"/>
          </w:rPr>
          <w:t>10.1111/2041-210x.14476</w:t>
        </w:r>
      </w:hyperlink>
    </w:p>
    <w:p w14:paraId="2ADA487D" w14:textId="77777777" w:rsidR="00542893" w:rsidRDefault="00000000">
      <w:pPr>
        <w:pStyle w:val="Bibliography"/>
      </w:pPr>
      <w:bookmarkStart w:id="51" w:name="ref-Meyer2023"/>
      <w:bookmarkEnd w:id="50"/>
      <w:r>
        <w:t xml:space="preserve">30. </w:t>
      </w:r>
      <w:r>
        <w:tab/>
        <w:t xml:space="preserve">Meyer, A.V. </w:t>
      </w:r>
      <w:r>
        <w:rPr>
          <w:i/>
          <w:iCs/>
        </w:rPr>
        <w:t>et al.</w:t>
      </w:r>
      <w:r>
        <w:t xml:space="preserve"> (2023) </w:t>
      </w:r>
      <w:hyperlink r:id="rId31">
        <w:r w:rsidR="00542893">
          <w:rPr>
            <w:rStyle w:val="Hyperlink"/>
          </w:rPr>
          <w:t>A guide and tools for selecting and accessing microclimate data for mechanistic niche modeling</w:t>
        </w:r>
      </w:hyperlink>
      <w:r>
        <w:t xml:space="preserve">. </w:t>
      </w:r>
      <w:r>
        <w:rPr>
          <w:i/>
          <w:iCs/>
        </w:rPr>
        <w:t>Ecosphere</w:t>
      </w:r>
      <w:r>
        <w:t xml:space="preserve"> 14</w:t>
      </w:r>
    </w:p>
    <w:p w14:paraId="131B9F95" w14:textId="77777777" w:rsidR="00542893" w:rsidRDefault="00000000">
      <w:pPr>
        <w:pStyle w:val="Bibliography"/>
      </w:pPr>
      <w:bookmarkStart w:id="52" w:name="ref-Drake2018"/>
      <w:bookmarkEnd w:id="51"/>
      <w:r>
        <w:t xml:space="preserve">31. </w:t>
      </w:r>
      <w:r>
        <w:tab/>
        <w:t xml:space="preserve">Drake, J.E. </w:t>
      </w:r>
      <w:r>
        <w:rPr>
          <w:i/>
          <w:iCs/>
        </w:rPr>
        <w:t>et al.</w:t>
      </w:r>
      <w:r>
        <w:t xml:space="preserve"> (2018) </w:t>
      </w:r>
      <w:hyperlink r:id="rId32">
        <w:r w:rsidR="00542893">
          <w:rPr>
            <w:rStyle w:val="Hyperlink"/>
          </w:rPr>
          <w:t>Trees tolerate an extreme heatwave via sustained transpirational cooling and increased leaf thermal tolerance</w:t>
        </w:r>
      </w:hyperlink>
      <w:r>
        <w:t xml:space="preserve">. </w:t>
      </w:r>
      <w:r>
        <w:rPr>
          <w:i/>
          <w:iCs/>
        </w:rPr>
        <w:t>Glob. Chang. Biol.</w:t>
      </w:r>
      <w:r>
        <w:t xml:space="preserve"> 24, 2390–2402</w:t>
      </w:r>
    </w:p>
    <w:p w14:paraId="25C5C523" w14:textId="77777777" w:rsidR="00542893" w:rsidRDefault="00000000">
      <w:pPr>
        <w:pStyle w:val="Bibliography"/>
      </w:pPr>
      <w:bookmarkStart w:id="53" w:name="ref-Holzworth2018"/>
      <w:bookmarkEnd w:id="52"/>
      <w:r>
        <w:t xml:space="preserve">32. </w:t>
      </w:r>
      <w:r>
        <w:tab/>
        <w:t xml:space="preserve">Holzworth, D. </w:t>
      </w:r>
      <w:r>
        <w:rPr>
          <w:i/>
          <w:iCs/>
        </w:rPr>
        <w:t>et al.</w:t>
      </w:r>
      <w:r>
        <w:t xml:space="preserve"> (2018) </w:t>
      </w:r>
      <w:hyperlink r:id="rId33">
        <w:r w:rsidR="00542893">
          <w:rPr>
            <w:rStyle w:val="Hyperlink"/>
          </w:rPr>
          <w:t>APSIM next generation: Overcoming challenges in modernising a farming systems model</w:t>
        </w:r>
      </w:hyperlink>
      <w:r>
        <w:t xml:space="preserve">. </w:t>
      </w:r>
      <w:r>
        <w:rPr>
          <w:i/>
          <w:iCs/>
        </w:rPr>
        <w:t>Environ. Model. Softw.</w:t>
      </w:r>
      <w:r>
        <w:t xml:space="preserve"> 103, 43–51</w:t>
      </w:r>
    </w:p>
    <w:p w14:paraId="2F28976C" w14:textId="77777777" w:rsidR="00542893" w:rsidRDefault="00000000">
      <w:pPr>
        <w:pStyle w:val="Bibliography"/>
      </w:pPr>
      <w:bookmarkStart w:id="54" w:name="ref-Medlyn2011"/>
      <w:bookmarkEnd w:id="53"/>
      <w:r>
        <w:lastRenderedPageBreak/>
        <w:t xml:space="preserve">33. </w:t>
      </w:r>
      <w:r>
        <w:tab/>
        <w:t xml:space="preserve">Medlyn, B.E. </w:t>
      </w:r>
      <w:r>
        <w:rPr>
          <w:i/>
          <w:iCs/>
        </w:rPr>
        <w:t>et al.</w:t>
      </w:r>
      <w:r>
        <w:t xml:space="preserve"> (2011) </w:t>
      </w:r>
      <w:hyperlink r:id="rId34">
        <w:r w:rsidR="00542893">
          <w:rPr>
            <w:rStyle w:val="Hyperlink"/>
          </w:rPr>
          <w:t>Reconciling the optimal and empirical approaches to modelling stomatal conductance: RECONCILING OPTIMAL AND EMPIRICAL STOMATAL MODELS</w:t>
        </w:r>
      </w:hyperlink>
      <w:r>
        <w:t xml:space="preserve">. </w:t>
      </w:r>
      <w:r>
        <w:rPr>
          <w:i/>
          <w:iCs/>
        </w:rPr>
        <w:t>Glob. Chang. Biol.</w:t>
      </w:r>
      <w:r>
        <w:t xml:space="preserve"> 17, 2134–2144</w:t>
      </w:r>
    </w:p>
    <w:p w14:paraId="4345DD8E" w14:textId="77777777" w:rsidR="00542893" w:rsidRDefault="00000000">
      <w:pPr>
        <w:pStyle w:val="Bibliography"/>
      </w:pPr>
      <w:bookmarkStart w:id="55" w:name="ref-Porter1973"/>
      <w:bookmarkEnd w:id="54"/>
      <w:r>
        <w:t xml:space="preserve">34. </w:t>
      </w:r>
      <w:r>
        <w:tab/>
        <w:t xml:space="preserve">Porter, W.P. </w:t>
      </w:r>
      <w:r>
        <w:rPr>
          <w:i/>
          <w:iCs/>
        </w:rPr>
        <w:t>et al.</w:t>
      </w:r>
      <w:r>
        <w:t xml:space="preserve"> (1973) </w:t>
      </w:r>
      <w:hyperlink r:id="rId35">
        <w:r w:rsidR="00542893">
          <w:rPr>
            <w:rStyle w:val="Hyperlink"/>
          </w:rPr>
          <w:t>Behavioral implications of mechanistic ecology : Thermal and behavioral modeling of desert ectotherms and their microenvironment</w:t>
        </w:r>
      </w:hyperlink>
      <w:r>
        <w:t xml:space="preserve">. </w:t>
      </w:r>
      <w:r>
        <w:rPr>
          <w:i/>
          <w:iCs/>
        </w:rPr>
        <w:t>Oecologia</w:t>
      </w:r>
      <w:r>
        <w:t xml:space="preserve"> 13, 1–54</w:t>
      </w:r>
    </w:p>
    <w:p w14:paraId="6A5169D3" w14:textId="77777777" w:rsidR="00542893" w:rsidRDefault="00000000">
      <w:pPr>
        <w:pStyle w:val="Bibliography"/>
      </w:pPr>
      <w:bookmarkStart w:id="56" w:name="ref-Porter1969"/>
      <w:bookmarkEnd w:id="55"/>
      <w:r>
        <w:t xml:space="preserve">35. </w:t>
      </w:r>
      <w:r>
        <w:tab/>
        <w:t xml:space="preserve">Porter, W.P. and Gates, D.M. (1969) </w:t>
      </w:r>
      <w:hyperlink r:id="rId36">
        <w:r w:rsidR="00542893">
          <w:rPr>
            <w:rStyle w:val="Hyperlink"/>
          </w:rPr>
          <w:t>Thermodynamic equilibria of animals with environment</w:t>
        </w:r>
      </w:hyperlink>
      <w:r>
        <w:t xml:space="preserve">. </w:t>
      </w:r>
      <w:r>
        <w:rPr>
          <w:i/>
          <w:iCs/>
        </w:rPr>
        <w:t>Ecol. Monogr.</w:t>
      </w:r>
      <w:r>
        <w:t xml:space="preserve"> 39, 227–244</w:t>
      </w:r>
    </w:p>
    <w:p w14:paraId="5055AA4E" w14:textId="77777777" w:rsidR="00542893" w:rsidRDefault="00000000">
      <w:pPr>
        <w:pStyle w:val="Bibliography"/>
      </w:pPr>
      <w:bookmarkStart w:id="57" w:name="ref-Riddell2017"/>
      <w:bookmarkEnd w:id="56"/>
      <w:r>
        <w:t xml:space="preserve">36. </w:t>
      </w:r>
      <w:r>
        <w:tab/>
        <w:t xml:space="preserve">Riddell, E.A. </w:t>
      </w:r>
      <w:r>
        <w:rPr>
          <w:i/>
          <w:iCs/>
        </w:rPr>
        <w:t>et al.</w:t>
      </w:r>
      <w:r>
        <w:t xml:space="preserve"> (2017) </w:t>
      </w:r>
      <w:hyperlink r:id="rId37">
        <w:r w:rsidR="00542893">
          <w:rPr>
            <w:rStyle w:val="Hyperlink"/>
          </w:rPr>
          <w:t>Physical calculations of resistance to water loss improve predictions of species range models</w:t>
        </w:r>
      </w:hyperlink>
      <w:r>
        <w:t xml:space="preserve">. </w:t>
      </w:r>
      <w:r>
        <w:rPr>
          <w:i/>
          <w:iCs/>
        </w:rPr>
        <w:t>Ecol. Monogr.</w:t>
      </w:r>
      <w:r>
        <w:t xml:space="preserve"> 87, 21–33</w:t>
      </w:r>
    </w:p>
    <w:p w14:paraId="01734656" w14:textId="77777777" w:rsidR="00542893" w:rsidRDefault="00000000">
      <w:pPr>
        <w:pStyle w:val="Bibliography"/>
      </w:pPr>
      <w:bookmarkStart w:id="58" w:name="ref-Duursma2015"/>
      <w:bookmarkEnd w:id="57"/>
      <w:r>
        <w:t xml:space="preserve">37. </w:t>
      </w:r>
      <w:r>
        <w:tab/>
        <w:t xml:space="preserve">Duursma, R.A. (2015) </w:t>
      </w:r>
      <w:hyperlink r:id="rId38">
        <w:r w:rsidR="00542893">
          <w:rPr>
            <w:rStyle w:val="Hyperlink"/>
          </w:rPr>
          <w:t>Plantecophys–an R package for analysing and modelling leaf gas exchange data</w:t>
        </w:r>
      </w:hyperlink>
      <w:r>
        <w:t xml:space="preserve">. </w:t>
      </w:r>
      <w:r>
        <w:rPr>
          <w:i/>
          <w:iCs/>
        </w:rPr>
        <w:t>PLoS One</w:t>
      </w:r>
      <w:r>
        <w:t xml:space="preserve"> 10, e0143346</w:t>
      </w:r>
    </w:p>
    <w:p w14:paraId="3E5DF61B" w14:textId="77777777" w:rsidR="00542893" w:rsidRDefault="00000000">
      <w:pPr>
        <w:pStyle w:val="Bibliography"/>
      </w:pPr>
      <w:bookmarkStart w:id="59" w:name="ref-Wild2025"/>
      <w:bookmarkEnd w:id="58"/>
      <w:r>
        <w:t xml:space="preserve">38. </w:t>
      </w:r>
      <w:r>
        <w:tab/>
        <w:t xml:space="preserve">Wild, K.H. </w:t>
      </w:r>
      <w:r>
        <w:rPr>
          <w:i/>
          <w:iCs/>
        </w:rPr>
        <w:t>et al.</w:t>
      </w:r>
      <w:r>
        <w:t xml:space="preserve"> (2025) </w:t>
      </w:r>
      <w:hyperlink r:id="rId39">
        <w:r w:rsidR="00542893">
          <w:rPr>
            <w:rStyle w:val="Hyperlink"/>
          </w:rPr>
          <w:t>Climate change and the cost-of-living squeeze in desert lizards</w:t>
        </w:r>
      </w:hyperlink>
      <w:r>
        <w:t xml:space="preserve">. </w:t>
      </w:r>
      <w:r>
        <w:rPr>
          <w:i/>
          <w:iCs/>
        </w:rPr>
        <w:t>Science</w:t>
      </w:r>
      <w:r>
        <w:t xml:space="preserve"> 387, 303–309</w:t>
      </w:r>
    </w:p>
    <w:p w14:paraId="35B751BC" w14:textId="77777777" w:rsidR="00542893" w:rsidRDefault="00000000">
      <w:pPr>
        <w:pStyle w:val="Bibliography"/>
      </w:pPr>
      <w:bookmarkStart w:id="60" w:name="ref-Briscoe2022"/>
      <w:bookmarkEnd w:id="59"/>
      <w:r>
        <w:t xml:space="preserve">39. </w:t>
      </w:r>
      <w:r>
        <w:tab/>
        <w:t xml:space="preserve">Briscoe, N.J. </w:t>
      </w:r>
      <w:r>
        <w:rPr>
          <w:i/>
          <w:iCs/>
        </w:rPr>
        <w:t>et al.</w:t>
      </w:r>
      <w:r>
        <w:t xml:space="preserve"> (2022) </w:t>
      </w:r>
      <w:hyperlink r:id="rId40">
        <w:r w:rsidR="00542893">
          <w:rPr>
            <w:rStyle w:val="Hyperlink"/>
          </w:rPr>
          <w:t>Too hot to hunt: Mechanistic predictions of thermal refuge from cat predation risk</w:t>
        </w:r>
      </w:hyperlink>
      <w:r>
        <w:t xml:space="preserve">. </w:t>
      </w:r>
      <w:r>
        <w:rPr>
          <w:i/>
          <w:iCs/>
        </w:rPr>
        <w:t>Conserv. Lett.</w:t>
      </w:r>
      <w:r>
        <w:t xml:space="preserve"> 15</w:t>
      </w:r>
    </w:p>
    <w:p w14:paraId="54C77C20" w14:textId="77777777" w:rsidR="00542893" w:rsidRDefault="00000000">
      <w:pPr>
        <w:pStyle w:val="Bibliography"/>
      </w:pPr>
      <w:bookmarkStart w:id="61" w:name="ref-Duursma2019"/>
      <w:bookmarkEnd w:id="60"/>
      <w:r>
        <w:t xml:space="preserve">40. </w:t>
      </w:r>
      <w:r>
        <w:tab/>
        <w:t xml:space="preserve">Duursma, R.A. </w:t>
      </w:r>
      <w:r>
        <w:rPr>
          <w:i/>
          <w:iCs/>
        </w:rPr>
        <w:t>et al.</w:t>
      </w:r>
      <w:r>
        <w:t xml:space="preserve"> (2019) </w:t>
      </w:r>
      <w:hyperlink r:id="rId41">
        <w:r w:rsidR="00542893">
          <w:rPr>
            <w:rStyle w:val="Hyperlink"/>
          </w:rPr>
          <w:t>On the minimum leaf conductance: Its role in models of plant water use, and ecological and environmental controls</w:t>
        </w:r>
      </w:hyperlink>
      <w:r>
        <w:t xml:space="preserve">. </w:t>
      </w:r>
      <w:r>
        <w:rPr>
          <w:i/>
          <w:iCs/>
        </w:rPr>
        <w:t>New Phytol.</w:t>
      </w:r>
      <w:r>
        <w:t xml:space="preserve"> 221, 693–705</w:t>
      </w:r>
    </w:p>
    <w:p w14:paraId="03F1C7DF" w14:textId="77777777" w:rsidR="00542893" w:rsidRDefault="00000000">
      <w:pPr>
        <w:pStyle w:val="Bibliography"/>
      </w:pPr>
      <w:bookmarkStart w:id="62" w:name="ref-Loughran2020"/>
      <w:bookmarkEnd w:id="61"/>
      <w:r>
        <w:t xml:space="preserve">41. </w:t>
      </w:r>
      <w:r>
        <w:tab/>
        <w:t xml:space="preserve">Loughran, C.L. and Wolf, B.O. (2020) </w:t>
      </w:r>
      <w:hyperlink r:id="rId42">
        <w:r w:rsidR="00542893">
          <w:rPr>
            <w:rStyle w:val="Hyperlink"/>
          </w:rPr>
          <w:t>The functional significance of panting as a mechanism of thermoregulation and its relationship to the critical thermal maxima in lizards</w:t>
        </w:r>
      </w:hyperlink>
      <w:r>
        <w:t xml:space="preserve">. </w:t>
      </w:r>
      <w:r>
        <w:rPr>
          <w:i/>
          <w:iCs/>
        </w:rPr>
        <w:t>J. Exp. Biol.</w:t>
      </w:r>
      <w:r>
        <w:t xml:space="preserve"> 223, jeb224139</w:t>
      </w:r>
    </w:p>
    <w:p w14:paraId="6D8D6D3B" w14:textId="77777777" w:rsidR="00542893" w:rsidRDefault="00000000">
      <w:pPr>
        <w:pStyle w:val="Bibliography"/>
      </w:pPr>
      <w:bookmarkStart w:id="63" w:name="ref-Sharpe2022"/>
      <w:bookmarkEnd w:id="62"/>
      <w:r>
        <w:t xml:space="preserve">42. </w:t>
      </w:r>
      <w:r>
        <w:tab/>
        <w:t xml:space="preserve">Sharpe, L.L. </w:t>
      </w:r>
      <w:r>
        <w:rPr>
          <w:i/>
          <w:iCs/>
        </w:rPr>
        <w:t>et al.</w:t>
      </w:r>
      <w:r>
        <w:t xml:space="preserve"> (2022) </w:t>
      </w:r>
      <w:hyperlink r:id="rId43">
        <w:r w:rsidR="00542893">
          <w:rPr>
            <w:rStyle w:val="Hyperlink"/>
          </w:rPr>
          <w:t>In the hot seat: Behavioral change and old-growth trees underpin an australian songbird’s response to extreme heat</w:t>
        </w:r>
      </w:hyperlink>
      <w:r>
        <w:t xml:space="preserve">. </w:t>
      </w:r>
      <w:r>
        <w:rPr>
          <w:i/>
          <w:iCs/>
        </w:rPr>
        <w:t>Front. Ecol. Evol.</w:t>
      </w:r>
      <w:r>
        <w:t xml:space="preserve"> 10</w:t>
      </w:r>
    </w:p>
    <w:p w14:paraId="65A46B9D" w14:textId="77777777" w:rsidR="00542893" w:rsidRDefault="00000000">
      <w:pPr>
        <w:pStyle w:val="Bibliography"/>
      </w:pPr>
      <w:bookmarkStart w:id="64" w:name="ref-Posch2024"/>
      <w:bookmarkEnd w:id="63"/>
      <w:r>
        <w:t xml:space="preserve">43. </w:t>
      </w:r>
      <w:r>
        <w:tab/>
        <w:t xml:space="preserve">Posch, B.C. </w:t>
      </w:r>
      <w:r>
        <w:rPr>
          <w:i/>
          <w:iCs/>
        </w:rPr>
        <w:t>et al.</w:t>
      </w:r>
      <w:r>
        <w:t xml:space="preserve"> (2024) </w:t>
      </w:r>
      <w:hyperlink r:id="rId44">
        <w:r w:rsidR="00542893">
          <w:rPr>
            <w:rStyle w:val="Hyperlink"/>
          </w:rPr>
          <w:t>Intensive leaf cooling promotes tree survival during a record heatwave</w:t>
        </w:r>
      </w:hyperlink>
      <w:r>
        <w:t xml:space="preserve">. </w:t>
      </w:r>
      <w:r>
        <w:rPr>
          <w:i/>
          <w:iCs/>
        </w:rPr>
        <w:t>Proc. Natl. Acad. Sci. U. S. A.</w:t>
      </w:r>
      <w:r>
        <w:t xml:space="preserve"> 121, e2408583121</w:t>
      </w:r>
    </w:p>
    <w:p w14:paraId="6FC1578D" w14:textId="77777777" w:rsidR="00542893" w:rsidRDefault="00000000">
      <w:pPr>
        <w:pStyle w:val="Bibliography"/>
      </w:pPr>
      <w:bookmarkStart w:id="65" w:name="ref-Orsted2022"/>
      <w:bookmarkEnd w:id="64"/>
      <w:r>
        <w:t xml:space="preserve">44. </w:t>
      </w:r>
      <w:r>
        <w:tab/>
        <w:t xml:space="preserve">Ørsted, M. </w:t>
      </w:r>
      <w:r>
        <w:rPr>
          <w:i/>
          <w:iCs/>
        </w:rPr>
        <w:t>et al.</w:t>
      </w:r>
      <w:r>
        <w:t xml:space="preserve"> (2022) Finding the right thermal limit: A framework to reconcile ecological, physiological and methodological aspects of CTmax in ectotherms. </w:t>
      </w:r>
      <w:r>
        <w:rPr>
          <w:i/>
          <w:iCs/>
        </w:rPr>
        <w:t>J. Exp. Biol.</w:t>
      </w:r>
      <w:r>
        <w:t xml:space="preserve"> 225, jeb244514</w:t>
      </w:r>
    </w:p>
    <w:p w14:paraId="67489D2E" w14:textId="77777777" w:rsidR="00542893" w:rsidRDefault="00000000">
      <w:pPr>
        <w:pStyle w:val="Bibliography"/>
      </w:pPr>
      <w:bookmarkStart w:id="66" w:name="ref-Jagadish2021"/>
      <w:bookmarkEnd w:id="65"/>
      <w:r>
        <w:t xml:space="preserve">45. </w:t>
      </w:r>
      <w:r>
        <w:tab/>
        <w:t xml:space="preserve">Jagadish, S.V.K. </w:t>
      </w:r>
      <w:r>
        <w:rPr>
          <w:i/>
          <w:iCs/>
        </w:rPr>
        <w:t>et al.</w:t>
      </w:r>
      <w:r>
        <w:t xml:space="preserve"> (2021) </w:t>
      </w:r>
      <w:hyperlink r:id="rId45">
        <w:r w:rsidR="00542893">
          <w:rPr>
            <w:rStyle w:val="Hyperlink"/>
          </w:rPr>
          <w:t>Plant heat stress: Concepts directing future research</w:t>
        </w:r>
      </w:hyperlink>
      <w:r>
        <w:t xml:space="preserve">. </w:t>
      </w:r>
      <w:r>
        <w:rPr>
          <w:i/>
          <w:iCs/>
        </w:rPr>
        <w:t>Plant Cell Environ.</w:t>
      </w:r>
      <w:r>
        <w:t xml:space="preserve"> 44, 1992–2005</w:t>
      </w:r>
    </w:p>
    <w:p w14:paraId="67C2C932" w14:textId="77777777" w:rsidR="00542893" w:rsidRDefault="00000000">
      <w:pPr>
        <w:pStyle w:val="Bibliography"/>
      </w:pPr>
      <w:bookmarkStart w:id="67" w:name="ref-Faber2024"/>
      <w:bookmarkEnd w:id="66"/>
      <w:r>
        <w:t xml:space="preserve">46. </w:t>
      </w:r>
      <w:r>
        <w:tab/>
        <w:t xml:space="preserve">Faber, A.H. </w:t>
      </w:r>
      <w:r>
        <w:rPr>
          <w:i/>
          <w:iCs/>
        </w:rPr>
        <w:t>et al.</w:t>
      </w:r>
      <w:r>
        <w:t xml:space="preserve"> (2024) </w:t>
      </w:r>
      <w:hyperlink r:id="rId46">
        <w:r w:rsidR="00542893">
          <w:rPr>
            <w:rStyle w:val="Hyperlink"/>
          </w:rPr>
          <w:t>Application of the thermal death time model in predicting thermal damage accumulation in plants</w:t>
        </w:r>
      </w:hyperlink>
      <w:r>
        <w:t xml:space="preserve">. </w:t>
      </w:r>
      <w:r>
        <w:rPr>
          <w:i/>
          <w:iCs/>
        </w:rPr>
        <w:t>J. Exp. Bot.</w:t>
      </w:r>
      <w:r>
        <w:t xml:space="preserve"> 75, 3467–3482</w:t>
      </w:r>
    </w:p>
    <w:p w14:paraId="36AD7B0D" w14:textId="77777777" w:rsidR="00542893" w:rsidRDefault="00000000">
      <w:pPr>
        <w:pStyle w:val="Bibliography"/>
      </w:pPr>
      <w:bookmarkStart w:id="68" w:name="ref-Martinez-De_Leon2024"/>
      <w:bookmarkEnd w:id="67"/>
      <w:r>
        <w:t xml:space="preserve">47. </w:t>
      </w:r>
      <w:r>
        <w:tab/>
        <w:t xml:space="preserve">Martínez-De León, G. and Thakur, M.P. (2024) Ecological debts induced by heat extremes. </w:t>
      </w:r>
      <w:r>
        <w:rPr>
          <w:i/>
          <w:iCs/>
        </w:rPr>
        <w:t>Trends Ecol. Evol.</w:t>
      </w:r>
    </w:p>
    <w:p w14:paraId="38566D2D" w14:textId="77777777" w:rsidR="00542893" w:rsidRDefault="00000000">
      <w:pPr>
        <w:pStyle w:val="Bibliography"/>
      </w:pPr>
      <w:bookmarkStart w:id="69" w:name="ref-Marchin2022"/>
      <w:bookmarkEnd w:id="68"/>
      <w:r>
        <w:t xml:space="preserve">48. </w:t>
      </w:r>
      <w:r>
        <w:tab/>
        <w:t xml:space="preserve">Marchin, R.M. </w:t>
      </w:r>
      <w:r>
        <w:rPr>
          <w:i/>
          <w:iCs/>
        </w:rPr>
        <w:t>et al.</w:t>
      </w:r>
      <w:r>
        <w:t xml:space="preserve"> (2022) </w:t>
      </w:r>
      <w:hyperlink r:id="rId47">
        <w:r w:rsidR="00542893">
          <w:rPr>
            <w:rStyle w:val="Hyperlink"/>
          </w:rPr>
          <w:t>Extreme heat increases stomatal conductance and drought-induced mortality risk in vulnerable plant species</w:t>
        </w:r>
      </w:hyperlink>
      <w:r>
        <w:t xml:space="preserve">. </w:t>
      </w:r>
      <w:r>
        <w:rPr>
          <w:i/>
          <w:iCs/>
        </w:rPr>
        <w:t>Glob. Chang. Biol.</w:t>
      </w:r>
      <w:r>
        <w:t xml:space="preserve"> 28, 1133–1146</w:t>
      </w:r>
    </w:p>
    <w:p w14:paraId="66A72DD0" w14:textId="77777777" w:rsidR="00542893" w:rsidRDefault="00000000">
      <w:pPr>
        <w:pStyle w:val="Bibliography"/>
      </w:pPr>
      <w:bookmarkStart w:id="70" w:name="ref-Youngblood2025"/>
      <w:bookmarkEnd w:id="69"/>
      <w:r>
        <w:t xml:space="preserve">49. </w:t>
      </w:r>
      <w:r>
        <w:tab/>
        <w:t xml:space="preserve">Youngblood, J.P. </w:t>
      </w:r>
      <w:r>
        <w:rPr>
          <w:i/>
          <w:iCs/>
        </w:rPr>
        <w:t>et al.</w:t>
      </w:r>
      <w:r>
        <w:t xml:space="preserve"> (2025) Dehydration worsens heat tolerance of locusts and amplifies predicted impacts of climate change. </w:t>
      </w:r>
      <w:r>
        <w:rPr>
          <w:i/>
          <w:iCs/>
        </w:rPr>
        <w:t>Funct. Ecol.</w:t>
      </w:r>
      <w:r>
        <w:t xml:space="preserve"> DOI: </w:t>
      </w:r>
      <w:hyperlink r:id="rId48">
        <w:r w:rsidR="00542893">
          <w:rPr>
            <w:rStyle w:val="Hyperlink"/>
          </w:rPr>
          <w:t>10.1111/1365-2435.70038</w:t>
        </w:r>
      </w:hyperlink>
    </w:p>
    <w:p w14:paraId="369575EE" w14:textId="77777777" w:rsidR="00542893" w:rsidRDefault="00000000">
      <w:pPr>
        <w:pStyle w:val="Bibliography"/>
      </w:pPr>
      <w:bookmarkStart w:id="71" w:name="ref-Mengutay2013"/>
      <w:bookmarkEnd w:id="70"/>
      <w:r>
        <w:t xml:space="preserve">50. </w:t>
      </w:r>
      <w:r>
        <w:tab/>
        <w:t xml:space="preserve">Mengutay, M. </w:t>
      </w:r>
      <w:r>
        <w:rPr>
          <w:i/>
          <w:iCs/>
        </w:rPr>
        <w:t>et al.</w:t>
      </w:r>
      <w:r>
        <w:t xml:space="preserve"> (2013) </w:t>
      </w:r>
      <w:hyperlink r:id="rId49">
        <w:r w:rsidR="00542893">
          <w:rPr>
            <w:rStyle w:val="Hyperlink"/>
          </w:rPr>
          <w:t>Adequate magnesium nutrition mitigates adverse effects of heat stress on maize and wheat</w:t>
        </w:r>
      </w:hyperlink>
      <w:r>
        <w:t xml:space="preserve">. </w:t>
      </w:r>
      <w:r>
        <w:rPr>
          <w:i/>
          <w:iCs/>
        </w:rPr>
        <w:t>Plant Soil</w:t>
      </w:r>
      <w:r>
        <w:t xml:space="preserve"> 368, 57–72</w:t>
      </w:r>
    </w:p>
    <w:p w14:paraId="1ED9FE7C" w14:textId="77777777" w:rsidR="00542893" w:rsidRDefault="00000000">
      <w:pPr>
        <w:pStyle w:val="Bibliography"/>
      </w:pPr>
      <w:bookmarkStart w:id="72" w:name="ref-Andersen2010"/>
      <w:bookmarkEnd w:id="71"/>
      <w:r>
        <w:lastRenderedPageBreak/>
        <w:t xml:space="preserve">51. </w:t>
      </w:r>
      <w:r>
        <w:tab/>
        <w:t xml:space="preserve">Andersen, L.H. </w:t>
      </w:r>
      <w:r>
        <w:rPr>
          <w:i/>
          <w:iCs/>
        </w:rPr>
        <w:t>et al.</w:t>
      </w:r>
      <w:r>
        <w:t xml:space="preserve"> (2010) </w:t>
      </w:r>
      <w:hyperlink r:id="rId50">
        <w:r w:rsidR="00542893">
          <w:rPr>
            <w:rStyle w:val="Hyperlink"/>
          </w:rPr>
          <w:t>Protein and carbohydrate composition of larval food affects tolerance to thermal stress and desiccation in adult drosophila melanogaster</w:t>
        </w:r>
      </w:hyperlink>
      <w:r>
        <w:t xml:space="preserve">. </w:t>
      </w:r>
      <w:r>
        <w:rPr>
          <w:i/>
          <w:iCs/>
        </w:rPr>
        <w:t>J. Insect Physiol.</w:t>
      </w:r>
      <w:r>
        <w:t xml:space="preserve"> 56, 336–340</w:t>
      </w:r>
    </w:p>
    <w:p w14:paraId="2C04986A" w14:textId="77777777" w:rsidR="00542893" w:rsidRDefault="00000000">
      <w:pPr>
        <w:pStyle w:val="Bibliography"/>
      </w:pPr>
      <w:bookmarkStart w:id="73" w:name="ref-Chouhan2023"/>
      <w:bookmarkEnd w:id="72"/>
      <w:r>
        <w:t xml:space="preserve">52. </w:t>
      </w:r>
      <w:r>
        <w:tab/>
        <w:t xml:space="preserve">Chouhan, D. </w:t>
      </w:r>
      <w:r>
        <w:rPr>
          <w:i/>
          <w:iCs/>
        </w:rPr>
        <w:t>et al.</w:t>
      </w:r>
      <w:r>
        <w:t xml:space="preserve"> (2023) </w:t>
      </w:r>
      <w:hyperlink r:id="rId51">
        <w:r w:rsidR="00542893">
          <w:rPr>
            <w:rStyle w:val="Hyperlink"/>
          </w:rPr>
          <w:t>Plant-microbe interaction and their role in mitigation of heat stress</w:t>
        </w:r>
      </w:hyperlink>
      <w:r>
        <w:t xml:space="preserve">. In </w:t>
      </w:r>
      <w:r>
        <w:rPr>
          <w:i/>
          <w:iCs/>
        </w:rPr>
        <w:t>Rhizosphere biology</w:t>
      </w:r>
      <w:r>
        <w:t>, pp. 127–147, Springer Nature Singapore</w:t>
      </w:r>
    </w:p>
    <w:p w14:paraId="4757EB48" w14:textId="77777777" w:rsidR="00542893" w:rsidRDefault="00000000">
      <w:pPr>
        <w:pStyle w:val="Bibliography"/>
      </w:pPr>
      <w:bookmarkStart w:id="74" w:name="ref-Marquez2007"/>
      <w:bookmarkEnd w:id="73"/>
      <w:r>
        <w:t xml:space="preserve">53. </w:t>
      </w:r>
      <w:r>
        <w:tab/>
        <w:t xml:space="preserve">Márquez, L.M. </w:t>
      </w:r>
      <w:r>
        <w:rPr>
          <w:i/>
          <w:iCs/>
        </w:rPr>
        <w:t>et al.</w:t>
      </w:r>
      <w:r>
        <w:t xml:space="preserve"> (2007) A virus in a fungus in a plant: Three-way symbiosis required for thermal tolerance. </w:t>
      </w:r>
      <w:r>
        <w:rPr>
          <w:i/>
          <w:iCs/>
        </w:rPr>
        <w:t>Science</w:t>
      </w:r>
      <w:r>
        <w:t xml:space="preserve"> 315, 513–515</w:t>
      </w:r>
    </w:p>
    <w:p w14:paraId="12E9FBA8" w14:textId="77777777" w:rsidR="00542893" w:rsidRDefault="00000000">
      <w:pPr>
        <w:pStyle w:val="Bibliography"/>
      </w:pPr>
      <w:bookmarkStart w:id="75" w:name="ref-Hoang2019"/>
      <w:bookmarkEnd w:id="74"/>
      <w:r>
        <w:t xml:space="preserve">54. </w:t>
      </w:r>
      <w:r>
        <w:tab/>
        <w:t xml:space="preserve">Hoang, K.L. </w:t>
      </w:r>
      <w:r>
        <w:rPr>
          <w:i/>
          <w:iCs/>
        </w:rPr>
        <w:t>et al.</w:t>
      </w:r>
      <w:r>
        <w:t xml:space="preserve"> (2019) </w:t>
      </w:r>
      <w:hyperlink r:id="rId52">
        <w:r w:rsidR="00542893">
          <w:rPr>
            <w:rStyle w:val="Hyperlink"/>
          </w:rPr>
          <w:t>The effects of bacillus subtilis on caenorhabditis elegans fitness after heat stress</w:t>
        </w:r>
      </w:hyperlink>
      <w:r>
        <w:t xml:space="preserve">. </w:t>
      </w:r>
      <w:r>
        <w:rPr>
          <w:i/>
          <w:iCs/>
        </w:rPr>
        <w:t>Ecol. Evol.</w:t>
      </w:r>
      <w:r>
        <w:t xml:space="preserve"> 9, 3491–3499</w:t>
      </w:r>
    </w:p>
    <w:p w14:paraId="35680EFC" w14:textId="77777777" w:rsidR="00542893" w:rsidRDefault="00000000">
      <w:pPr>
        <w:pStyle w:val="Bibliography"/>
      </w:pPr>
      <w:bookmarkStart w:id="76" w:name="ref-Kearney2020a"/>
      <w:bookmarkEnd w:id="75"/>
      <w:r>
        <w:t xml:space="preserve">55. </w:t>
      </w:r>
      <w:r>
        <w:tab/>
        <w:t xml:space="preserve">Kearney, M.R. and Porter, W.P. (2020) </w:t>
      </w:r>
      <w:hyperlink r:id="rId53">
        <w:r w:rsidR="00542893">
          <w:rPr>
            <w:rStyle w:val="Hyperlink"/>
          </w:rPr>
          <w:t>NicheMapR – an R package for biophysical modelling: The ectotherm and dynamic energy budget models</w:t>
        </w:r>
      </w:hyperlink>
      <w:r>
        <w:t xml:space="preserve">. </w:t>
      </w:r>
      <w:r>
        <w:rPr>
          <w:i/>
          <w:iCs/>
        </w:rPr>
        <w:t>Ecography (Cop.)</w:t>
      </w:r>
      <w:r>
        <w:t xml:space="preserve"> 43, 85–96</w:t>
      </w:r>
    </w:p>
    <w:p w14:paraId="7413A0CD" w14:textId="77777777" w:rsidR="00542893" w:rsidRDefault="00000000">
      <w:pPr>
        <w:pStyle w:val="Bibliography"/>
      </w:pPr>
      <w:bookmarkStart w:id="77" w:name="ref-Nisbet2000"/>
      <w:bookmarkEnd w:id="76"/>
      <w:r>
        <w:t xml:space="preserve">56. </w:t>
      </w:r>
      <w:r>
        <w:tab/>
        <w:t xml:space="preserve">Nisbet, R. </w:t>
      </w:r>
      <w:r>
        <w:rPr>
          <w:i/>
          <w:iCs/>
        </w:rPr>
        <w:t>et al.</w:t>
      </w:r>
      <w:r>
        <w:t xml:space="preserve"> (2000) </w:t>
      </w:r>
      <w:hyperlink r:id="rId54">
        <w:r w:rsidR="00542893">
          <w:rPr>
            <w:rStyle w:val="Hyperlink"/>
          </w:rPr>
          <w:t>From molecules to ecosystems through dynamic energy budget models</w:t>
        </w:r>
      </w:hyperlink>
      <w:r>
        <w:t xml:space="preserve">. </w:t>
      </w:r>
      <w:r>
        <w:rPr>
          <w:i/>
          <w:iCs/>
        </w:rPr>
        <w:t>Journal of Animal Ecology</w:t>
      </w:r>
      <w:r>
        <w:t xml:space="preserve"> 69, 913–926</w:t>
      </w:r>
    </w:p>
    <w:p w14:paraId="300CCEB6" w14:textId="77777777" w:rsidR="00542893" w:rsidRDefault="00000000">
      <w:pPr>
        <w:pStyle w:val="Bibliography"/>
      </w:pPr>
      <w:bookmarkStart w:id="78" w:name="ref-Jager2020"/>
      <w:bookmarkEnd w:id="77"/>
      <w:r>
        <w:t xml:space="preserve">57. </w:t>
      </w:r>
      <w:r>
        <w:tab/>
        <w:t xml:space="preserve">Jager, T. (2020) </w:t>
      </w:r>
      <w:hyperlink r:id="rId55">
        <w:r w:rsidR="00542893">
          <w:rPr>
            <w:rStyle w:val="Hyperlink"/>
          </w:rPr>
          <w:t>Revisiting simplified DEBtox models for analysing ecotoxicity data</w:t>
        </w:r>
      </w:hyperlink>
      <w:r>
        <w:t xml:space="preserve">. </w:t>
      </w:r>
      <w:r>
        <w:rPr>
          <w:i/>
          <w:iCs/>
        </w:rPr>
        <w:t>Ecol. Modell.</w:t>
      </w:r>
      <w:r>
        <w:t xml:space="preserve"> 416, 108904</w:t>
      </w:r>
    </w:p>
    <w:p w14:paraId="7662E7B8" w14:textId="77777777" w:rsidR="00542893" w:rsidRDefault="00000000">
      <w:pPr>
        <w:pStyle w:val="Bibliography"/>
      </w:pPr>
      <w:bookmarkStart w:id="79" w:name="ref-Kearney2013"/>
      <w:bookmarkEnd w:id="78"/>
      <w:r>
        <w:t xml:space="preserve">58. </w:t>
      </w:r>
      <w:r>
        <w:tab/>
        <w:t xml:space="preserve">Kearney, M.R. </w:t>
      </w:r>
      <w:r>
        <w:rPr>
          <w:i/>
          <w:iCs/>
        </w:rPr>
        <w:t>et al.</w:t>
      </w:r>
      <w:r>
        <w:t xml:space="preserve"> (2013) Balancing heat, water and nutrients under environmental change: A thermodynamic niche framework. </w:t>
      </w:r>
      <w:r>
        <w:rPr>
          <w:i/>
          <w:iCs/>
        </w:rPr>
        <w:t>Funct. Ecol.</w:t>
      </w:r>
      <w:r>
        <w:t xml:space="preserve"> 27, 950–966</w:t>
      </w:r>
    </w:p>
    <w:p w14:paraId="4B60623F" w14:textId="77777777" w:rsidR="00542893" w:rsidRDefault="00000000">
      <w:pPr>
        <w:pStyle w:val="Bibliography"/>
      </w:pPr>
      <w:bookmarkStart w:id="80" w:name="ref-Kearney2010"/>
      <w:bookmarkEnd w:id="79"/>
      <w:r>
        <w:t xml:space="preserve">59. </w:t>
      </w:r>
      <w:r>
        <w:tab/>
        <w:t xml:space="preserve">Kearney, M. </w:t>
      </w:r>
      <w:r>
        <w:rPr>
          <w:i/>
          <w:iCs/>
        </w:rPr>
        <w:t>et al.</w:t>
      </w:r>
      <w:r>
        <w:t xml:space="preserve"> (2010) </w:t>
      </w:r>
      <w:hyperlink r:id="rId56">
        <w:r w:rsidR="00542893">
          <w:rPr>
            <w:rStyle w:val="Hyperlink"/>
          </w:rPr>
          <w:t>Modelling the ecological niche from functional traits</w:t>
        </w:r>
      </w:hyperlink>
      <w:r>
        <w:t xml:space="preserve">. </w:t>
      </w:r>
      <w:r>
        <w:rPr>
          <w:i/>
          <w:iCs/>
        </w:rPr>
        <w:t>Philos. Trans. R. Soc. Lond. B Biol. Sci.</w:t>
      </w:r>
      <w:r>
        <w:t xml:space="preserve"> 365, 3469–3483</w:t>
      </w:r>
    </w:p>
    <w:p w14:paraId="4BA5F403" w14:textId="77777777" w:rsidR="00542893" w:rsidRDefault="00000000">
      <w:pPr>
        <w:pStyle w:val="Bibliography"/>
      </w:pPr>
      <w:bookmarkStart w:id="81" w:name="ref-Marques2018"/>
      <w:bookmarkEnd w:id="80"/>
      <w:r>
        <w:t xml:space="preserve">60. </w:t>
      </w:r>
      <w:r>
        <w:tab/>
        <w:t xml:space="preserve">Marques, G.M. </w:t>
      </w:r>
      <w:r>
        <w:rPr>
          <w:i/>
          <w:iCs/>
        </w:rPr>
        <w:t>et al.</w:t>
      </w:r>
      <w:r>
        <w:t xml:space="preserve"> (2018) </w:t>
      </w:r>
      <w:hyperlink r:id="rId57">
        <w:r w:rsidR="00542893">
          <w:rPr>
            <w:rStyle w:val="Hyperlink"/>
          </w:rPr>
          <w:t>The AmP project: Comparing species on the basis of dynamic energy budget parameters</w:t>
        </w:r>
      </w:hyperlink>
      <w:r>
        <w:t xml:space="preserve">. </w:t>
      </w:r>
      <w:r>
        <w:rPr>
          <w:i/>
          <w:iCs/>
        </w:rPr>
        <w:t>PLoS Comput. Biol.</w:t>
      </w:r>
      <w:r>
        <w:t xml:space="preserve"> 14, e1006100</w:t>
      </w:r>
    </w:p>
    <w:p w14:paraId="388EEADC" w14:textId="77777777" w:rsidR="00542893" w:rsidRDefault="00000000">
      <w:pPr>
        <w:pStyle w:val="Bibliography"/>
      </w:pPr>
      <w:bookmarkStart w:id="82" w:name="ref-Kooijman2021"/>
      <w:bookmarkEnd w:id="81"/>
      <w:r>
        <w:t xml:space="preserve">61. </w:t>
      </w:r>
      <w:r>
        <w:tab/>
        <w:t xml:space="preserve">Kooijman, S.A.L.M. </w:t>
      </w:r>
      <w:r>
        <w:rPr>
          <w:i/>
          <w:iCs/>
        </w:rPr>
        <w:t>et al.</w:t>
      </w:r>
      <w:r>
        <w:t xml:space="preserve"> (2021) </w:t>
      </w:r>
      <w:hyperlink r:id="rId58">
        <w:r w:rsidR="00542893">
          <w:rPr>
            <w:rStyle w:val="Hyperlink"/>
          </w:rPr>
          <w:t>Multidimensional scaling for animal traits in the context of dynamic energy budget theory</w:t>
        </w:r>
      </w:hyperlink>
      <w:r>
        <w:t xml:space="preserve">. </w:t>
      </w:r>
      <w:r>
        <w:rPr>
          <w:i/>
          <w:iCs/>
        </w:rPr>
        <w:t>Conserv. Physiol.</w:t>
      </w:r>
      <w:r>
        <w:t xml:space="preserve"> 9, coab086</w:t>
      </w:r>
    </w:p>
    <w:p w14:paraId="5DD4D69B" w14:textId="77777777" w:rsidR="00542893" w:rsidRDefault="00000000">
      <w:pPr>
        <w:pStyle w:val="Bibliography"/>
      </w:pPr>
      <w:bookmarkStart w:id="83" w:name="ref-Bruggeman2009"/>
      <w:bookmarkEnd w:id="82"/>
      <w:r>
        <w:t xml:space="preserve">62. </w:t>
      </w:r>
      <w:r>
        <w:tab/>
        <w:t xml:space="preserve">Bruggeman, J. </w:t>
      </w:r>
      <w:r>
        <w:rPr>
          <w:i/>
          <w:iCs/>
        </w:rPr>
        <w:t>et al.</w:t>
      </w:r>
      <w:r>
        <w:t xml:space="preserve"> (2009) </w:t>
      </w:r>
      <w:hyperlink r:id="rId59">
        <w:r w:rsidR="00542893">
          <w:rPr>
            <w:rStyle w:val="Hyperlink"/>
          </w:rPr>
          <w:t>PhyloPars: Estimation of missing parameter values using phylogeny</w:t>
        </w:r>
      </w:hyperlink>
      <w:r>
        <w:t xml:space="preserve">. </w:t>
      </w:r>
      <w:r>
        <w:rPr>
          <w:i/>
          <w:iCs/>
        </w:rPr>
        <w:t>Nucleic Acids Research</w:t>
      </w:r>
      <w:r>
        <w:t xml:space="preserve"> 37, W179–W184</w:t>
      </w:r>
    </w:p>
    <w:p w14:paraId="4939EC99" w14:textId="77777777" w:rsidR="00542893" w:rsidRDefault="00000000">
      <w:pPr>
        <w:pStyle w:val="Bibliography"/>
      </w:pPr>
      <w:bookmarkStart w:id="84" w:name="ref-Bonan2019"/>
      <w:bookmarkEnd w:id="83"/>
      <w:r>
        <w:t xml:space="preserve">63. </w:t>
      </w:r>
      <w:r>
        <w:tab/>
        <w:t xml:space="preserve">Bonan, G. (2019) </w:t>
      </w:r>
      <w:r>
        <w:rPr>
          <w:i/>
          <w:iCs/>
        </w:rPr>
        <w:t>Climate change and terrestrial ecosystem modeling</w:t>
      </w:r>
      <w:r>
        <w:t>, Cambridge University Press</w:t>
      </w:r>
    </w:p>
    <w:p w14:paraId="4E367FD3" w14:textId="77777777" w:rsidR="00542893" w:rsidRDefault="00000000">
      <w:pPr>
        <w:pStyle w:val="Bibliography"/>
      </w:pPr>
      <w:bookmarkStart w:id="85" w:name="ref-Kumarathunge2019"/>
      <w:bookmarkEnd w:id="84"/>
      <w:r>
        <w:t xml:space="preserve">64. </w:t>
      </w:r>
      <w:r>
        <w:tab/>
        <w:t xml:space="preserve">Kumarathunge, D.P. </w:t>
      </w:r>
      <w:r>
        <w:rPr>
          <w:i/>
          <w:iCs/>
        </w:rPr>
        <w:t>et al.</w:t>
      </w:r>
      <w:r>
        <w:t xml:space="preserve"> (2019) </w:t>
      </w:r>
      <w:hyperlink r:id="rId60">
        <w:r w:rsidR="00542893">
          <w:rPr>
            <w:rStyle w:val="Hyperlink"/>
          </w:rPr>
          <w:t>Acclimation and adaptation components of the temperature dependence of plant photosynthesis at the global scale</w:t>
        </w:r>
      </w:hyperlink>
      <w:r>
        <w:t xml:space="preserve">. </w:t>
      </w:r>
      <w:r>
        <w:rPr>
          <w:i/>
          <w:iCs/>
        </w:rPr>
        <w:t>New Phytol.</w:t>
      </w:r>
      <w:r>
        <w:t xml:space="preserve"> 222, 768–784</w:t>
      </w:r>
    </w:p>
    <w:p w14:paraId="1BD29E1E" w14:textId="77777777" w:rsidR="00542893" w:rsidRDefault="00000000">
      <w:pPr>
        <w:pStyle w:val="Bibliography"/>
      </w:pPr>
      <w:bookmarkStart w:id="86" w:name="ref-De_Kauwe2020"/>
      <w:bookmarkEnd w:id="85"/>
      <w:r>
        <w:t xml:space="preserve">65. </w:t>
      </w:r>
      <w:r>
        <w:tab/>
        <w:t xml:space="preserve">De Kauwe, M.G. </w:t>
      </w:r>
      <w:r>
        <w:rPr>
          <w:i/>
          <w:iCs/>
        </w:rPr>
        <w:t>et al.</w:t>
      </w:r>
      <w:r>
        <w:t xml:space="preserve"> (2020) </w:t>
      </w:r>
      <w:hyperlink r:id="rId61">
        <w:r w:rsidR="00542893">
          <w:rPr>
            <w:rStyle w:val="Hyperlink"/>
          </w:rPr>
          <w:t>Identifying areas at risk of drought-induced tree mortality across south-eastern australia</w:t>
        </w:r>
      </w:hyperlink>
      <w:r>
        <w:t xml:space="preserve">. </w:t>
      </w:r>
      <w:r>
        <w:rPr>
          <w:i/>
          <w:iCs/>
        </w:rPr>
        <w:t>Glob. Chang. Biol.</w:t>
      </w:r>
      <w:r>
        <w:t xml:space="preserve"> 26, 5716–5733</w:t>
      </w:r>
    </w:p>
    <w:p w14:paraId="7A089DEA" w14:textId="77777777" w:rsidR="00542893" w:rsidRDefault="00000000">
      <w:pPr>
        <w:pStyle w:val="Bibliography"/>
      </w:pPr>
      <w:bookmarkStart w:id="87" w:name="ref-Chesson2000"/>
      <w:bookmarkEnd w:id="86"/>
      <w:r>
        <w:t xml:space="preserve">66. </w:t>
      </w:r>
      <w:r>
        <w:tab/>
        <w:t xml:space="preserve">Chesson, P. (2000) </w:t>
      </w:r>
      <w:hyperlink r:id="rId62">
        <w:r w:rsidR="00542893">
          <w:rPr>
            <w:rStyle w:val="Hyperlink"/>
          </w:rPr>
          <w:t>General theory of competitive coexistence in spatially-varying environments</w:t>
        </w:r>
      </w:hyperlink>
      <w:r>
        <w:t xml:space="preserve">. </w:t>
      </w:r>
      <w:r>
        <w:rPr>
          <w:i/>
          <w:iCs/>
        </w:rPr>
        <w:t>Theor. Popul. Biol.</w:t>
      </w:r>
      <w:r>
        <w:t xml:space="preserve"> 58, 211–237</w:t>
      </w:r>
    </w:p>
    <w:p w14:paraId="379F22FA" w14:textId="77777777" w:rsidR="00542893" w:rsidRDefault="00000000">
      <w:pPr>
        <w:pStyle w:val="Bibliography"/>
      </w:pPr>
      <w:bookmarkStart w:id="88" w:name="ref-Ricker1954a"/>
      <w:bookmarkEnd w:id="87"/>
      <w:r>
        <w:t xml:space="preserve">67. </w:t>
      </w:r>
      <w:r>
        <w:tab/>
        <w:t xml:space="preserve">Ricker, W.E. (1954) </w:t>
      </w:r>
      <w:hyperlink r:id="rId63">
        <w:r w:rsidR="00542893">
          <w:rPr>
            <w:rStyle w:val="Hyperlink"/>
          </w:rPr>
          <w:t>Stock and recruitment</w:t>
        </w:r>
      </w:hyperlink>
      <w:r>
        <w:t xml:space="preserve">. </w:t>
      </w:r>
      <w:r>
        <w:rPr>
          <w:i/>
          <w:iCs/>
        </w:rPr>
        <w:t>J. Fish. Res. Board Can.</w:t>
      </w:r>
      <w:r>
        <w:t xml:space="preserve"> 11, 559–623</w:t>
      </w:r>
    </w:p>
    <w:p w14:paraId="6F0DAC28" w14:textId="77777777" w:rsidR="00542893" w:rsidRDefault="00000000">
      <w:pPr>
        <w:pStyle w:val="Bibliography"/>
      </w:pPr>
      <w:bookmarkStart w:id="89" w:name="ref-Beverton2012"/>
      <w:bookmarkEnd w:id="88"/>
      <w:r>
        <w:t xml:space="preserve">68. </w:t>
      </w:r>
      <w:r>
        <w:tab/>
        <w:t xml:space="preserve">Beverton, R.J.H. and Holt, S. (2012) </w:t>
      </w:r>
      <w:hyperlink r:id="rId64">
        <w:r w:rsidR="00542893">
          <w:rPr>
            <w:rStyle w:val="Hyperlink"/>
            <w:i/>
            <w:iCs/>
          </w:rPr>
          <w:t>On the dynamics of exploited fish populations</w:t>
        </w:r>
      </w:hyperlink>
      <w:r>
        <w:t>, Springer</w:t>
      </w:r>
    </w:p>
    <w:p w14:paraId="7A92647A" w14:textId="77777777" w:rsidR="00542893" w:rsidRDefault="00000000">
      <w:pPr>
        <w:pStyle w:val="Bibliography"/>
      </w:pPr>
      <w:bookmarkStart w:id="90" w:name="ref-Mayfield2017"/>
      <w:bookmarkEnd w:id="89"/>
      <w:r>
        <w:t xml:space="preserve">69. </w:t>
      </w:r>
      <w:r>
        <w:tab/>
        <w:t xml:space="preserve">Mayfield, M. and Stouffer, D.B. (2017) </w:t>
      </w:r>
      <w:hyperlink r:id="rId65">
        <w:r w:rsidR="00542893">
          <w:rPr>
            <w:rStyle w:val="Hyperlink"/>
          </w:rPr>
          <w:t>Higher-order interactions capture unexplained complexity in diverse communities</w:t>
        </w:r>
      </w:hyperlink>
      <w:r>
        <w:t xml:space="preserve">. </w:t>
      </w:r>
      <w:r>
        <w:rPr>
          <w:i/>
          <w:iCs/>
        </w:rPr>
        <w:t>Nature Ecology &amp;Evolution</w:t>
      </w:r>
      <w:r>
        <w:t xml:space="preserve"> 1, 0062</w:t>
      </w:r>
    </w:p>
    <w:p w14:paraId="5D259661" w14:textId="77777777" w:rsidR="00542893" w:rsidRDefault="00000000">
      <w:pPr>
        <w:pStyle w:val="Bibliography"/>
      </w:pPr>
      <w:bookmarkStart w:id="91" w:name="ref-Buche2025"/>
      <w:bookmarkEnd w:id="90"/>
      <w:r>
        <w:t xml:space="preserve">70. </w:t>
      </w:r>
      <w:r>
        <w:tab/>
        <w:t xml:space="preserve">Buche, L. </w:t>
      </w:r>
      <w:r>
        <w:rPr>
          <w:i/>
          <w:iCs/>
        </w:rPr>
        <w:t>et al.</w:t>
      </w:r>
      <w:r>
        <w:t xml:space="preserve"> (2025) </w:t>
      </w:r>
      <w:hyperlink r:id="rId66">
        <w:r w:rsidR="00542893">
          <w:rPr>
            <w:rStyle w:val="Hyperlink"/>
          </w:rPr>
          <w:t>A continuum from positive to negative interactions drives plant species’ performance in a diverse community</w:t>
        </w:r>
      </w:hyperlink>
      <w:r>
        <w:t xml:space="preserve">. </w:t>
      </w:r>
      <w:r>
        <w:rPr>
          <w:i/>
          <w:iCs/>
        </w:rPr>
        <w:t>Ecol. Lett.</w:t>
      </w:r>
      <w:r>
        <w:t xml:space="preserve"> 28, e70059</w:t>
      </w:r>
    </w:p>
    <w:p w14:paraId="0606DD09" w14:textId="77777777" w:rsidR="00542893" w:rsidRDefault="00000000">
      <w:pPr>
        <w:pStyle w:val="Bibliography"/>
      </w:pPr>
      <w:bookmarkStart w:id="92" w:name="ref-Bimler2024"/>
      <w:bookmarkEnd w:id="91"/>
      <w:r>
        <w:lastRenderedPageBreak/>
        <w:t xml:space="preserve">71. </w:t>
      </w:r>
      <w:r>
        <w:tab/>
        <w:t xml:space="preserve">Bimler, M.D. </w:t>
      </w:r>
      <w:r>
        <w:rPr>
          <w:i/>
          <w:iCs/>
        </w:rPr>
        <w:t>et al.</w:t>
      </w:r>
      <w:r>
        <w:t xml:space="preserve"> (2024) </w:t>
      </w:r>
      <w:hyperlink r:id="rId67">
        <w:r w:rsidR="00542893">
          <w:rPr>
            <w:rStyle w:val="Hyperlink"/>
          </w:rPr>
          <w:t>Plant interaction networks reveal the limits of our understanding of diversity maintenance</w:t>
        </w:r>
      </w:hyperlink>
      <w:r>
        <w:t xml:space="preserve">. </w:t>
      </w:r>
      <w:r>
        <w:rPr>
          <w:i/>
          <w:iCs/>
        </w:rPr>
        <w:t>Ecol. Lett.</w:t>
      </w:r>
      <w:r>
        <w:t xml:space="preserve"> 27, e14376</w:t>
      </w:r>
    </w:p>
    <w:p w14:paraId="505A54EC" w14:textId="77777777" w:rsidR="00542893" w:rsidRDefault="00000000">
      <w:pPr>
        <w:pStyle w:val="Bibliography"/>
      </w:pPr>
      <w:bookmarkStart w:id="93" w:name="ref-Martyn2021"/>
      <w:bookmarkEnd w:id="92"/>
      <w:r>
        <w:t xml:space="preserve">72. </w:t>
      </w:r>
      <w:r>
        <w:tab/>
        <w:t xml:space="preserve">Martyn, T.E. </w:t>
      </w:r>
      <w:r>
        <w:rPr>
          <w:i/>
          <w:iCs/>
        </w:rPr>
        <w:t>et al.</w:t>
      </w:r>
      <w:r>
        <w:t xml:space="preserve"> (2021) </w:t>
      </w:r>
      <w:hyperlink r:id="rId68">
        <w:r w:rsidR="00542893">
          <w:rPr>
            <w:rStyle w:val="Hyperlink"/>
          </w:rPr>
          <w:t>Identifying “useful” fitness models: Balancing the benefits of added complexity with realistic data requirements in models of individual plant fitness</w:t>
        </w:r>
      </w:hyperlink>
      <w:r>
        <w:t xml:space="preserve">. </w:t>
      </w:r>
      <w:r>
        <w:rPr>
          <w:i/>
          <w:iCs/>
        </w:rPr>
        <w:t>Am. Nat.</w:t>
      </w:r>
      <w:r>
        <w:t xml:space="preserve"> 197, 415–433</w:t>
      </w:r>
    </w:p>
    <w:p w14:paraId="3478B37B" w14:textId="77777777" w:rsidR="00542893" w:rsidRDefault="00000000">
      <w:pPr>
        <w:pStyle w:val="Bibliography"/>
      </w:pPr>
      <w:bookmarkStart w:id="94" w:name="ref-Llandres2015"/>
      <w:bookmarkEnd w:id="93"/>
      <w:r>
        <w:t xml:space="preserve">73. </w:t>
      </w:r>
      <w:r>
        <w:tab/>
        <w:t xml:space="preserve">Llandres, A.L. </w:t>
      </w:r>
      <w:r>
        <w:rPr>
          <w:i/>
          <w:iCs/>
        </w:rPr>
        <w:t>et al.</w:t>
      </w:r>
      <w:r>
        <w:t xml:space="preserve"> (2015) </w:t>
      </w:r>
      <w:hyperlink r:id="rId69">
        <w:r w:rsidR="00542893">
          <w:rPr>
            <w:rStyle w:val="Hyperlink"/>
          </w:rPr>
          <w:t>A dynamic energy budget for the whole life-cycle of holometabolous insects</w:t>
        </w:r>
      </w:hyperlink>
      <w:r>
        <w:t xml:space="preserve">. </w:t>
      </w:r>
      <w:r>
        <w:rPr>
          <w:i/>
          <w:iCs/>
        </w:rPr>
        <w:t>Ecol. Monogr.</w:t>
      </w:r>
      <w:r>
        <w:t xml:space="preserve"> 85, 353–371</w:t>
      </w:r>
    </w:p>
    <w:p w14:paraId="158A560B" w14:textId="77777777" w:rsidR="00542893" w:rsidRDefault="00000000">
      <w:pPr>
        <w:pStyle w:val="Bibliography"/>
      </w:pPr>
      <w:bookmarkStart w:id="95" w:name="ref-Shekhawat2022"/>
      <w:bookmarkEnd w:id="94"/>
      <w:r>
        <w:t xml:space="preserve">74. </w:t>
      </w:r>
      <w:r>
        <w:tab/>
        <w:t xml:space="preserve">Shekhawat, K. </w:t>
      </w:r>
      <w:r>
        <w:rPr>
          <w:i/>
          <w:iCs/>
        </w:rPr>
        <w:t>et al.</w:t>
      </w:r>
      <w:r>
        <w:t xml:space="preserve"> (2022) </w:t>
      </w:r>
      <w:hyperlink r:id="rId70">
        <w:r w:rsidR="00542893">
          <w:rPr>
            <w:rStyle w:val="Hyperlink"/>
          </w:rPr>
          <w:t>Beat the heat: Plant- and microbe-mediated strategies for crop thermotolerance</w:t>
        </w:r>
      </w:hyperlink>
      <w:r>
        <w:t xml:space="preserve">. </w:t>
      </w:r>
      <w:r>
        <w:rPr>
          <w:i/>
          <w:iCs/>
        </w:rPr>
        <w:t>Trends Plant Sci.</w:t>
      </w:r>
      <w:r>
        <w:t xml:space="preserve"> 27, 802–813</w:t>
      </w:r>
    </w:p>
    <w:p w14:paraId="7713AE19" w14:textId="77777777" w:rsidR="00542893" w:rsidRDefault="00000000">
      <w:pPr>
        <w:pStyle w:val="Bibliography"/>
      </w:pPr>
      <w:bookmarkStart w:id="96" w:name="ref-Baeckens2025"/>
      <w:bookmarkEnd w:id="95"/>
      <w:r>
        <w:t xml:space="preserve">75. </w:t>
      </w:r>
      <w:r>
        <w:tab/>
        <w:t xml:space="preserve">Baeckens, S. and Donihue, C.M. (2025) Evolutionary consequences of extreme climate events. </w:t>
      </w:r>
      <w:r>
        <w:rPr>
          <w:i/>
          <w:iCs/>
        </w:rPr>
        <w:t>Current Biology</w:t>
      </w:r>
      <w:r>
        <w:t xml:space="preserve"> 35, R850–R864</w:t>
      </w:r>
    </w:p>
    <w:p w14:paraId="490AE792" w14:textId="77777777" w:rsidR="00542893" w:rsidRDefault="00000000">
      <w:pPr>
        <w:pStyle w:val="Bibliography"/>
      </w:pPr>
      <w:bookmarkStart w:id="97" w:name="ref-Urban2024"/>
      <w:bookmarkEnd w:id="96"/>
      <w:r>
        <w:t xml:space="preserve">76. </w:t>
      </w:r>
      <w:r>
        <w:tab/>
        <w:t xml:space="preserve">Urban, M.C. (2024) </w:t>
      </w:r>
      <w:hyperlink r:id="rId71">
        <w:r w:rsidR="00542893">
          <w:rPr>
            <w:rStyle w:val="Hyperlink"/>
          </w:rPr>
          <w:t>Climate change extinctions</w:t>
        </w:r>
      </w:hyperlink>
      <w:r>
        <w:t xml:space="preserve">. </w:t>
      </w:r>
      <w:r>
        <w:rPr>
          <w:i/>
          <w:iCs/>
        </w:rPr>
        <w:t>Science</w:t>
      </w:r>
      <w:r>
        <w:t xml:space="preserve"> 386, 1123–1128</w:t>
      </w:r>
    </w:p>
    <w:p w14:paraId="4262BADC" w14:textId="77777777" w:rsidR="00542893" w:rsidRDefault="00000000">
      <w:pPr>
        <w:pStyle w:val="Bibliography"/>
      </w:pPr>
      <w:bookmarkStart w:id="98" w:name="ref-Munoz-Sabater2021"/>
      <w:bookmarkEnd w:id="97"/>
      <w:r>
        <w:t xml:space="preserve">77. </w:t>
      </w:r>
      <w:r>
        <w:tab/>
        <w:t xml:space="preserve">Muñoz-Sabater, J. </w:t>
      </w:r>
      <w:r>
        <w:rPr>
          <w:i/>
          <w:iCs/>
        </w:rPr>
        <w:t>et al.</w:t>
      </w:r>
      <w:r>
        <w:t xml:space="preserve"> (2021) ERA5-land: A state-of-the-art global reanalysis dataset for land applications. </w:t>
      </w:r>
      <w:r>
        <w:rPr>
          <w:i/>
          <w:iCs/>
        </w:rPr>
        <w:t>Earth system science data</w:t>
      </w:r>
      <w:r>
        <w:t xml:space="preserve"> 13, 4349–4383</w:t>
      </w:r>
    </w:p>
    <w:p w14:paraId="60A75632" w14:textId="77777777" w:rsidR="00542893" w:rsidRDefault="00000000">
      <w:pPr>
        <w:pStyle w:val="Bibliography"/>
      </w:pPr>
      <w:bookmarkStart w:id="99" w:name="ref-Eyring2016"/>
      <w:bookmarkEnd w:id="98"/>
      <w:r>
        <w:t xml:space="preserve">78. </w:t>
      </w:r>
      <w:r>
        <w:tab/>
        <w:t xml:space="preserve">Eyring, V. </w:t>
      </w:r>
      <w:r>
        <w:rPr>
          <w:i/>
          <w:iCs/>
        </w:rPr>
        <w:t>et al.</w:t>
      </w:r>
      <w:r>
        <w:t xml:space="preserve"> (2016) </w:t>
      </w:r>
      <w:hyperlink r:id="rId72">
        <w:r w:rsidR="00542893">
          <w:rPr>
            <w:rStyle w:val="Hyperlink"/>
          </w:rPr>
          <w:t>Overview of the coupled model intercomparison project phase 6 (CMIP6) experimental design and organization</w:t>
        </w:r>
      </w:hyperlink>
      <w:r>
        <w:t xml:space="preserve">. </w:t>
      </w:r>
      <w:r>
        <w:rPr>
          <w:i/>
          <w:iCs/>
        </w:rPr>
        <w:t>Geosci. Model Dev.</w:t>
      </w:r>
      <w:r>
        <w:t xml:space="preserve"> 9, 1937–1958</w:t>
      </w:r>
    </w:p>
    <w:p w14:paraId="0EA2B8EC" w14:textId="77777777" w:rsidR="00542893" w:rsidRDefault="00000000">
      <w:pPr>
        <w:pStyle w:val="Bibliography"/>
      </w:pPr>
      <w:bookmarkStart w:id="100" w:name="ref-Chevin2017"/>
      <w:bookmarkEnd w:id="99"/>
      <w:r>
        <w:t xml:space="preserve">79. </w:t>
      </w:r>
      <w:r>
        <w:tab/>
        <w:t xml:space="preserve">Chevin, L.-M. and Hoffmann, A.A. (2017) </w:t>
      </w:r>
      <w:hyperlink r:id="rId73">
        <w:r w:rsidR="00542893">
          <w:rPr>
            <w:rStyle w:val="Hyperlink"/>
          </w:rPr>
          <w:t>Evolution of phenotypic plasticity in extreme environments</w:t>
        </w:r>
      </w:hyperlink>
      <w:r>
        <w:t xml:space="preserve">. </w:t>
      </w:r>
      <w:r>
        <w:rPr>
          <w:i/>
          <w:iCs/>
        </w:rPr>
        <w:t>Philos. Trans. R. Soc. Lond. B Biol. Sci.</w:t>
      </w:r>
      <w:r>
        <w:t xml:space="preserve"> 372</w:t>
      </w:r>
    </w:p>
    <w:p w14:paraId="139CF9C6" w14:textId="77777777" w:rsidR="00542893" w:rsidRDefault="00000000">
      <w:pPr>
        <w:pStyle w:val="Bibliography"/>
      </w:pPr>
      <w:bookmarkStart w:id="101" w:name="ref-Hoffmann2022"/>
      <w:bookmarkEnd w:id="100"/>
      <w:r>
        <w:t xml:space="preserve">80. </w:t>
      </w:r>
      <w:r>
        <w:tab/>
        <w:t xml:space="preserve">Hoffmann, A.A. and Bridle, J. (2022) </w:t>
      </w:r>
      <w:hyperlink r:id="rId74">
        <w:r w:rsidR="00542893">
          <w:rPr>
            <w:rStyle w:val="Hyperlink"/>
          </w:rPr>
          <w:t>The dangers of irreversibility in an age of increased uncertainty: Revisiting plasticity in invertebrates</w:t>
        </w:r>
      </w:hyperlink>
      <w:r>
        <w:t xml:space="preserve">. </w:t>
      </w:r>
      <w:r>
        <w:rPr>
          <w:i/>
          <w:iCs/>
        </w:rPr>
        <w:t>Oikos</w:t>
      </w:r>
      <w:r>
        <w:t xml:space="preserve"> 2022</w:t>
      </w:r>
    </w:p>
    <w:p w14:paraId="0826D1B6" w14:textId="77777777" w:rsidR="00542893" w:rsidRDefault="00000000">
      <w:pPr>
        <w:pStyle w:val="Bibliography"/>
      </w:pPr>
      <w:bookmarkStart w:id="102" w:name="ref-Hoffmann2011"/>
      <w:bookmarkEnd w:id="101"/>
      <w:r>
        <w:t xml:space="preserve">81. </w:t>
      </w:r>
      <w:r>
        <w:tab/>
        <w:t>Hoffmann, A.A. and Sgrò, C.M. (2011) Climate change and evolutionary adaptation. 470, 479–485</w:t>
      </w:r>
    </w:p>
    <w:p w14:paraId="5447F01C" w14:textId="77777777" w:rsidR="00542893" w:rsidRDefault="00000000">
      <w:pPr>
        <w:pStyle w:val="Bibliography"/>
      </w:pPr>
      <w:bookmarkStart w:id="103" w:name="ref-Catullo2019"/>
      <w:bookmarkEnd w:id="102"/>
      <w:r>
        <w:t xml:space="preserve">82. </w:t>
      </w:r>
      <w:r>
        <w:tab/>
        <w:t xml:space="preserve">Catullo, R.A. </w:t>
      </w:r>
      <w:r>
        <w:rPr>
          <w:i/>
          <w:iCs/>
        </w:rPr>
        <w:t>et al.</w:t>
      </w:r>
      <w:r>
        <w:t xml:space="preserve"> (2019) The potential for rapid evolution under anthropogenic climate change. 29, R996–R1007</w:t>
      </w:r>
    </w:p>
    <w:p w14:paraId="66D33677" w14:textId="77777777" w:rsidR="00542893" w:rsidRDefault="00000000">
      <w:pPr>
        <w:pStyle w:val="Bibliography"/>
      </w:pPr>
      <w:bookmarkStart w:id="104" w:name="ref-Ghalambor2015"/>
      <w:bookmarkEnd w:id="103"/>
      <w:r>
        <w:t xml:space="preserve">83. </w:t>
      </w:r>
      <w:r>
        <w:tab/>
        <w:t xml:space="preserve">Ghalambor, C. </w:t>
      </w:r>
      <w:r>
        <w:rPr>
          <w:i/>
          <w:iCs/>
        </w:rPr>
        <w:t>et al.</w:t>
      </w:r>
      <w:r>
        <w:t xml:space="preserve"> (2015) </w:t>
      </w:r>
      <w:hyperlink r:id="rId75">
        <w:r w:rsidR="00542893">
          <w:rPr>
            <w:rStyle w:val="Hyperlink"/>
          </w:rPr>
          <w:t>Non-adaptive plasticity potentiates rapid adaptive evolution of gene expression in nature</w:t>
        </w:r>
      </w:hyperlink>
      <w:r>
        <w:t xml:space="preserve">. </w:t>
      </w:r>
      <w:r>
        <w:rPr>
          <w:i/>
          <w:iCs/>
        </w:rPr>
        <w:t>Nature</w:t>
      </w:r>
      <w:r>
        <w:t xml:space="preserve"> 525, 372–375</w:t>
      </w:r>
    </w:p>
    <w:p w14:paraId="4FDD5A55" w14:textId="77777777" w:rsidR="00542893" w:rsidRDefault="00000000">
      <w:pPr>
        <w:pStyle w:val="Bibliography"/>
      </w:pPr>
      <w:bookmarkStart w:id="105" w:name="ref-Sousa2010"/>
      <w:bookmarkEnd w:id="104"/>
      <w:r>
        <w:t xml:space="preserve">84. </w:t>
      </w:r>
      <w:r>
        <w:tab/>
        <w:t xml:space="preserve">Sousa, T. </w:t>
      </w:r>
      <w:r>
        <w:rPr>
          <w:i/>
          <w:iCs/>
        </w:rPr>
        <w:t>et al.</w:t>
      </w:r>
      <w:r>
        <w:t xml:space="preserve"> (2010) </w:t>
      </w:r>
      <w:hyperlink r:id="rId76">
        <w:r w:rsidR="00542893">
          <w:rPr>
            <w:rStyle w:val="Hyperlink"/>
          </w:rPr>
          <w:t>Dynamic energy budget theory restores coherence in biology</w:t>
        </w:r>
      </w:hyperlink>
      <w:r>
        <w:t xml:space="preserve">. </w:t>
      </w:r>
      <w:r>
        <w:rPr>
          <w:i/>
          <w:iCs/>
        </w:rPr>
        <w:t>Philos. Trans. R. Soc. Lond. B Biol. Sci.</w:t>
      </w:r>
      <w:r>
        <w:t xml:space="preserve"> 365, 3413–3428</w:t>
      </w:r>
    </w:p>
    <w:p w14:paraId="79DF4651" w14:textId="77777777" w:rsidR="00542893" w:rsidRDefault="00000000">
      <w:pPr>
        <w:pStyle w:val="Bibliography"/>
      </w:pPr>
      <w:bookmarkStart w:id="106" w:name="ref-Kearney2009a"/>
      <w:bookmarkEnd w:id="105"/>
      <w:r>
        <w:t xml:space="preserve">85. </w:t>
      </w:r>
      <w:r>
        <w:tab/>
        <w:t xml:space="preserve">Kearney, M. </w:t>
      </w:r>
      <w:r>
        <w:rPr>
          <w:i/>
          <w:iCs/>
        </w:rPr>
        <w:t>et al.</w:t>
      </w:r>
      <w:r>
        <w:t xml:space="preserve"> (2009) Integrating biophysical models and evolutionary theory to predict climatic impacts on species’ ranges: The dengue mosquito aedes aegypti in australia. </w:t>
      </w:r>
      <w:r>
        <w:rPr>
          <w:i/>
          <w:iCs/>
        </w:rPr>
        <w:t>Funct. Ecol.</w:t>
      </w:r>
      <w:r>
        <w:t xml:space="preserve"> 23, 528–538</w:t>
      </w:r>
    </w:p>
    <w:p w14:paraId="059990A8" w14:textId="77777777" w:rsidR="00542893" w:rsidRDefault="00000000">
      <w:pPr>
        <w:pStyle w:val="Bibliography"/>
      </w:pPr>
      <w:bookmarkStart w:id="107" w:name="ref-Lande1979"/>
      <w:bookmarkEnd w:id="106"/>
      <w:r>
        <w:t xml:space="preserve">86. </w:t>
      </w:r>
      <w:r>
        <w:tab/>
        <w:t xml:space="preserve">Lande, R. (1979) </w:t>
      </w:r>
      <w:hyperlink r:id="rId77">
        <w:r w:rsidR="00542893">
          <w:rPr>
            <w:rStyle w:val="Hyperlink"/>
          </w:rPr>
          <w:t>Quantitative genetic analysis of multivariate evolution, applied to brain:body size allometry</w:t>
        </w:r>
      </w:hyperlink>
      <w:r>
        <w:t xml:space="preserve">. </w:t>
      </w:r>
      <w:r>
        <w:rPr>
          <w:i/>
          <w:iCs/>
        </w:rPr>
        <w:t>Evolution</w:t>
      </w:r>
      <w:r>
        <w:t xml:space="preserve"> 33</w:t>
      </w:r>
    </w:p>
    <w:p w14:paraId="6F4F40D7" w14:textId="77777777" w:rsidR="00542893" w:rsidRDefault="00000000">
      <w:pPr>
        <w:pStyle w:val="Bibliography"/>
      </w:pPr>
      <w:bookmarkStart w:id="108" w:name="ref-Walsh2018"/>
      <w:bookmarkEnd w:id="107"/>
      <w:r>
        <w:t xml:space="preserve">87. </w:t>
      </w:r>
      <w:r>
        <w:tab/>
        <w:t xml:space="preserve">Walsh, B. and Lynch, M. (2018) </w:t>
      </w:r>
      <w:hyperlink r:id="rId78">
        <w:r w:rsidR="00542893">
          <w:rPr>
            <w:rStyle w:val="Hyperlink"/>
            <w:i/>
            <w:iCs/>
          </w:rPr>
          <w:t>Evolution and selection of quantitative traits</w:t>
        </w:r>
      </w:hyperlink>
      <w:r>
        <w:t>, Oxford University Press</w:t>
      </w:r>
    </w:p>
    <w:p w14:paraId="4E7760B4" w14:textId="77777777" w:rsidR="00542893" w:rsidRDefault="00000000">
      <w:pPr>
        <w:pStyle w:val="Bibliography"/>
      </w:pPr>
      <w:bookmarkStart w:id="109" w:name="ref-McGlothlin2014a"/>
      <w:bookmarkEnd w:id="108"/>
      <w:r>
        <w:t xml:space="preserve">88. </w:t>
      </w:r>
      <w:r>
        <w:tab/>
        <w:t xml:space="preserve">McGlothlin, J. and Galloway, L. (2014) </w:t>
      </w:r>
      <w:hyperlink r:id="rId79">
        <w:r w:rsidR="00542893">
          <w:rPr>
            <w:rStyle w:val="Hyperlink"/>
          </w:rPr>
          <w:t>The contribution of maternal effects to selection response: An empirical test of competing models</w:t>
        </w:r>
      </w:hyperlink>
      <w:r>
        <w:t xml:space="preserve">. </w:t>
      </w:r>
      <w:r>
        <w:rPr>
          <w:i/>
          <w:iCs/>
        </w:rPr>
        <w:t>Evolution</w:t>
      </w:r>
      <w:r>
        <w:t xml:space="preserve"> 68</w:t>
      </w:r>
    </w:p>
    <w:p w14:paraId="54C5C91C" w14:textId="77777777" w:rsidR="00542893" w:rsidRDefault="00000000">
      <w:pPr>
        <w:pStyle w:val="Bibliography"/>
      </w:pPr>
      <w:bookmarkStart w:id="110" w:name="ref-Urban2016"/>
      <w:bookmarkEnd w:id="109"/>
      <w:r>
        <w:t xml:space="preserve">89. </w:t>
      </w:r>
      <w:r>
        <w:tab/>
        <w:t xml:space="preserve">Urban, M.C. </w:t>
      </w:r>
      <w:r>
        <w:rPr>
          <w:i/>
          <w:iCs/>
        </w:rPr>
        <w:t>et al.</w:t>
      </w:r>
      <w:r>
        <w:t xml:space="preserve"> (2016) </w:t>
      </w:r>
      <w:hyperlink r:id="rId80">
        <w:r w:rsidR="00542893">
          <w:rPr>
            <w:rStyle w:val="Hyperlink"/>
          </w:rPr>
          <w:t>Improving the forecast for biodiversity under climate change</w:t>
        </w:r>
      </w:hyperlink>
      <w:r>
        <w:t xml:space="preserve">. </w:t>
      </w:r>
      <w:r>
        <w:rPr>
          <w:i/>
          <w:iCs/>
        </w:rPr>
        <w:t>Science</w:t>
      </w:r>
      <w:r>
        <w:t xml:space="preserve"> 353, aad8466–aad8466</w:t>
      </w:r>
    </w:p>
    <w:p w14:paraId="42C10A58" w14:textId="77777777" w:rsidR="00542893" w:rsidRDefault="00000000">
      <w:pPr>
        <w:pStyle w:val="Bibliography"/>
      </w:pPr>
      <w:bookmarkStart w:id="111" w:name="ref-Kattge2020"/>
      <w:bookmarkEnd w:id="110"/>
      <w:r>
        <w:lastRenderedPageBreak/>
        <w:t xml:space="preserve">90. </w:t>
      </w:r>
      <w:r>
        <w:tab/>
        <w:t xml:space="preserve">Kattge, J. </w:t>
      </w:r>
      <w:r>
        <w:rPr>
          <w:i/>
          <w:iCs/>
        </w:rPr>
        <w:t>et al.</w:t>
      </w:r>
      <w:r>
        <w:t xml:space="preserve"> (2020) </w:t>
      </w:r>
      <w:hyperlink r:id="rId81">
        <w:r w:rsidR="00542893">
          <w:rPr>
            <w:rStyle w:val="Hyperlink"/>
          </w:rPr>
          <w:t>TRY plant trait database - enhanced coverage and open access</w:t>
        </w:r>
      </w:hyperlink>
      <w:r>
        <w:t xml:space="preserve">. </w:t>
      </w:r>
      <w:r>
        <w:rPr>
          <w:i/>
          <w:iCs/>
        </w:rPr>
        <w:t>Glob. Chang. Biol.</w:t>
      </w:r>
      <w:r>
        <w:t xml:space="preserve"> 26, 119–188</w:t>
      </w:r>
    </w:p>
    <w:p w14:paraId="02B69D47" w14:textId="77777777" w:rsidR="00542893" w:rsidRDefault="00000000">
      <w:pPr>
        <w:pStyle w:val="Bibliography"/>
      </w:pPr>
      <w:bookmarkStart w:id="112" w:name="ref-Leiva2025"/>
      <w:bookmarkEnd w:id="111"/>
      <w:r>
        <w:t xml:space="preserve">91. </w:t>
      </w:r>
      <w:r>
        <w:tab/>
        <w:t xml:space="preserve">Leiva, F.P. </w:t>
      </w:r>
      <w:r>
        <w:rPr>
          <w:i/>
          <w:iCs/>
        </w:rPr>
        <w:t>et al.</w:t>
      </w:r>
      <w:r>
        <w:t xml:space="preserve"> (2025) ShareTrait: Towards interoperable and reusable individual trait‐based data in ectotherms. </w:t>
      </w:r>
      <w:r>
        <w:rPr>
          <w:i/>
          <w:iCs/>
        </w:rPr>
        <w:t>Funct. Ecol.</w:t>
      </w:r>
      <w:r>
        <w:t xml:space="preserve"> DOI: </w:t>
      </w:r>
      <w:hyperlink r:id="rId82">
        <w:r w:rsidR="00542893">
          <w:rPr>
            <w:rStyle w:val="Hyperlink"/>
          </w:rPr>
          <w:t>10.1111/1365-2435.70147</w:t>
        </w:r>
      </w:hyperlink>
    </w:p>
    <w:p w14:paraId="32BC4EF6" w14:textId="77777777" w:rsidR="00542893" w:rsidRDefault="00000000">
      <w:pPr>
        <w:pStyle w:val="Bibliography"/>
      </w:pPr>
      <w:bookmarkStart w:id="113" w:name="ref-Dudney2025"/>
      <w:bookmarkEnd w:id="112"/>
      <w:r>
        <w:t xml:space="preserve">92. </w:t>
      </w:r>
      <w:r>
        <w:tab/>
        <w:t xml:space="preserve">Dudney, J. </w:t>
      </w:r>
      <w:r>
        <w:rPr>
          <w:i/>
          <w:iCs/>
        </w:rPr>
        <w:t>et al.</w:t>
      </w:r>
      <w:r>
        <w:t xml:space="preserve"> (2025) </w:t>
      </w:r>
      <w:hyperlink r:id="rId83">
        <w:r w:rsidR="00542893">
          <w:rPr>
            <w:rStyle w:val="Hyperlink"/>
          </w:rPr>
          <w:t>A causal inference framework for climate change attribution in ecology</w:t>
        </w:r>
      </w:hyperlink>
      <w:r>
        <w:t xml:space="preserve">. </w:t>
      </w:r>
      <w:r>
        <w:rPr>
          <w:i/>
          <w:iCs/>
        </w:rPr>
        <w:t>Ecol. Lett.</w:t>
      </w:r>
      <w:r>
        <w:t xml:space="preserve"> 28, e70192</w:t>
      </w:r>
    </w:p>
    <w:p w14:paraId="7D2E069D" w14:textId="77777777" w:rsidR="00542893" w:rsidRDefault="00000000">
      <w:pPr>
        <w:pStyle w:val="Bibliography"/>
      </w:pPr>
      <w:bookmarkStart w:id="114" w:name="ref-Carroll2023"/>
      <w:bookmarkEnd w:id="113"/>
      <w:r>
        <w:t xml:space="preserve">93. </w:t>
      </w:r>
      <w:r>
        <w:tab/>
        <w:t xml:space="preserve">Carroll, T. </w:t>
      </w:r>
      <w:r>
        <w:rPr>
          <w:i/>
          <w:iCs/>
        </w:rPr>
        <w:t>et al.</w:t>
      </w:r>
      <w:r>
        <w:t xml:space="preserve"> (2023) </w:t>
      </w:r>
      <w:hyperlink r:id="rId84">
        <w:r w:rsidR="00542893">
          <w:rPr>
            <w:rStyle w:val="Hyperlink"/>
          </w:rPr>
          <w:t>Biodiversity change under adaptive community dynamics</w:t>
        </w:r>
      </w:hyperlink>
      <w:r>
        <w:t xml:space="preserve">. </w:t>
      </w:r>
      <w:r>
        <w:rPr>
          <w:i/>
          <w:iCs/>
        </w:rPr>
        <w:t>Glob. Chang. Biol.</w:t>
      </w:r>
      <w:r>
        <w:t xml:space="preserve"> 29, 3525–3538</w:t>
      </w:r>
    </w:p>
    <w:p w14:paraId="69C09E4F" w14:textId="77777777" w:rsidR="00542893" w:rsidRDefault="00000000">
      <w:pPr>
        <w:pStyle w:val="Bibliography"/>
      </w:pPr>
      <w:bookmarkStart w:id="115" w:name="ref-Dornhaus2022"/>
      <w:bookmarkEnd w:id="114"/>
      <w:r>
        <w:t xml:space="preserve">94. </w:t>
      </w:r>
      <w:r>
        <w:tab/>
        <w:t xml:space="preserve">Dornhaus, A. </w:t>
      </w:r>
      <w:r>
        <w:rPr>
          <w:i/>
          <w:iCs/>
        </w:rPr>
        <w:t>et al.</w:t>
      </w:r>
      <w:r>
        <w:t xml:space="preserve"> (2022) </w:t>
      </w:r>
      <w:hyperlink r:id="rId85">
        <w:r w:rsidR="00542893">
          <w:rPr>
            <w:rStyle w:val="Hyperlink"/>
          </w:rPr>
          <w:t>How can we fully realize the potential of mathematical and biological models to reintegrate biology?</w:t>
        </w:r>
      </w:hyperlink>
      <w:r>
        <w:t xml:space="preserve"> </w:t>
      </w:r>
      <w:r>
        <w:rPr>
          <w:i/>
          <w:iCs/>
        </w:rPr>
        <w:t>Integr. Comp. Biol.</w:t>
      </w:r>
      <w:r>
        <w:t xml:space="preserve"> 61, 2244–2254</w:t>
      </w:r>
    </w:p>
    <w:bookmarkEnd w:id="20"/>
    <w:bookmarkEnd w:id="22"/>
    <w:bookmarkEnd w:id="115"/>
    <w:p w14:paraId="1D861E7C" w14:textId="77777777" w:rsidR="00542893" w:rsidRDefault="00542893">
      <w:pPr>
        <w:pStyle w:val="BodyText"/>
      </w:pPr>
    </w:p>
    <w:sectPr w:rsidR="00542893" w:rsidSect="006A2A8B">
      <w:pgSz w:w="12240" w:h="15840"/>
      <w:pgMar w:top="851" w:right="851" w:bottom="851" w:left="851" w:header="720" w:footer="720" w:gutter="0"/>
      <w:lnNumType w:countBy="1" w:restart="continuous"/>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6" w:author="Daniel Noble" w:date="2025-11-03T15:14:00Z" w:initials="DN">
    <w:p w14:paraId="6862B50B" w14:textId="080AAA1B" w:rsidR="00C03DC8" w:rsidRDefault="00C03DC8">
      <w:pPr>
        <w:pStyle w:val="CommentText"/>
      </w:pPr>
      <w:r>
        <w:rPr>
          <w:rStyle w:val="CommentReference"/>
        </w:rPr>
        <w:annotationRef/>
      </w:r>
      <w:r>
        <w:t>Apparently needs revising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62B50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727B4B" w16cex:dateUtc="2025-11-03T04: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62B50B" w16cid:durableId="49727B4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341D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83C0EBB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B060F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5746F5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20821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CDC5C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E0C2C4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92CA44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9F444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FC8369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1704BD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217AB1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5374E83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170CD2DE"/>
    <w:multiLevelType w:val="multilevel"/>
    <w:tmpl w:val="A7F0170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2C1AE401"/>
    <w:multiLevelType w:val="multilevel"/>
    <w:tmpl w:val="BF2A585E"/>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423309980">
    <w:abstractNumId w:val="13"/>
  </w:num>
  <w:num w:numId="2" w16cid:durableId="1282882070">
    <w:abstractNumId w:val="13"/>
  </w:num>
  <w:num w:numId="3" w16cid:durableId="1172599916">
    <w:abstractNumId w:val="14"/>
  </w:num>
  <w:num w:numId="4" w16cid:durableId="1596982598">
    <w:abstractNumId w:val="0"/>
  </w:num>
  <w:num w:numId="5" w16cid:durableId="340819348">
    <w:abstractNumId w:val="1"/>
  </w:num>
  <w:num w:numId="6" w16cid:durableId="840313352">
    <w:abstractNumId w:val="2"/>
  </w:num>
  <w:num w:numId="7" w16cid:durableId="982465735">
    <w:abstractNumId w:val="3"/>
  </w:num>
  <w:num w:numId="8" w16cid:durableId="1976372737">
    <w:abstractNumId w:val="8"/>
  </w:num>
  <w:num w:numId="9" w16cid:durableId="143863577">
    <w:abstractNumId w:val="4"/>
  </w:num>
  <w:num w:numId="10" w16cid:durableId="933174805">
    <w:abstractNumId w:val="5"/>
  </w:num>
  <w:num w:numId="11" w16cid:durableId="213470915">
    <w:abstractNumId w:val="6"/>
  </w:num>
  <w:num w:numId="12" w16cid:durableId="1229265008">
    <w:abstractNumId w:val="7"/>
  </w:num>
  <w:num w:numId="13" w16cid:durableId="489179725">
    <w:abstractNumId w:val="9"/>
  </w:num>
  <w:num w:numId="14" w16cid:durableId="576476009">
    <w:abstractNumId w:val="14"/>
  </w:num>
  <w:num w:numId="15" w16cid:durableId="1146313701">
    <w:abstractNumId w:val="14"/>
  </w:num>
  <w:num w:numId="16" w16cid:durableId="5254960">
    <w:abstractNumId w:val="10"/>
  </w:num>
  <w:num w:numId="17" w16cid:durableId="383067562">
    <w:abstractNumId w:val="10"/>
  </w:num>
  <w:num w:numId="18" w16cid:durableId="658340780">
    <w:abstractNumId w:val="10"/>
  </w:num>
  <w:num w:numId="19" w16cid:durableId="371075431">
    <w:abstractNumId w:val="0"/>
  </w:num>
  <w:num w:numId="20" w16cid:durableId="415588733">
    <w:abstractNumId w:val="1"/>
  </w:num>
  <w:num w:numId="21" w16cid:durableId="1257589673">
    <w:abstractNumId w:val="2"/>
  </w:num>
  <w:num w:numId="22" w16cid:durableId="1897203934">
    <w:abstractNumId w:val="3"/>
  </w:num>
  <w:num w:numId="23" w16cid:durableId="1691561453">
    <w:abstractNumId w:val="8"/>
  </w:num>
  <w:num w:numId="24" w16cid:durableId="736362561">
    <w:abstractNumId w:val="4"/>
  </w:num>
  <w:num w:numId="25" w16cid:durableId="2135757592">
    <w:abstractNumId w:val="5"/>
  </w:num>
  <w:num w:numId="26" w16cid:durableId="1898322515">
    <w:abstractNumId w:val="6"/>
  </w:num>
  <w:num w:numId="27" w16cid:durableId="1128275467">
    <w:abstractNumId w:val="7"/>
  </w:num>
  <w:num w:numId="28" w16cid:durableId="698361003">
    <w:abstractNumId w:val="9"/>
  </w:num>
  <w:num w:numId="29" w16cid:durableId="155994403">
    <w:abstractNumId w:val="0"/>
  </w:num>
  <w:num w:numId="30" w16cid:durableId="1805003360">
    <w:abstractNumId w:val="1"/>
  </w:num>
  <w:num w:numId="31" w16cid:durableId="186254912">
    <w:abstractNumId w:val="2"/>
  </w:num>
  <w:num w:numId="32" w16cid:durableId="1214466077">
    <w:abstractNumId w:val="3"/>
  </w:num>
  <w:num w:numId="33" w16cid:durableId="914170502">
    <w:abstractNumId w:val="8"/>
  </w:num>
  <w:num w:numId="34" w16cid:durableId="722215050">
    <w:abstractNumId w:val="4"/>
  </w:num>
  <w:num w:numId="35" w16cid:durableId="659890079">
    <w:abstractNumId w:val="5"/>
  </w:num>
  <w:num w:numId="36" w16cid:durableId="996693005">
    <w:abstractNumId w:val="6"/>
  </w:num>
  <w:num w:numId="37" w16cid:durableId="227810579">
    <w:abstractNumId w:val="7"/>
  </w:num>
  <w:num w:numId="38" w16cid:durableId="1820922315">
    <w:abstractNumId w:val="9"/>
  </w:num>
  <w:num w:numId="39" w16cid:durableId="1860183">
    <w:abstractNumId w:val="0"/>
  </w:num>
  <w:num w:numId="40" w16cid:durableId="1595547831">
    <w:abstractNumId w:val="1"/>
  </w:num>
  <w:num w:numId="41" w16cid:durableId="186912092">
    <w:abstractNumId w:val="2"/>
  </w:num>
  <w:num w:numId="42" w16cid:durableId="1032463224">
    <w:abstractNumId w:val="3"/>
  </w:num>
  <w:num w:numId="43" w16cid:durableId="963657352">
    <w:abstractNumId w:val="8"/>
  </w:num>
  <w:num w:numId="44" w16cid:durableId="1453860417">
    <w:abstractNumId w:val="4"/>
  </w:num>
  <w:num w:numId="45" w16cid:durableId="1977443015">
    <w:abstractNumId w:val="5"/>
  </w:num>
  <w:num w:numId="46" w16cid:durableId="1364281595">
    <w:abstractNumId w:val="6"/>
  </w:num>
  <w:num w:numId="47" w16cid:durableId="401298941">
    <w:abstractNumId w:val="7"/>
  </w:num>
  <w:num w:numId="48" w16cid:durableId="1263881607">
    <w:abstractNumId w:val="9"/>
  </w:num>
  <w:num w:numId="49" w16cid:durableId="1427843227">
    <w:abstractNumId w:val="10"/>
  </w:num>
  <w:num w:numId="50" w16cid:durableId="1373993187">
    <w:abstractNumId w:val="0"/>
  </w:num>
  <w:num w:numId="51" w16cid:durableId="733771929">
    <w:abstractNumId w:val="1"/>
  </w:num>
  <w:num w:numId="52" w16cid:durableId="1209419939">
    <w:abstractNumId w:val="2"/>
  </w:num>
  <w:num w:numId="53" w16cid:durableId="749079101">
    <w:abstractNumId w:val="3"/>
  </w:num>
  <w:num w:numId="54" w16cid:durableId="1199707935">
    <w:abstractNumId w:val="8"/>
  </w:num>
  <w:num w:numId="55" w16cid:durableId="1665426357">
    <w:abstractNumId w:val="4"/>
  </w:num>
  <w:num w:numId="56" w16cid:durableId="2073194729">
    <w:abstractNumId w:val="5"/>
  </w:num>
  <w:num w:numId="57" w16cid:durableId="1343705359">
    <w:abstractNumId w:val="6"/>
  </w:num>
  <w:num w:numId="58" w16cid:durableId="56826465">
    <w:abstractNumId w:val="7"/>
  </w:num>
  <w:num w:numId="59" w16cid:durableId="1770999733">
    <w:abstractNumId w:val="9"/>
  </w:num>
  <w:num w:numId="60" w16cid:durableId="1379941093">
    <w:abstractNumId w:val="0"/>
  </w:num>
  <w:num w:numId="61" w16cid:durableId="1703743376">
    <w:abstractNumId w:val="1"/>
  </w:num>
  <w:num w:numId="62" w16cid:durableId="1086147133">
    <w:abstractNumId w:val="2"/>
  </w:num>
  <w:num w:numId="63" w16cid:durableId="72240046">
    <w:abstractNumId w:val="3"/>
  </w:num>
  <w:num w:numId="64" w16cid:durableId="442574108">
    <w:abstractNumId w:val="8"/>
  </w:num>
  <w:num w:numId="65" w16cid:durableId="731124937">
    <w:abstractNumId w:val="4"/>
  </w:num>
  <w:num w:numId="66" w16cid:durableId="502627846">
    <w:abstractNumId w:val="5"/>
  </w:num>
  <w:num w:numId="67" w16cid:durableId="1006860732">
    <w:abstractNumId w:val="6"/>
  </w:num>
  <w:num w:numId="68" w16cid:durableId="1767843397">
    <w:abstractNumId w:val="7"/>
  </w:num>
  <w:num w:numId="69" w16cid:durableId="117769239">
    <w:abstractNumId w:val="9"/>
  </w:num>
  <w:num w:numId="70" w16cid:durableId="1107967726">
    <w:abstractNumId w:val="10"/>
  </w:num>
  <w:num w:numId="71" w16cid:durableId="691801922">
    <w:abstractNumId w:val="10"/>
  </w:num>
  <w:num w:numId="72" w16cid:durableId="830564022">
    <w:abstractNumId w:val="11"/>
  </w:num>
  <w:num w:numId="73" w16cid:durableId="743769905">
    <w:abstractNumId w:val="11"/>
  </w:num>
  <w:num w:numId="74" w16cid:durableId="950361974">
    <w:abstractNumId w:val="11"/>
  </w:num>
  <w:num w:numId="75" w16cid:durableId="253586233">
    <w:abstractNumId w:val="11"/>
  </w:num>
  <w:num w:numId="76" w16cid:durableId="1703819558">
    <w:abstractNumId w:val="11"/>
  </w:num>
  <w:num w:numId="77" w16cid:durableId="1141578659">
    <w:abstractNumId w:val="11"/>
  </w:num>
  <w:num w:numId="78" w16cid:durableId="122239304">
    <w:abstractNumId w:val="11"/>
  </w:num>
  <w:num w:numId="79" w16cid:durableId="704140260">
    <w:abstractNumId w:val="11"/>
  </w:num>
  <w:num w:numId="80" w16cid:durableId="603147579">
    <w:abstractNumId w:val="11"/>
  </w:num>
  <w:num w:numId="81" w16cid:durableId="796293065">
    <w:abstractNumId w:val="11"/>
  </w:num>
  <w:num w:numId="82" w16cid:durableId="188492238">
    <w:abstractNumId w:val="11"/>
  </w:num>
  <w:num w:numId="83" w16cid:durableId="1491167990">
    <w:abstractNumId w:val="11"/>
  </w:num>
  <w:num w:numId="84" w16cid:durableId="565186891">
    <w:abstractNumId w:val="11"/>
  </w:num>
  <w:num w:numId="85" w16cid:durableId="471289555">
    <w:abstractNumId w:val="10"/>
  </w:num>
  <w:num w:numId="86" w16cid:durableId="203210333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Noble">
    <w15:presenceInfo w15:providerId="AD" w15:userId="S::u5062688@anu.edu.au::cd1442c4-8911-414d-88db-662b5685b55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051CD7"/>
    <w:rsid w:val="00085D7A"/>
    <w:rsid w:val="00091E3A"/>
    <w:rsid w:val="000F648B"/>
    <w:rsid w:val="000F6847"/>
    <w:rsid w:val="00234AC1"/>
    <w:rsid w:val="00316EC7"/>
    <w:rsid w:val="00320621"/>
    <w:rsid w:val="003D57A2"/>
    <w:rsid w:val="00406F5F"/>
    <w:rsid w:val="00460C42"/>
    <w:rsid w:val="00542893"/>
    <w:rsid w:val="00553B80"/>
    <w:rsid w:val="005A5007"/>
    <w:rsid w:val="00676013"/>
    <w:rsid w:val="006A2A8B"/>
    <w:rsid w:val="006A579B"/>
    <w:rsid w:val="00755BE1"/>
    <w:rsid w:val="0079606C"/>
    <w:rsid w:val="008F43C3"/>
    <w:rsid w:val="00951576"/>
    <w:rsid w:val="00A5574C"/>
    <w:rsid w:val="00A846BF"/>
    <w:rsid w:val="00AC0813"/>
    <w:rsid w:val="00B3213E"/>
    <w:rsid w:val="00C03DC8"/>
    <w:rsid w:val="00CD0962"/>
    <w:rsid w:val="00D24293"/>
    <w:rsid w:val="00D43B7A"/>
    <w:rsid w:val="00D76B28"/>
    <w:rsid w:val="00EF10CD"/>
    <w:rsid w:val="00F4402A"/>
    <w:rsid w:val="00FD1B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BF66277"/>
  <w15:docId w15:val="{189988CD-EA23-9540-96AE-FB5F8E237F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BF6E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F610CE"/>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F610CE"/>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947211"/>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676013"/>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415C6"/>
    <w:pPr>
      <w:spacing w:before="180" w:after="180"/>
    </w:pPr>
    <w:rPr>
      <w:rFonts w:ascii="Times New Roman" w:hAnsi="Times New Roman"/>
    </w:rPr>
  </w:style>
  <w:style w:type="paragraph" w:customStyle="1" w:styleId="FirstParagraph">
    <w:name w:val="First Paragraph"/>
    <w:basedOn w:val="BodyText"/>
    <w:next w:val="BodyText"/>
    <w:qFormat/>
    <w:rsid w:val="00F610CE"/>
  </w:style>
  <w:style w:type="paragraph" w:customStyle="1" w:styleId="Compact">
    <w:name w:val="Compact"/>
    <w:basedOn w:val="BodyText"/>
    <w:qFormat/>
    <w:pPr>
      <w:spacing w:before="36" w:after="36"/>
    </w:pPr>
  </w:style>
  <w:style w:type="paragraph" w:styleId="Title">
    <w:name w:val="Title"/>
    <w:basedOn w:val="Normal"/>
    <w:next w:val="BodyText"/>
    <w:qFormat/>
    <w:rsid w:val="00F610CE"/>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610CE"/>
    <w:pPr>
      <w:keepNext/>
      <w:keepLines/>
      <w:jc w:val="center"/>
    </w:pPr>
    <w:rPr>
      <w:rFonts w:ascii="Times New Roman" w:hAnsi="Times New Roman"/>
    </w:rPr>
  </w:style>
  <w:style w:type="paragraph" w:styleId="Date">
    <w:name w:val="Date"/>
    <w:next w:val="BodyText"/>
    <w:qFormat/>
    <w:rsid w:val="00F610CE"/>
    <w:pPr>
      <w:keepNext/>
      <w:keepLines/>
      <w:jc w:val="center"/>
    </w:pPr>
    <w:rPr>
      <w:rFonts w:ascii="Times New Roman" w:hAnsi="Times New Roman"/>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rsid w:val="00253A3A"/>
    <w:pPr>
      <w:ind w:left="227" w:hanging="227"/>
    </w:pPr>
    <w:rPr>
      <w:rFonts w:ascii="Times New Roman" w:hAnsi="Times New Roman"/>
    </w:r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183ED8"/>
    <w:pPr>
      <w:keepNext/>
    </w:pPr>
    <w:rPr>
      <w:rFonts w:ascii="Times New Roman" w:hAnsi="Times New Roman"/>
      <w:i w:val="0"/>
    </w:rPr>
  </w:style>
  <w:style w:type="paragraph" w:customStyle="1" w:styleId="ImageCaption">
    <w:name w:val="Image Caption"/>
    <w:basedOn w:val="Caption"/>
    <w:rsid w:val="00BB46C2"/>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sid w:val="00F610CE"/>
    <w:rPr>
      <w:rFonts w:ascii="Times New Roman" w:hAnsi="Times New Roman"/>
      <w:color w:val="000000" w:themeColor="text1"/>
    </w:rPr>
  </w:style>
  <w:style w:type="paragraph" w:styleId="TOCHeading">
    <w:name w:val="TOC Heading"/>
    <w:basedOn w:val="Heading1"/>
    <w:next w:val="BodyText"/>
    <w:uiPriority w:val="39"/>
    <w:unhideWhenUsed/>
    <w:qFormat/>
    <w:rsid w:val="00F610CE"/>
    <w:pPr>
      <w:spacing w:before="240" w:line="259" w:lineRule="auto"/>
      <w:outlineLvl w:val="9"/>
    </w:pPr>
    <w:rPr>
      <w:b w:val="0"/>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2">
    <w:name w:val="toc 2"/>
    <w:basedOn w:val="Normal"/>
    <w:next w:val="Normal"/>
    <w:autoRedefine/>
    <w:uiPriority w:val="39"/>
    <w:unhideWhenUsed/>
    <w:rsid w:val="00B76D52"/>
    <w:pPr>
      <w:spacing w:after="100"/>
      <w:ind w:left="240"/>
    </w:pPr>
  </w:style>
  <w:style w:type="paragraph" w:styleId="TOC3">
    <w:name w:val="toc 3"/>
    <w:basedOn w:val="Normal"/>
    <w:next w:val="Normal"/>
    <w:autoRedefine/>
    <w:uiPriority w:val="39"/>
    <w:unhideWhenUsed/>
    <w:rsid w:val="00B76D52"/>
    <w:pPr>
      <w:spacing w:after="100"/>
      <w:ind w:left="480"/>
    </w:pPr>
  </w:style>
  <w:style w:type="character" w:customStyle="1" w:styleId="BodyTextChar">
    <w:name w:val="Body Text Char"/>
    <w:basedOn w:val="DefaultParagraphFont"/>
    <w:link w:val="BodyText"/>
    <w:rsid w:val="001415C6"/>
    <w:rPr>
      <w:rFonts w:ascii="Times New Roman" w:hAnsi="Times New Roman"/>
    </w:rPr>
  </w:style>
  <w:style w:type="character" w:styleId="LineNumber">
    <w:name w:val="line number"/>
    <w:basedOn w:val="DefaultParagraphFont"/>
    <w:semiHidden/>
    <w:unhideWhenUsed/>
    <w:rsid w:val="006A2A8B"/>
  </w:style>
  <w:style w:type="character" w:styleId="CommentReference">
    <w:name w:val="annotation reference"/>
    <w:basedOn w:val="DefaultParagraphFont"/>
    <w:semiHidden/>
    <w:unhideWhenUsed/>
    <w:rsid w:val="00C03DC8"/>
    <w:rPr>
      <w:sz w:val="16"/>
      <w:szCs w:val="16"/>
    </w:rPr>
  </w:style>
  <w:style w:type="paragraph" w:styleId="CommentText">
    <w:name w:val="annotation text"/>
    <w:basedOn w:val="Normal"/>
    <w:link w:val="CommentTextChar"/>
    <w:semiHidden/>
    <w:unhideWhenUsed/>
    <w:rsid w:val="00C03DC8"/>
    <w:rPr>
      <w:sz w:val="20"/>
      <w:szCs w:val="20"/>
    </w:rPr>
  </w:style>
  <w:style w:type="character" w:customStyle="1" w:styleId="CommentTextChar">
    <w:name w:val="Comment Text Char"/>
    <w:basedOn w:val="DefaultParagraphFont"/>
    <w:link w:val="CommentText"/>
    <w:semiHidden/>
    <w:rsid w:val="00C03DC8"/>
    <w:rPr>
      <w:sz w:val="20"/>
      <w:szCs w:val="20"/>
    </w:rPr>
  </w:style>
  <w:style w:type="paragraph" w:styleId="CommentSubject">
    <w:name w:val="annotation subject"/>
    <w:basedOn w:val="CommentText"/>
    <w:next w:val="CommentText"/>
    <w:link w:val="CommentSubjectChar"/>
    <w:semiHidden/>
    <w:unhideWhenUsed/>
    <w:rsid w:val="00C03DC8"/>
    <w:rPr>
      <w:b/>
      <w:bCs/>
    </w:rPr>
  </w:style>
  <w:style w:type="character" w:customStyle="1" w:styleId="CommentSubjectChar">
    <w:name w:val="Comment Subject Char"/>
    <w:basedOn w:val="CommentTextChar"/>
    <w:link w:val="CommentSubject"/>
    <w:semiHidden/>
    <w:rsid w:val="00C03DC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11/2041-210x.13330" TargetMode="External"/><Relationship Id="rId21" Type="http://schemas.openxmlformats.org/officeDocument/2006/relationships/hyperlink" Target="https://doi.org/10.1111/gcb.70315" TargetMode="External"/><Relationship Id="rId42" Type="http://schemas.openxmlformats.org/officeDocument/2006/relationships/hyperlink" Target="https://doi.org/10.1242/jeb.224139" TargetMode="External"/><Relationship Id="rId47" Type="http://schemas.openxmlformats.org/officeDocument/2006/relationships/hyperlink" Target="https://doi.org/10.1111/gcb.15976" TargetMode="External"/><Relationship Id="rId63" Type="http://schemas.openxmlformats.org/officeDocument/2006/relationships/hyperlink" Target="https://doi.org/10.1139/f54-039" TargetMode="External"/><Relationship Id="rId68" Type="http://schemas.openxmlformats.org/officeDocument/2006/relationships/hyperlink" Target="https://doi.org/10.1086/713082" TargetMode="External"/><Relationship Id="rId84" Type="http://schemas.openxmlformats.org/officeDocument/2006/relationships/hyperlink" Target="https://doi.org/10.1111/gcb.16680" TargetMode="External"/><Relationship Id="rId16" Type="http://schemas.openxmlformats.org/officeDocument/2006/relationships/hyperlink" Target="https://doi.org/10.1111/jen.13127" TargetMode="External"/><Relationship Id="rId11" Type="http://schemas.microsoft.com/office/2016/09/relationships/commentsIds" Target="commentsIds.xml"/><Relationship Id="rId32" Type="http://schemas.openxmlformats.org/officeDocument/2006/relationships/hyperlink" Target="https://doi.org/10.1111/gcb.14037" TargetMode="External"/><Relationship Id="rId37" Type="http://schemas.openxmlformats.org/officeDocument/2006/relationships/hyperlink" Target="https://doi.org/10.1002/ecm.1240" TargetMode="External"/><Relationship Id="rId53" Type="http://schemas.openxmlformats.org/officeDocument/2006/relationships/hyperlink" Target="https://doi.org/10.1111/ecog.04680" TargetMode="External"/><Relationship Id="rId58" Type="http://schemas.openxmlformats.org/officeDocument/2006/relationships/hyperlink" Target="https://doi.org/10.1093/conphys/coab086" TargetMode="External"/><Relationship Id="rId74" Type="http://schemas.openxmlformats.org/officeDocument/2006/relationships/hyperlink" Target="https://doi.org/10.1111/oik.08715" TargetMode="External"/><Relationship Id="rId79" Type="http://schemas.openxmlformats.org/officeDocument/2006/relationships/hyperlink" Target="https://doi.org/10.1111/evo.12235" TargetMode="External"/><Relationship Id="rId5" Type="http://schemas.openxmlformats.org/officeDocument/2006/relationships/image" Target="media/image1.png"/><Relationship Id="rId19" Type="http://schemas.openxmlformats.org/officeDocument/2006/relationships/hyperlink" Target="https://doi.org/10.1111/2041-210x.14373" TargetMode="External"/><Relationship Id="rId14" Type="http://schemas.openxmlformats.org/officeDocument/2006/relationships/hyperlink" Target="https://doi.org/10.1126/science.adv7597" TargetMode="External"/><Relationship Id="rId22" Type="http://schemas.openxmlformats.org/officeDocument/2006/relationships/hyperlink" Target="https://doi.org/10.1111/1365-2745.13030" TargetMode="External"/><Relationship Id="rId27" Type="http://schemas.openxmlformats.org/officeDocument/2006/relationships/hyperlink" Target="https://doi.org/10.1111/2041-210x.13627" TargetMode="External"/><Relationship Id="rId30" Type="http://schemas.openxmlformats.org/officeDocument/2006/relationships/hyperlink" Target="https://doi.org/10.1111/2041-210x.14476" TargetMode="External"/><Relationship Id="rId35" Type="http://schemas.openxmlformats.org/officeDocument/2006/relationships/hyperlink" Target="https://doi.org/10.1007/BF00379617" TargetMode="External"/><Relationship Id="rId43" Type="http://schemas.openxmlformats.org/officeDocument/2006/relationships/hyperlink" Target="https://doi.org/10.3389/fevo.2022.813567" TargetMode="External"/><Relationship Id="rId48" Type="http://schemas.openxmlformats.org/officeDocument/2006/relationships/hyperlink" Target="https://doi.org/10.1111/1365-2435.70038" TargetMode="External"/><Relationship Id="rId56" Type="http://schemas.openxmlformats.org/officeDocument/2006/relationships/hyperlink" Target="https://doi.org/10.1098/rstb.2010.0034" TargetMode="External"/><Relationship Id="rId64" Type="http://schemas.openxmlformats.org/officeDocument/2006/relationships/hyperlink" Target="https://doi.org/10.1007/978-94-011-2106-4" TargetMode="External"/><Relationship Id="rId69" Type="http://schemas.openxmlformats.org/officeDocument/2006/relationships/hyperlink" Target="https://doi.org/10.1890/14-0976.1" TargetMode="External"/><Relationship Id="rId77" Type="http://schemas.openxmlformats.org/officeDocument/2006/relationships/hyperlink" Target="https://doi.org/10.1111/j.1558-5646.1979.tb04694.x" TargetMode="External"/><Relationship Id="rId8" Type="http://schemas.openxmlformats.org/officeDocument/2006/relationships/image" Target="media/image4.png"/><Relationship Id="rId51" Type="http://schemas.openxmlformats.org/officeDocument/2006/relationships/hyperlink" Target="https://doi.org/10.1007/978-981-99-0030-5\_6" TargetMode="External"/><Relationship Id="rId72" Type="http://schemas.openxmlformats.org/officeDocument/2006/relationships/hyperlink" Target="https://doi.org/10.5194/gmd-9-1937-2016" TargetMode="External"/><Relationship Id="rId80" Type="http://schemas.openxmlformats.org/officeDocument/2006/relationships/hyperlink" Target="https://doi.org/10.1126/science.aad8466" TargetMode="External"/><Relationship Id="rId85" Type="http://schemas.openxmlformats.org/officeDocument/2006/relationships/hyperlink" Target="https://doi.org/10.1093/icb/icab142" TargetMode="External"/><Relationship Id="rId3" Type="http://schemas.openxmlformats.org/officeDocument/2006/relationships/settings" Target="settings.xml"/><Relationship Id="rId12" Type="http://schemas.microsoft.com/office/2018/08/relationships/commentsExtensible" Target="commentsExtensible.xml"/><Relationship Id="rId17" Type="http://schemas.openxmlformats.org/officeDocument/2006/relationships/hyperlink" Target="https://doi.org/10.1126/science.aba9287" TargetMode="External"/><Relationship Id="rId25" Type="http://schemas.openxmlformats.org/officeDocument/2006/relationships/hyperlink" Target="https://doi.org/10.1111/2041-210x.13093" TargetMode="External"/><Relationship Id="rId33" Type="http://schemas.openxmlformats.org/officeDocument/2006/relationships/hyperlink" Target="https://doi.org/10.1016/j.envsoft.2018.02.002" TargetMode="External"/><Relationship Id="rId38" Type="http://schemas.openxmlformats.org/officeDocument/2006/relationships/hyperlink" Target="https://doi.org/10.1371/journal.pone.0143346" TargetMode="External"/><Relationship Id="rId46" Type="http://schemas.openxmlformats.org/officeDocument/2006/relationships/hyperlink" Target="https://doi.org/10.1093/jxb/erae096" TargetMode="External"/><Relationship Id="rId59" Type="http://schemas.openxmlformats.org/officeDocument/2006/relationships/hyperlink" Target="https://doi.org/10.1093/nar/gkp370" TargetMode="External"/><Relationship Id="rId67" Type="http://schemas.openxmlformats.org/officeDocument/2006/relationships/hyperlink" Target="https://doi.org/10.1111/ele.14376" TargetMode="External"/><Relationship Id="rId20" Type="http://schemas.openxmlformats.org/officeDocument/2006/relationships/hyperlink" Target="https://doi.org/10.1111/1365-2435.12268" TargetMode="External"/><Relationship Id="rId41" Type="http://schemas.openxmlformats.org/officeDocument/2006/relationships/hyperlink" Target="https://doi.org/10.1111/nph.15395" TargetMode="External"/><Relationship Id="rId54" Type="http://schemas.openxmlformats.org/officeDocument/2006/relationships/hyperlink" Target="https://doi.org/10.1111/J.1365-2656.2000.00448.X" TargetMode="External"/><Relationship Id="rId62" Type="http://schemas.openxmlformats.org/officeDocument/2006/relationships/hyperlink" Target="https://doi.org/10.1006/tpbi.2000.1486" TargetMode="External"/><Relationship Id="rId70" Type="http://schemas.openxmlformats.org/officeDocument/2006/relationships/hyperlink" Target="https://doi.org/10.1016/j.tplants.2022.02.008" TargetMode="External"/><Relationship Id="rId75" Type="http://schemas.openxmlformats.org/officeDocument/2006/relationships/hyperlink" Target="https://doi.org/10.1038/nature15256" TargetMode="External"/><Relationship Id="rId83" Type="http://schemas.openxmlformats.org/officeDocument/2006/relationships/hyperlink" Target="https://doi.org/10.1111/ele.70192" TargetMode="External"/><Relationship Id="rId88"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hyperlink" Target="https://doi.org/10.1126/science.adv5413" TargetMode="External"/><Relationship Id="rId23" Type="http://schemas.openxmlformats.org/officeDocument/2006/relationships/hyperlink" Target="https://doi.org/10.1111/ele.14011" TargetMode="External"/><Relationship Id="rId28" Type="http://schemas.openxmlformats.org/officeDocument/2006/relationships/hyperlink" Target="https://doi.org/10.1371/journal.pclm.0000139" TargetMode="External"/><Relationship Id="rId36" Type="http://schemas.openxmlformats.org/officeDocument/2006/relationships/hyperlink" Target="https://doi.org/10.2307/1948545" TargetMode="External"/><Relationship Id="rId49" Type="http://schemas.openxmlformats.org/officeDocument/2006/relationships/hyperlink" Target="https://doi.org/10.1007/s11104-013-1761-6" TargetMode="External"/><Relationship Id="rId57" Type="http://schemas.openxmlformats.org/officeDocument/2006/relationships/hyperlink" Target="https://doi.org/10.1371/journal.pcbi.1006100" TargetMode="External"/><Relationship Id="rId10" Type="http://schemas.microsoft.com/office/2011/relationships/commentsExtended" Target="commentsExtended.xml"/><Relationship Id="rId31" Type="http://schemas.openxmlformats.org/officeDocument/2006/relationships/hyperlink" Target="https://doi.org/10.1002/ecs2.4506" TargetMode="External"/><Relationship Id="rId44" Type="http://schemas.openxmlformats.org/officeDocument/2006/relationships/hyperlink" Target="https://doi.org/10.1073/pnas.2408583121" TargetMode="External"/><Relationship Id="rId52" Type="http://schemas.openxmlformats.org/officeDocument/2006/relationships/hyperlink" Target="https://doi.org/10.1002/ece3.4983" TargetMode="External"/><Relationship Id="rId60" Type="http://schemas.openxmlformats.org/officeDocument/2006/relationships/hyperlink" Target="https://doi.org/10.1111/nph.15668" TargetMode="External"/><Relationship Id="rId65" Type="http://schemas.openxmlformats.org/officeDocument/2006/relationships/hyperlink" Target="https://doi.org/10.1038/s41559-016-0062" TargetMode="External"/><Relationship Id="rId73" Type="http://schemas.openxmlformats.org/officeDocument/2006/relationships/hyperlink" Target="https://doi.org/10.1098/rstb.2016.0138" TargetMode="External"/><Relationship Id="rId78" Type="http://schemas.openxmlformats.org/officeDocument/2006/relationships/hyperlink" Target="https://doi.org/10.1093/oso/9780198830870.001.0001" TargetMode="External"/><Relationship Id="rId81" Type="http://schemas.openxmlformats.org/officeDocument/2006/relationships/hyperlink" Target="https://doi.org/10.1111/gcb.14904" TargetMode="External"/><Relationship Id="rId86"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omments" Target="comments.xml"/><Relationship Id="rId13" Type="http://schemas.openxmlformats.org/officeDocument/2006/relationships/hyperlink" Target="https://doi.org/10.1038/s41467-020-16970-7" TargetMode="External"/><Relationship Id="rId18" Type="http://schemas.openxmlformats.org/officeDocument/2006/relationships/hyperlink" Target="https://doi.org/10.1111/pce.15040" TargetMode="External"/><Relationship Id="rId39" Type="http://schemas.openxmlformats.org/officeDocument/2006/relationships/hyperlink" Target="https://doi.org/10.1126/science.adq4372" TargetMode="External"/><Relationship Id="rId34" Type="http://schemas.openxmlformats.org/officeDocument/2006/relationships/hyperlink" Target="https://doi.org/10.1111/j.1365-2486.2010.02375.x" TargetMode="External"/><Relationship Id="rId50" Type="http://schemas.openxmlformats.org/officeDocument/2006/relationships/hyperlink" Target="https://doi.org/10.1016/j.jinsphys.2009.11.006" TargetMode="External"/><Relationship Id="rId55" Type="http://schemas.openxmlformats.org/officeDocument/2006/relationships/hyperlink" Target="https://doi.org/10.1016/j.ecolmodel.2019.108904" TargetMode="External"/><Relationship Id="rId76" Type="http://schemas.openxmlformats.org/officeDocument/2006/relationships/hyperlink" Target="https://doi.org/10.1098/rstb.2010.0166" TargetMode="External"/><Relationship Id="rId7" Type="http://schemas.openxmlformats.org/officeDocument/2006/relationships/image" Target="media/image3.png"/><Relationship Id="rId71" Type="http://schemas.openxmlformats.org/officeDocument/2006/relationships/hyperlink" Target="https://doi.org/10.1126/science.adp4461" TargetMode="External"/><Relationship Id="rId2" Type="http://schemas.openxmlformats.org/officeDocument/2006/relationships/styles" Target="styles.xml"/><Relationship Id="rId29" Type="http://schemas.openxmlformats.org/officeDocument/2006/relationships/hyperlink" Target="https://doi.org/10.1002/ecy.1444" TargetMode="External"/><Relationship Id="rId24" Type="http://schemas.openxmlformats.org/officeDocument/2006/relationships/hyperlink" Target="https://doi.org/10.1111/ecog.02360" TargetMode="External"/><Relationship Id="rId40" Type="http://schemas.openxmlformats.org/officeDocument/2006/relationships/hyperlink" Target="https://doi.org/10.1111/conl.12906" TargetMode="External"/><Relationship Id="rId45" Type="http://schemas.openxmlformats.org/officeDocument/2006/relationships/hyperlink" Target="https://doi.org/10.1111/pce.14050" TargetMode="External"/><Relationship Id="rId66" Type="http://schemas.openxmlformats.org/officeDocument/2006/relationships/hyperlink" Target="https://doi.org/10.1111/ele.70059" TargetMode="External"/><Relationship Id="rId87" Type="http://schemas.microsoft.com/office/2011/relationships/people" Target="people.xml"/><Relationship Id="rId61" Type="http://schemas.openxmlformats.org/officeDocument/2006/relationships/hyperlink" Target="https://doi.org/10.1111/gcb.15215" TargetMode="External"/><Relationship Id="rId82" Type="http://schemas.openxmlformats.org/officeDocument/2006/relationships/hyperlink" Target="https://doi.org/10.1111/1365-2435.701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54</TotalTime>
  <Pages>21</Pages>
  <Words>9137</Words>
  <Characters>52086</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61101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cp:lastModifiedBy>Daniel Noble</cp:lastModifiedBy>
  <cp:revision>23</cp:revision>
  <dcterms:created xsi:type="dcterms:W3CDTF">2025-11-02T06:25:00Z</dcterms:created>
  <dcterms:modified xsi:type="dcterms:W3CDTF">2025-11-03T04:14:00Z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