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3"/>
    <w:bookmarkStart w:id="29"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[26]</w:t>
      </w:r>
      <w:r>
        <w:t xml:space="preserve"> </w:t>
      </w:r>
      <w:r>
        <w:t xml:space="preserve">[27]</w:t>
      </w:r>
      <w:r>
        <w:t xml:space="preserve"> </w:t>
      </w:r>
      <w:r>
        <w:t xml:space="preserve">[28]</w:t>
      </w:r>
      <w:r>
        <w:t xml:space="preserve"> </w:t>
      </w:r>
      <w:r>
        <w:t xml:space="preserve">Should also look at this book</w:t>
      </w:r>
      <w:r>
        <w:t xml:space="preserve"> </w:t>
      </w:r>
      <w:r>
        <w:t xml:space="preserve">[29]</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[30]</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[31]</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[32]</w:t>
      </w:r>
      <w:r>
        <w:t xml:space="preserve"> </w:t>
      </w:r>
      <w:r>
        <w:t xml:space="preserve">and</w:t>
      </w:r>
      <w:r>
        <w:t xml:space="preserve"> </w:t>
      </w:r>
      <w:r>
        <w:t xml:space="preserve">[33]</w:t>
      </w:r>
      <w:r>
        <w:t xml:space="preserve">, limitations</w:t>
      </w:r>
      <w:r>
        <w:t xml:space="preserve"> </w:t>
      </w:r>
      <w:r>
        <w:t xml:space="preserve">[34]</w:t>
      </w:r>
      <w:r>
        <w:t xml:space="preserve"> </w:t>
      </w:r>
      <w:r>
        <w:t xml:space="preserve">[35]</w:t>
      </w:r>
      <w:r>
        <w:t xml:space="preserve"> </w:t>
      </w:r>
      <w:r>
        <w:t xml:space="preserve"># Incorporating context-dependent environmental feedback to evaluate resilience to extreme heat (Brajesh, Brendan, James, Everyone else who wants to contribute)</w:t>
      </w:r>
    </w:p>
    <w:p>
      <w:pPr>
        <w:pStyle w:val="Compact"/>
        <w:numPr>
          <w:ilvl w:val="0"/>
          <w:numId w:val="1006"/>
        </w:numPr>
      </w:pPr>
      <w:r>
        <w:t xml:space="preserve">Goal of this section is to briefly focus on the BIOLOGY that will shift thermal exposure and sensitivity in plants and animals.</w:t>
      </w:r>
    </w:p>
    <w:p>
      <w:pPr>
        <w:pStyle w:val="Compact"/>
        <w:numPr>
          <w:ilvl w:val="0"/>
          <w:numId w:val="1006"/>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[36]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6"/>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6"/>
        </w:numPr>
      </w:pPr>
      <w:r>
        <w:t xml:space="preserve">If uncertain about adding a sentence to the link to the models above, that’s ok, Dan, Mike, Margie and Belinda can add.</w:t>
      </w:r>
    </w:p>
    <w:bookmarkStart w:id="24" w:name="X1b136e3eae891c477bc728d2597e572ca649eaa"/>
    <w:p>
      <w:pPr>
        <w:pStyle w:val="Heading3"/>
      </w:pPr>
      <w:r>
        <w:t xml:space="preserve">Microbial communities can impact thermal sensitivity in plants and animals (Brajesh)</w:t>
      </w:r>
    </w:p>
    <w:p>
      <w:pPr>
        <w:pStyle w:val="Compact"/>
        <w:numPr>
          <w:ilvl w:val="0"/>
          <w:numId w:val="1007"/>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7"/>
        </w:numPr>
      </w:pPr>
      <w:r>
        <w:t xml:space="preserve">See</w:t>
      </w:r>
      <w:r>
        <w:t xml:space="preserve"> </w:t>
      </w:r>
      <w:r>
        <w:t xml:space="preserve">[38]</w:t>
      </w:r>
      <w:r>
        <w:t xml:space="preserve">. The paper provides a framework for modelling soil plant interactions</w:t>
      </w:r>
    </w:p>
    <w:bookmarkEnd w:id="24"/>
    <w:bookmarkStart w:id="25" w:name="X24738ef4513767bb724ce8804ac017259eaf2ee"/>
    <w:p>
      <w:pPr>
        <w:pStyle w:val="Heading3"/>
      </w:pPr>
      <w:r>
        <w:t xml:space="preserve">Water availability can impact thermal sensitivity of plants and animals (Brendan)</w:t>
      </w:r>
    </w:p>
    <w:bookmarkEnd w:id="25"/>
    <w:bookmarkStart w:id="2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8"/>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[39]</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[39]</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6"/>
    <w:bookmarkStart w:id="2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[40]</w:t>
      </w:r>
      <w:r>
        <w:t xml:space="preserve">. Connects heat tolerance to population matrix models. And, shows acclimation responses (heat hardening).</w:t>
      </w:r>
    </w:p>
    <w:bookmarkEnd w:id="27"/>
    <w:bookmarkStart w:id="28" w:name="X1f820984f57b727edc20965138ee13069f96c01"/>
    <w:p>
      <w:pPr>
        <w:pStyle w:val="Heading3"/>
      </w:pPr>
      <w:r>
        <w:t xml:space="preserve">Phenology and activity pattern shifts mediating interactions (James?)</w:t>
      </w:r>
    </w:p>
    <w:bookmarkEnd w:id="28"/>
    <w:bookmarkEnd w:id="29"/>
    <w:bookmarkStart w:id="30"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9"/>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9"/>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0"/>
        </w:numPr>
      </w:pPr>
      <w:r>
        <w:t xml:space="preserve">Microbial recruitment (Braj)</w:t>
      </w:r>
    </w:p>
    <w:p>
      <w:pPr>
        <w:pStyle w:val="Compact"/>
        <w:numPr>
          <w:ilvl w:val="1"/>
          <w:numId w:val="1010"/>
        </w:numPr>
      </w:pPr>
      <w:r>
        <w:t xml:space="preserve">Pollinator services (James, Margie)</w:t>
      </w:r>
    </w:p>
    <w:p>
      <w:pPr>
        <w:pStyle w:val="Compact"/>
        <w:numPr>
          <w:ilvl w:val="0"/>
          <w:numId w:val="1009"/>
        </w:numPr>
      </w:pPr>
      <w:r>
        <w:t xml:space="preserve">Cooler landscapes</w:t>
      </w:r>
    </w:p>
    <w:p>
      <w:pPr>
        <w:pStyle w:val="Compact"/>
        <w:numPr>
          <w:ilvl w:val="1"/>
          <w:numId w:val="1011"/>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9"/>
        </w:numPr>
      </w:pPr>
      <w:r>
        <w:t xml:space="preserve">Pest and disease prediction and control. (Ary)</w:t>
      </w:r>
    </w:p>
    <w:p>
      <w:pPr>
        <w:pStyle w:val="Compact"/>
        <w:numPr>
          <w:ilvl w:val="0"/>
          <w:numId w:val="1009"/>
        </w:numPr>
      </w:pPr>
      <w:r>
        <w:t xml:space="preserve">Conservation (Adrienne?)</w:t>
      </w:r>
    </w:p>
    <w:bookmarkEnd w:id="30"/>
    <w:bookmarkStart w:id="36" w:name="X78b08fde953bb9dcb9bb22555137d822070b4a9"/>
    <w:p>
      <w:pPr>
        <w:pStyle w:val="Heading1"/>
      </w:pPr>
      <w:r>
        <w:t xml:space="preserve">Future directions: modelling challenges, gaps and possible solutions</w:t>
      </w:r>
    </w:p>
    <w:bookmarkStart w:id="31"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1"/>
    <w:bookmarkStart w:id="32"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2"/>
    <w:bookmarkStart w:id="33"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3"/>
    <w:bookmarkStart w:id="34"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[41]</w:t>
      </w:r>
      <w:r>
        <w:t xml:space="preserve"> </w:t>
      </w:r>
      <w:r>
        <w:t xml:space="preserve">(Ary)</w:t>
      </w:r>
    </w:p>
    <w:bookmarkEnd w:id="34"/>
    <w:bookmarkStart w:id="35"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5"/>
    <w:bookmarkEnd w:id="36"/>
    <w:bookmarkStart w:id="79" w:name="references"/>
    <w:p>
      <w:pPr>
        <w:pStyle w:val="Heading1"/>
      </w:pPr>
      <w:r>
        <w:t xml:space="preserve">References</w:t>
      </w:r>
    </w:p>
    <w:bookmarkStart w:id="78" w:name="refs"/>
    <w:bookmarkStart w:id="37"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37"/>
    <w:bookmarkStart w:id="38"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8"/>
    <w:bookmarkStart w:id="39"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39"/>
    <w:bookmarkStart w:id="40"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0"/>
    <w:bookmarkStart w:id="41"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1"/>
    <w:bookmarkStart w:id="42"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2"/>
    <w:bookmarkStart w:id="43"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3"/>
    <w:bookmarkStart w:id="44"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4"/>
    <w:bookmarkStart w:id="45"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5"/>
    <w:bookmarkStart w:id="46"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6"/>
    <w:bookmarkStart w:id="47"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7"/>
    <w:bookmarkStart w:id="48"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48"/>
    <w:bookmarkStart w:id="49"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49"/>
    <w:bookmarkStart w:id="50"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0"/>
    <w:bookmarkStart w:id="51"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1"/>
    <w:bookmarkStart w:id="52"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2"/>
    <w:bookmarkStart w:id="53"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3"/>
    <w:bookmarkStart w:id="54"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4"/>
    <w:bookmarkStart w:id="55"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p>
    <w:bookmarkEnd w:id="55"/>
    <w:bookmarkStart w:id="56"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6"/>
    <w:bookmarkStart w:id="57"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57"/>
    <w:bookmarkStart w:id="58" w:name="ref-Delmas2019"/>
    <w:p>
      <w:pPr>
        <w:pStyle w:val="Bibliography"/>
      </w:pPr>
      <w:r>
        <w:t xml:space="preserve">22.</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58"/>
    <w:bookmarkStart w:id="59" w:name="ref-Godoy2019"/>
    <w:p>
      <w:pPr>
        <w:pStyle w:val="Bibliography"/>
      </w:pPr>
      <w:r>
        <w:t xml:space="preserve">23.</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59"/>
    <w:bookmarkStart w:id="60" w:name="ref-Poisot2021"/>
    <w:p>
      <w:pPr>
        <w:pStyle w:val="Bibliography"/>
      </w:pPr>
      <w:r>
        <w:t xml:space="preserve">24.</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60"/>
    <w:bookmarkStart w:id="61" w:name="ref-Hui2019"/>
    <w:p>
      <w:pPr>
        <w:pStyle w:val="Bibliography"/>
      </w:pPr>
      <w:r>
        <w:t xml:space="preserve">25.</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61"/>
    <w:bookmarkStart w:id="62" w:name="ref-Gomez2023"/>
    <w:p>
      <w:pPr>
        <w:pStyle w:val="Bibliography"/>
      </w:pPr>
      <w:r>
        <w:t xml:space="preserve">26.</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62"/>
    <w:bookmarkStart w:id="63" w:name="ref-Lytle2023"/>
    <w:p>
      <w:pPr>
        <w:pStyle w:val="Bibliography"/>
      </w:pPr>
      <w:r>
        <w:t xml:space="preserve">27.</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3"/>
    <w:bookmarkStart w:id="64" w:name="ref-Petsopoulos2021"/>
    <w:p>
      <w:pPr>
        <w:pStyle w:val="Bibliography"/>
      </w:pPr>
      <w:r>
        <w:t xml:space="preserve">28.</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64"/>
    <w:bookmarkStart w:id="65" w:name="ref-Dale2021"/>
    <w:p>
      <w:pPr>
        <w:pStyle w:val="Bibliography"/>
      </w:pPr>
      <w:r>
        <w:t xml:space="preserve">29.</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65"/>
    <w:bookmarkStart w:id="66" w:name="ref-Lu2023"/>
    <w:p>
      <w:pPr>
        <w:pStyle w:val="Bibliography"/>
      </w:pPr>
      <w:r>
        <w:t xml:space="preserve">30.</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66"/>
    <w:bookmarkStart w:id="67" w:name="ref-Carrara2015"/>
    <w:p>
      <w:pPr>
        <w:pStyle w:val="Bibliography"/>
      </w:pPr>
      <w:r>
        <w:t xml:space="preserve">31.</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67"/>
    <w:bookmarkStart w:id="68" w:name="ref-Vitali2022"/>
    <w:p>
      <w:pPr>
        <w:pStyle w:val="Bibliography"/>
      </w:pPr>
      <w:r>
        <w:t xml:space="preserve">32.</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8"/>
    <w:bookmarkStart w:id="69" w:name="ref-Riva2023"/>
    <w:p>
      <w:pPr>
        <w:pStyle w:val="Bibliography"/>
      </w:pPr>
      <w:r>
        <w:t xml:space="preserve">33.</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69"/>
    <w:bookmarkStart w:id="70" w:name="ref-Terry2020"/>
    <w:p>
      <w:pPr>
        <w:pStyle w:val="Bibliography"/>
      </w:pPr>
      <w:r>
        <w:t xml:space="preserve">34.</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70"/>
    <w:bookmarkStart w:id="71" w:name="ref-Weiss-Lehman2022"/>
    <w:p>
      <w:pPr>
        <w:pStyle w:val="Bibliography"/>
      </w:pPr>
      <w:r>
        <w:t xml:space="preserve">35.</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71"/>
    <w:bookmarkStart w:id="72" w:name="ref-Martinez-De_Leon2024"/>
    <w:p>
      <w:pPr>
        <w:pStyle w:val="Bibliography"/>
      </w:pPr>
      <w:r>
        <w:t xml:space="preserve">36.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72"/>
    <w:bookmarkStart w:id="73"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3"/>
    <w:bookmarkStart w:id="74" w:name="ref-Zou2024"/>
    <w:p>
      <w:pPr>
        <w:pStyle w:val="Bibliography"/>
      </w:pPr>
      <w:r>
        <w:t xml:space="preserve">38.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74"/>
    <w:bookmarkStart w:id="75" w:name="ref-Li2023"/>
    <w:p>
      <w:pPr>
        <w:pStyle w:val="Bibliography"/>
      </w:pPr>
      <w:r>
        <w:t xml:space="preserve">39.</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75"/>
    <w:bookmarkStart w:id="76" w:name="ref-Zhu2024"/>
    <w:p>
      <w:pPr>
        <w:pStyle w:val="Bibliography"/>
      </w:pPr>
      <w:r>
        <w:t xml:space="preserve">40.</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76"/>
    <w:bookmarkStart w:id="77" w:name="ref-Kearney2009a"/>
    <w:p>
      <w:pPr>
        <w:pStyle w:val="Bibliography"/>
      </w:pPr>
      <w:r>
        <w:t xml:space="preserve">41.</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77"/>
    <w:bookmarkEnd w:id="78"/>
    <w:bookmarkEnd w:id="79"/>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2025-01-13T23:38:05Z</dcterms:created>
  <dcterms:modified xsi:type="dcterms:W3CDTF">2025-01-13T23:38:05Z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