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2" w:name="X2b97b971c201f11017c10c1d6e4dbfd69043166"/>
    <w:p>
      <w:pPr>
        <w:pStyle w:val="Heading1"/>
      </w:pPr>
      <w:r>
        <w:t xml:space="preserve">A systems-modelling approach to modelling biotic impacts of heatwaves</w:t>
      </w:r>
    </w:p>
    <w:p>
      <w:pPr>
        <w:pStyle w:val="FirstParagraph"/>
      </w:pPr>
      <w:r>
        <w:rPr>
          <w:b/>
          <w:bCs/>
        </w:rPr>
        <w:t xml:space="preserve">?@fig-fig1</w:t>
      </w:r>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characterise the proximal thermal environments – the</w:t>
      </w:r>
      <w:r>
        <w:t xml:space="preserve"> </w:t>
      </w:r>
      <w:r>
        <w:t xml:space="preserve">‘microclimates’</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behavioural responses, including the processes of thermal damage and repair, and how individuals mitigate their exposure to extreme heat through habitat selection and other behaviours.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r>
        <w:rPr>
          <w:b/>
          <w:bCs/>
        </w:rPr>
        <w:t xml:space="preserve">?@fig-fig1</w:t>
      </w:r>
      <w:r>
        <w:t xml:space="preserve"> </w:t>
      </w:r>
      <w:r>
        <w:t xml:space="preserve">such that a truly systems-based approach to modelling biotic impacts of heatwaves is now possible.</w:t>
      </w:r>
    </w:p>
    <w:bookmarkEnd w:id="22"/>
    <w:bookmarkStart w:id="23" w:name="Xbb8a3512749f7fb1c67948ca8a2ad003fcd6253"/>
    <w:p>
      <w:pPr>
        <w:pStyle w:val="Heading1"/>
      </w:pPr>
      <w:r>
        <w:t xml:space="preserve">The current climate of extreme weather modelling</w:t>
      </w:r>
    </w:p>
    <w:bookmarkEnd w:id="23"/>
    <w:bookmarkStart w:id="24" w:name="X4da05dea4acdb2054c1e59c2f12913febac8a0c"/>
    <w:p>
      <w:pPr>
        <w:pStyle w:val="Heading1"/>
      </w:pPr>
      <w:r>
        <w:t xml:space="preserve">From weather to microclimates: predicting community wide exposure to extreme heat</w:t>
      </w:r>
    </w:p>
    <w:bookmarkEnd w:id="24"/>
    <w:bookmarkStart w:id="25" w:name="X5a6e6d313f4187bfc77082e5e5979262b26b081"/>
    <w:p>
      <w:pPr>
        <w:pStyle w:val="Heading1"/>
      </w:pPr>
      <w:r>
        <w:t xml:space="preserve">Translating exposure to organism temperature: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5"/>
    <w:bookmarkStart w:id="27"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[11,12,24]</w:t>
      </w:r>
      <w:r>
        <w:t xml:space="preserve">. Several approaches can be used to capture the accumulation of damage</w:t>
      </w:r>
      <w:r>
        <w:t xml:space="preserve"> </w:t>
      </w:r>
      <w:r>
        <w:t xml:space="preserve">[11,12,24]</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26"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26"/>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27"/>
    <w:bookmarkStart w:id="28" w:name="X26e2617c7557035eb826bdba0aa1bfc30f8def3"/>
    <w:p>
      <w:pPr>
        <w:pStyle w:val="Heading1"/>
      </w:pPr>
      <w:r>
        <w:t xml:space="preserve">Sensitivity to extreme heat is mediated by environmental feedbacks</w:t>
      </w:r>
    </w:p>
    <w:bookmarkEnd w:id="28"/>
    <w:bookmarkStart w:id="29"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29"/>
    <w:bookmarkStart w:id="30"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(hourly)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into long-term (days, months, years) effects on development, growth, reproduction and survival</w:t>
      </w:r>
      <w:r>
        <w:t xml:space="preserve"> </w:t>
      </w:r>
      <w:r>
        <w:t xml:space="preserve">[17,20]</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0"/>
    <w:bookmarkStart w:id="31" w:name="Xbdb3df2871e98d114a1e4e74a52caa28253dc0c"/>
    <w:p>
      <w:pPr>
        <w:pStyle w:val="Heading1"/>
      </w:pPr>
      <w:r>
        <w:t xml:space="preserve">Mechanistic approaches that</w:t>
      </w:r>
      <w:r>
        <w:t xml:space="preserve"> </w:t>
      </w:r>
      <w:r>
        <w:t xml:space="preserve">‘speak’</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31"/>
    <w:bookmarkStart w:id="33" w:name="X5f60cb5872271d873b61a7524ce9c4bd1e0d2b7"/>
    <w:p>
      <w:pPr>
        <w:pStyle w:val="Heading1"/>
      </w:pPr>
      <w:r>
        <w:t xml:space="preserve">Integrating eco-evolutionary feedbacks within a systems-modelling framework</w:t>
      </w:r>
    </w:p>
    <w:p>
      <w:pPr>
        <w:pStyle w:val="FirstParagraph"/>
      </w:pPr>
      <w:r>
        <w:t xml:space="preserve">Extreme environments both impact trait development and act as a potent selective force allowing populations to evolve</w:t>
      </w:r>
      <w:r>
        <w:t xml:space="preserve"> </w:t>
      </w:r>
      <w:r>
        <w:t xml:space="preserve">[73–75]</w:t>
      </w:r>
      <w:r>
        <w:t xml:space="preserve">. Phenotypic plasticty and adaptive evolutionary change are two processes that are expected to allow systems to respond and build resilience to extreme heat. Evolutionary responses will depend on the amount of phenotypic and genetic variation exposed to natural selection and the strength of selection on phenotypes. Extreme environments pose unique challenges for predicting evolutionary change because they are, by definiton, rare events. Adaptive evolution will therefore depend on the frequency of extreme environments and the underlying genetic correlation between traits expressed across common and extreme environments</w:t>
      </w:r>
      <w:r>
        <w:t xml:space="preserve"> </w:t>
      </w:r>
      <w:r>
        <w:t xml:space="preserve">[73]</w:t>
      </w:r>
      <w:r>
        <w:t xml:space="preserve">. In addition, phenotypic plasticity can result in both maladaptive and adaptive outcomes by either shielding selection on genetic variation or by facilitating persistence and selection</w:t>
      </w:r>
      <w:r>
        <w:t xml:space="preserve"> </w:t>
      </w:r>
      <w:r>
        <w:t xml:space="preserve">[74,76–79]</w:t>
      </w:r>
      <w:r>
        <w:t xml:space="preserve">. Both plasticity and evolution can be incorperated into a systems modelling framework by allowing environments to govern</w:t>
      </w:r>
      <w:r>
        <w:t xml:space="preserve"> </w:t>
      </w:r>
      <w:r>
        <w:t xml:space="preserve">‘trait’</w:t>
      </w:r>
      <w:r>
        <w:t xml:space="preserve"> </w:t>
      </w:r>
      <w:r>
        <w:t xml:space="preserve">development (plasticity) and by incoperating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that allow functional taits to emerge</w:t>
      </w:r>
      <w:r>
        <w:t xml:space="preserve"> </w:t>
      </w:r>
      <w:r>
        <w:t xml:space="preserve">[80]</w:t>
      </w:r>
      <w:r>
        <w:t xml:space="preserve">. Plasticity can be captured by mapping trait development to the environment. In contrast, evolutionary change that considers genetic correlation between traits (i.e., constraints) can be predcited using the multivariate breeders equation:</w:t>
      </w:r>
    </w:p>
    <w:p>
      <w:pPr>
        <w:pStyle w:val="BodyText"/>
      </w:pPr>
      <w:bookmarkStart w:id="32" w:name="eq-breeders"/>
      <m:oMathPara>
        <m:oMathParaPr>
          <m:jc m:val="center"/>
        </m:oMathParaPr>
        <m:oMath>
          <m:r>
            <m:t>Δ</m:t>
          </m:r>
          <m:acc>
            <m:accPr>
              <m:chr m:val="‾"/>
            </m:accPr>
            <m:e>
              <m:r>
                <m:rPr>
                  <m:nor/>
                  <m:sty m:val="b"/>
                </m:rPr>
                <m:t>z</m:t>
              </m:r>
            </m:e>
          </m:acc>
          <m:r>
            <m:rPr>
              <m:sty m:val="p"/>
            </m:rPr>
            <m:t>=</m:t>
          </m:r>
          <m:r>
            <m:rPr>
              <m:nor/>
              <m:sty m:val="b"/>
            </m:rPr>
            <m:t>G</m:t>
          </m:r>
          <m:r>
            <m:rPr>
              <m:sty m:val="p"/>
            </m:rPr>
            <m:t>⋅</m:t>
          </m:r>
          <m:r>
            <m:t>β</m:t>
          </m:r>
          <m:r>
            <m:t>  </m:t>
          </m:r>
          <m:d>
            <m:dPr>
              <m:begChr m:val="("/>
              <m:sepChr m:val=""/>
              <m:endChr m:val=")"/>
              <m:grow/>
            </m:dPr>
            <m:e>
              <m:r>
                <m:t>2</m:t>
              </m:r>
            </m:e>
          </m:d>
        </m:oMath>
      </m:oMathPara>
      <w:bookmarkEnd w:id="32"/>
    </w:p>
    <w:p>
      <w:pPr>
        <w:pStyle w:val="FirstParagraph"/>
      </w:pPr>
      <w:r>
        <w:t xml:space="preserve">where</w:t>
      </w:r>
      <w:r>
        <w:t xml:space="preserve"> </w:t>
      </w:r>
      <m:oMath>
        <m:r>
          <m:t>Δ</m:t>
        </m:r>
        <m:acc>
          <m:accPr>
            <m:chr m:val="‾"/>
          </m:accPr>
          <m:e>
            <m:r>
              <m:rPr>
                <m:nor/>
                <m:sty m:val="b"/>
              </m:rPr>
              <m:t>z</m:t>
            </m:r>
          </m:e>
        </m:acc>
      </m:oMath>
      <w:r>
        <w:t xml:space="preserve"> </w:t>
      </w:r>
      <w:r>
        <w:t xml:space="preserve">is the vector of changes in the mean trait values,</w:t>
      </w:r>
      <w:r>
        <w:t xml:space="preserve"> </w:t>
      </w:r>
      <m:oMath>
        <m:r>
          <m:rPr>
            <m:nor/>
            <m:sty m:val="b"/>
          </m:rPr>
          <m:t>G</m:t>
        </m:r>
      </m:oMath>
      <w:r>
        <w:t xml:space="preserve"> </w:t>
      </w:r>
      <w:r>
        <w:t xml:space="preserve">is the genetic covariance matrix and</w:t>
      </w:r>
      <w:r>
        <w:t xml:space="preserve"> </w:t>
      </w:r>
      <m:oMath>
        <m:r>
          <m:t>β</m:t>
        </m:r>
      </m:oMath>
      <w:r>
        <w:t xml:space="preserve"> </w:t>
      </w:r>
      <w:r>
        <w:t xml:space="preserve">is the vector of standardised selection gradients.</w:t>
      </w:r>
    </w:p>
    <w:bookmarkEnd w:id="33"/>
    <w:bookmarkStart w:id="39"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34"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[81]</w:t>
      </w:r>
      <w:r>
        <w:t xml:space="preserve">. The paper provides a framework for modelling soil plant interactions</w:t>
      </w:r>
    </w:p>
    <w:bookmarkEnd w:id="34"/>
    <w:bookmarkStart w:id="35" w:name="X24738ef4513767bb724ce8804ac017259eaf2ee"/>
    <w:p>
      <w:pPr>
        <w:pStyle w:val="Heading3"/>
      </w:pPr>
      <w:r>
        <w:t xml:space="preserve">Water availability can impact thermal sensitivity of plants and animals (Brendan)</w:t>
      </w:r>
    </w:p>
    <w:bookmarkEnd w:id="35"/>
    <w:bookmarkStart w:id="36"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[82]</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[82]</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6"/>
    <w:bookmarkStart w:id="37"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[83]</w:t>
      </w:r>
      <w:r>
        <w:t xml:space="preserve">. Connects heat tolerance to population matrix models. And, shows acclimation responses (heat hardening).</w:t>
      </w:r>
    </w:p>
    <w:bookmarkEnd w:id="37"/>
    <w:bookmarkStart w:id="38" w:name="X1f820984f57b727edc20965138ee13069f96c01"/>
    <w:p>
      <w:pPr>
        <w:pStyle w:val="Heading3"/>
      </w:pPr>
      <w:r>
        <w:t xml:space="preserve">Phenology and activity pattern shifts mediating interactions (James?)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Box 1: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[84]</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[85]</w:t>
            </w:r>
            <w:r>
              <w:t xml:space="preserve">. Thermal stressors may even influence producers’ psychological beliefs about their level of control over land management, and perceived resources available for management practices</w:t>
            </w:r>
            <w:r>
              <w:t xml:space="preserve"> </w:t>
            </w:r>
            <w:r>
              <w:t xml:space="preserve">[86]</w:t>
            </w:r>
            <w:r>
              <w:t xml:space="preserve">. Thermal risks to ecosystems may also precipitate declines in individual wellbeing, and these consequences may accrue differently across regions and across peoples</w:t>
            </w:r>
            <w:r>
              <w:t xml:space="preserve"> </w:t>
            </w:r>
            <w:r>
              <w:t xml:space="preserve">[87]</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[88,89]</w:t>
            </w:r>
            <w:r>
              <w:t xml:space="preserve">. On the other hand, adapting thermal risks in upper stream producers may also be influenced by the perception and behaviour of downstream consumers</w:t>
            </w:r>
            <w:r>
              <w:t xml:space="preserve"> </w:t>
            </w:r>
            <w:r>
              <w:t xml:space="preserve">[90]</w:t>
            </w:r>
            <w:r>
              <w:t xml:space="preserve">. The cascading</w:t>
            </w:r>
            <w:r>
              <w:t xml:space="preserve"> </w:t>
            </w:r>
            <w:r>
              <w:t xml:space="preserve">[91]</w:t>
            </w:r>
            <w:r>
              <w:t xml:space="preserve"> </w:t>
            </w:r>
            <w:r>
              <w:t xml:space="preserve">and telecoupled</w:t>
            </w:r>
            <w:r>
              <w:t xml:space="preserve"> </w:t>
            </w:r>
            <w:r>
              <w:t xml:space="preserve">[92]</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[93]</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[94]</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[95]</w:t>
            </w:r>
            <w:r>
              <w:t xml:space="preserve">. Social-ecological models aim to capture the social systems, natural systems and their interactions</w:t>
            </w:r>
            <w:r>
              <w:t xml:space="preserve"> </w:t>
            </w:r>
            <w:r>
              <w:t xml:space="preserve">[96]</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[97]</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w:t>
            </w:r>
            <w:r>
              <w:rPr>
                <w:b/>
                <w:bCs/>
              </w:rPr>
              <w:t xml:space="preserve">delgado2022routledge?</w:t>
            </w:r>
            <w:r>
              <w:t xml:space="preserve">]</w:t>
            </w:r>
            <w:r>
              <w:t xml:space="preserve">. Process-based approaches are critical to understanding how emergent social-ecological phenomena develop</w:t>
            </w:r>
            <w:r>
              <w:t xml:space="preserve"> </w:t>
            </w:r>
            <w:r>
              <w:t xml:space="preserve">[</w:t>
            </w:r>
            <w:r>
              <w:rPr>
                <w:b/>
                <w:bCs/>
              </w:rPr>
              <w:t xml:space="preserve">brown2021can?</w:t>
            </w:r>
            <w:r>
              <w:t xml:space="preserve">]</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behavioural theory and empirical data; and interactions between them in the system of interest. Since obtaining all these data can be challenging, social-ecological modelling is often performed in an exploratory mode</w:t>
            </w:r>
            <w:r>
              <w:t xml:space="preserve"> </w:t>
            </w:r>
            <w:r>
              <w:t xml:space="preserve">[</w:t>
            </w:r>
            <w:r>
              <w:rPr>
                <w:b/>
                <w:bCs/>
              </w:rPr>
              <w:t xml:space="preserve">kwakkel2013exploratory?</w:t>
            </w:r>
            <w:r>
              <w:t xml:space="preserve">]</w:t>
            </w:r>
            <w:r>
              <w:t xml:space="preserve"> </w:t>
            </w:r>
            <w:r>
              <w:t xml:space="preserve">to anticipate possible future modes of behaviour, such as the direction of change of human behaviour and environmental state or the risk of emergent phenomena such as tipping points, rather than trying to predict specific outcomes.</w:t>
            </w:r>
          </w:p>
        </w:tc>
      </w:tr>
    </w:tbl>
    <w:bookmarkEnd w:id="38"/>
    <w:bookmarkEnd w:id="39"/>
    <w:bookmarkStart w:id="40" w:name="X42ca7aa69937316dee7b1e100d4320aa777518f"/>
    <w:p>
      <w:pPr>
        <w:pStyle w:val="Heading1"/>
      </w:pPr>
      <w:r>
        <w:t xml:space="preserve">‘Hot’</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bookmarkEnd w:id="40"/>
    <w:bookmarkStart w:id="42" w:name="X78b08fde953bb9dcb9bb22555137d822070b4a9"/>
    <w:p>
      <w:pPr>
        <w:pStyle w:val="Heading1"/>
      </w:pPr>
      <w:r>
        <w:t xml:space="preserve">Future directions: modelling challenges, gaps and possible solutions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41">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in our understanding of the impacts of extreme heat on organisms and communities that need to be addressed, which we outline below:</w:t>
      </w:r>
    </w:p>
    <w:p>
      <w:pPr>
        <w:pStyle w:val="Compact"/>
        <w:numPr>
          <w:ilvl w:val="0"/>
          <w:numId w:val="1008"/>
        </w:numPr>
      </w:pPr>
      <w:r>
        <w:rPr>
          <w:b/>
          <w:bCs/>
        </w:rPr>
        <w:t xml:space="preserve">Data limitations for applying DEB theory</w:t>
      </w:r>
      <w:r>
        <w:t xml:space="preserve">: DEB models require a lot of information on a given species to model life-cycles, and there are challenges in applying stage-structured populations (e.g., metamorphosis). We need to develop solutions to these challenges (Mike).</w:t>
      </w:r>
    </w:p>
    <w:p>
      <w:pPr>
        <w:pStyle w:val="Compact"/>
        <w:numPr>
          <w:ilvl w:val="0"/>
          <w:numId w:val="1008"/>
        </w:numPr>
      </w:pPr>
      <w:r>
        <w:rPr>
          <w:b/>
          <w:b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p>
      <w:pPr>
        <w:pStyle w:val="Compact"/>
        <w:numPr>
          <w:ilvl w:val="0"/>
          <w:numId w:val="1008"/>
        </w:numPr>
      </w:pPr>
      <w:r>
        <w:rPr>
          <w:b/>
          <w:bCs/>
        </w:rPr>
        <w:t xml:space="preserve">Behavioural responses to heat stress</w:t>
      </w:r>
      <w:r>
        <w:t xml:space="preserve">: Greater detail in the ways both plants and animals</w:t>
      </w:r>
      <w:r>
        <w:t xml:space="preserve"> </w:t>
      </w:r>
      <w:r>
        <w:t xml:space="preserve">‘behave’</w:t>
      </w:r>
      <w:r>
        <w:t xml:space="preserve"> </w:t>
      </w:r>
      <w:r>
        <w:t xml:space="preserve">to extreme heat is needed to better understand physiological and behavioural adjustments that might mitigate exposure to heat stress.</w:t>
      </w:r>
      <w:r>
        <w:br/>
      </w:r>
    </w:p>
    <w:p>
      <w:pPr>
        <w:pStyle w:val="Compact"/>
        <w:numPr>
          <w:ilvl w:val="0"/>
          <w:numId w:val="1008"/>
        </w:numPr>
      </w:pPr>
      <w:r>
        <w:rPr>
          <w:b/>
          <w:bCs/>
        </w:rPr>
        <w:t xml:space="preserve">Evolutionary dynamics leading to changes in thermal sensitivity and exposure</w:t>
      </w:r>
      <w:r>
        <w:t xml:space="preserve">: We need to understand how thermal sensitivity and exposure will evolve in response to climate change. This requires knowledge of heritability (not often known) and selection intensity (good idea of what’s driving selection). We could cite</w:t>
      </w:r>
      <w:r>
        <w:t xml:space="preserve"> </w:t>
      </w:r>
      <w:r>
        <w:t xml:space="preserve">[98]</w:t>
      </w:r>
      <w:r>
        <w:t xml:space="preserve"> </w:t>
      </w:r>
      <w:r>
        <w:t xml:space="preserve">(Ary).</w:t>
      </w:r>
    </w:p>
    <w:p>
      <w:pPr>
        <w:pStyle w:val="Compact"/>
        <w:numPr>
          <w:ilvl w:val="0"/>
          <w:numId w:val="1008"/>
        </w:numPr>
      </w:pPr>
      <w:r>
        <w:rPr>
          <w:b/>
          <w:b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p>
      <w:pPr>
        <w:pStyle w:val="Compact"/>
        <w:numPr>
          <w:ilvl w:val="0"/>
          <w:numId w:val="1008"/>
        </w:numPr>
      </w:pPr>
      <w:r>
        <w:rPr>
          <w:b/>
          <w:bCs/>
        </w:rPr>
        <w:t xml:space="preserve">Social-ecological systems</w:t>
      </w:r>
      <w:r>
        <w:t xml:space="preserve">: We need to understand how the impacts of extreme heat on ecosystems can affect the services those ecosystems provide to people and how people may respond to thermal risks to ecosystems. This requires a social-ecological systems perspective that captures the interactions between social and natural systems (Alison, Owen, Belinda, Mike).</w:t>
      </w:r>
    </w:p>
    <w:p>
      <w:pPr>
        <w:pStyle w:val="FirstParagraph"/>
      </w:pPr>
      <w:r>
        <w:t xml:space="preserve">Developing a systems modelling framework will require collaboration between different research fields, including biophysics, physiology, ecology and evolutionary biology. By working collaboratively, we can develop a more calculated understanding of the impacts that extreme heat will have on plants and animals, populations, and communities along with how to mitigate these impacts to preserve socio-ecological systems now and into the future.</w:t>
      </w:r>
    </w:p>
    <w:bookmarkEnd w:id="42"/>
    <w:bookmarkStart w:id="142" w:name="references"/>
    <w:p>
      <w:pPr>
        <w:pStyle w:val="Heading1"/>
      </w:pPr>
      <w:r>
        <w:t xml:space="preserve">References</w:t>
      </w:r>
    </w:p>
    <w:bookmarkStart w:id="141" w:name="refs"/>
    <w:bookmarkStart w:id="43"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3"/>
    <w:bookmarkStart w:id="44"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4"/>
    <w:bookmarkStart w:id="45"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5"/>
    <w:bookmarkStart w:id="46"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6"/>
    <w:bookmarkStart w:id="47"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7"/>
    <w:bookmarkStart w:id="48"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8"/>
    <w:bookmarkStart w:id="49"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9"/>
    <w:bookmarkStart w:id="50"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0"/>
    <w:bookmarkStart w:id="51"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1"/>
    <w:bookmarkStart w:id="52"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2"/>
    <w:bookmarkStart w:id="53"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3"/>
    <w:bookmarkStart w:id="54"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4"/>
    <w:bookmarkStart w:id="55"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5"/>
    <w:bookmarkStart w:id="56"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6"/>
    <w:bookmarkStart w:id="57"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7"/>
    <w:bookmarkStart w:id="58"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8"/>
    <w:bookmarkStart w:id="59"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9"/>
    <w:bookmarkStart w:id="60"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0"/>
    <w:bookmarkStart w:id="61"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1"/>
    <w:bookmarkStart w:id="62"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2"/>
    <w:bookmarkStart w:id="63"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3"/>
    <w:bookmarkStart w:id="64"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4"/>
    <w:bookmarkStart w:id="65"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5"/>
    <w:bookmarkStart w:id="66"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6"/>
    <w:bookmarkStart w:id="67"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7"/>
    <w:bookmarkStart w:id="68"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8"/>
    <w:bookmarkStart w:id="69"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69"/>
    <w:bookmarkStart w:id="70"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70"/>
    <w:bookmarkStart w:id="71"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71"/>
    <w:bookmarkStart w:id="72"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2"/>
    <w:bookmarkStart w:id="73"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3"/>
    <w:bookmarkStart w:id="74"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4"/>
    <w:bookmarkStart w:id="75"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5"/>
    <w:bookmarkStart w:id="76"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76"/>
    <w:bookmarkStart w:id="77"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77"/>
    <w:bookmarkStart w:id="78"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78"/>
    <w:bookmarkStart w:id="79"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9"/>
    <w:bookmarkStart w:id="80"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80"/>
    <w:bookmarkStart w:id="81"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81"/>
    <w:bookmarkStart w:id="82"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2"/>
    <w:bookmarkStart w:id="83"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3"/>
    <w:bookmarkStart w:id="84"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4"/>
    <w:bookmarkStart w:id="85"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5"/>
    <w:bookmarkStart w:id="86"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86"/>
    <w:bookmarkStart w:id="87"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87"/>
    <w:bookmarkStart w:id="88"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88"/>
    <w:bookmarkStart w:id="89"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89"/>
    <w:bookmarkStart w:id="90"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90"/>
    <w:bookmarkStart w:id="91"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91"/>
    <w:bookmarkStart w:id="92"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2"/>
    <w:bookmarkStart w:id="93"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3"/>
    <w:bookmarkStart w:id="94"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4"/>
    <w:bookmarkStart w:id="95"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5"/>
    <w:bookmarkStart w:id="96"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96"/>
    <w:bookmarkStart w:id="97"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97"/>
    <w:bookmarkStart w:id="98"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98"/>
    <w:bookmarkStart w:id="99"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99"/>
    <w:bookmarkStart w:id="100"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00"/>
    <w:bookmarkStart w:id="101"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01"/>
    <w:bookmarkStart w:id="102"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2"/>
    <w:bookmarkStart w:id="103"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3"/>
    <w:bookmarkStart w:id="104"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4"/>
    <w:bookmarkStart w:id="105"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5"/>
    <w:bookmarkStart w:id="106"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06"/>
    <w:bookmarkStart w:id="107"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07"/>
    <w:bookmarkStart w:id="108"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08"/>
    <w:bookmarkStart w:id="109"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09"/>
    <w:bookmarkStart w:id="110"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10"/>
    <w:bookmarkStart w:id="111"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11"/>
    <w:bookmarkStart w:id="112"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2"/>
    <w:bookmarkStart w:id="113"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3"/>
    <w:bookmarkStart w:id="114"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4"/>
    <w:bookmarkStart w:id="115" w:name="ref-Chevin2017"/>
    <w:p>
      <w:pPr>
        <w:pStyle w:val="Bibliography"/>
      </w:pPr>
      <w:r>
        <w:t xml:space="preserve">73.</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15"/>
    <w:bookmarkStart w:id="116" w:name="ref-Urban2024"/>
    <w:p>
      <w:pPr>
        <w:pStyle w:val="Bibliography"/>
      </w:pPr>
      <w:r>
        <w:t xml:space="preserve">74.</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16"/>
    <w:bookmarkStart w:id="117" w:name="ref-Hoffmann2011"/>
    <w:p>
      <w:pPr>
        <w:pStyle w:val="Bibliography"/>
      </w:pPr>
      <w:r>
        <w:t xml:space="preserve">75.</w:t>
      </w:r>
      <w:r>
        <w:t xml:space="preserve"> </w:t>
      </w:r>
      <w:r>
        <w:t xml:space="preserve">	</w:t>
      </w:r>
      <w:r>
        <w:t xml:space="preserve">Hoffmann, A.A. and Sgrò, C.M. (2011) Climate change and evolutionary adaptation. 470, 479–485</w:t>
      </w:r>
    </w:p>
    <w:bookmarkEnd w:id="117"/>
    <w:bookmarkStart w:id="118" w:name="ref-Hoffmann2022"/>
    <w:p>
      <w:pPr>
        <w:pStyle w:val="Bibliography"/>
      </w:pPr>
      <w:r>
        <w:t xml:space="preserve">76.</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18"/>
    <w:bookmarkStart w:id="119" w:name="ref-Ghalambor2015"/>
    <w:p>
      <w:pPr>
        <w:pStyle w:val="Bibliography"/>
      </w:pPr>
      <w:r>
        <w:t xml:space="preserve">77.</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19"/>
    <w:bookmarkStart w:id="120" w:name="ref-Oostra2018"/>
    <w:p>
      <w:pPr>
        <w:pStyle w:val="Bibliography"/>
      </w:pPr>
      <w:r>
        <w:t xml:space="preserve">78.</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20"/>
    <w:bookmarkStart w:id="121" w:name="ref-Noble2019"/>
    <w:p>
      <w:pPr>
        <w:pStyle w:val="Bibliography"/>
      </w:pPr>
      <w:r>
        <w:t xml:space="preserve">79.</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21"/>
    <w:bookmarkStart w:id="122" w:name="ref-Sousa2010"/>
    <w:p>
      <w:pPr>
        <w:pStyle w:val="Bibliography"/>
      </w:pPr>
      <w:r>
        <w:t xml:space="preserve">80.</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22"/>
    <w:bookmarkStart w:id="123" w:name="ref-Zou2024"/>
    <w:p>
      <w:pPr>
        <w:pStyle w:val="Bibliography"/>
      </w:pPr>
      <w:r>
        <w:t xml:space="preserve">81.</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23"/>
    <w:bookmarkStart w:id="124" w:name="ref-Li2023"/>
    <w:p>
      <w:pPr>
        <w:pStyle w:val="Bibliography"/>
      </w:pPr>
      <w:r>
        <w:t xml:space="preserve">82.</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24"/>
    <w:bookmarkStart w:id="125" w:name="ref-Zhu2024"/>
    <w:p>
      <w:pPr>
        <w:pStyle w:val="Bibliography"/>
      </w:pPr>
      <w:r>
        <w:t xml:space="preserve">83.</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25"/>
    <w:bookmarkStart w:id="126" w:name="ref-Assessment_undated-fv"/>
    <w:p>
      <w:pPr>
        <w:pStyle w:val="Bibliography"/>
      </w:pPr>
      <w:r>
        <w:t xml:space="preserve">84.</w:t>
      </w:r>
      <w:r>
        <w:t xml:space="preserve"> </w:t>
      </w:r>
      <w:r>
        <w:t xml:space="preserve">	</w:t>
      </w:r>
      <w:r>
        <w:t xml:space="preserve">Assessment, M.E. (2005) Opportunities and challenges for business and industryunioviedo.es</w:t>
      </w:r>
    </w:p>
    <w:bookmarkEnd w:id="126"/>
    <w:bookmarkStart w:id="127" w:name="ref-Dandy2019"/>
    <w:p>
      <w:pPr>
        <w:pStyle w:val="Bibliography"/>
      </w:pPr>
      <w:r>
        <w:t xml:space="preserve">85.</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27"/>
    <w:bookmarkStart w:id="128" w:name="ref-Price2014"/>
    <w:p>
      <w:pPr>
        <w:pStyle w:val="Bibliography"/>
      </w:pPr>
      <w:r>
        <w:t xml:space="preserve">86.</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28"/>
    <w:bookmarkStart w:id="129" w:name="ref-Leviston2018"/>
    <w:p>
      <w:pPr>
        <w:pStyle w:val="Bibliography"/>
      </w:pPr>
      <w:r>
        <w:t xml:space="preserve">87.</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29"/>
    <w:bookmarkStart w:id="130" w:name="ref-Bai2016"/>
    <w:p>
      <w:pPr>
        <w:pStyle w:val="Bibliography"/>
      </w:pPr>
      <w:r>
        <w:t xml:space="preserve">88.</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30"/>
    <w:bookmarkStart w:id="131" w:name="ref-Grimm2008"/>
    <w:p>
      <w:pPr>
        <w:pStyle w:val="Bibliography"/>
      </w:pPr>
      <w:r>
        <w:t xml:space="preserve">89.</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31"/>
    <w:bookmarkStart w:id="132" w:name="ref-Hendricks2022"/>
    <w:p>
      <w:pPr>
        <w:pStyle w:val="Bibliography"/>
      </w:pPr>
      <w:r>
        <w:t xml:space="preserve">90.</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32"/>
    <w:bookmarkStart w:id="133" w:name="ref-Sutanto2020"/>
    <w:p>
      <w:pPr>
        <w:pStyle w:val="Bibliography"/>
      </w:pPr>
      <w:r>
        <w:t xml:space="preserve">91.</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33"/>
    <w:bookmarkStart w:id="134" w:name="ref-Liu2007"/>
    <w:p>
      <w:pPr>
        <w:pStyle w:val="Bibliography"/>
      </w:pPr>
      <w:r>
        <w:t xml:space="preserve">92.</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34"/>
    <w:bookmarkStart w:id="135" w:name="ref-Black2011"/>
    <w:p>
      <w:pPr>
        <w:pStyle w:val="Bibliography"/>
      </w:pPr>
      <w:r>
        <w:t xml:space="preserve">93.</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35"/>
    <w:bookmarkStart w:id="136" w:name="ref-Neil_Adger1999"/>
    <w:p>
      <w:pPr>
        <w:pStyle w:val="Bibliography"/>
      </w:pPr>
      <w:r>
        <w:t xml:space="preserve">94.</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36"/>
    <w:bookmarkStart w:id="137" w:name="ref-Folke2016"/>
    <w:p>
      <w:pPr>
        <w:pStyle w:val="Bibliography"/>
      </w:pPr>
      <w:r>
        <w:t xml:space="preserve">95.</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37"/>
    <w:bookmarkStart w:id="138" w:name="ref-Schluter2012"/>
    <w:p>
      <w:pPr>
        <w:pStyle w:val="Bibliography"/>
      </w:pPr>
      <w:r>
        <w:t xml:space="preserve">96.</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38"/>
    <w:bookmarkStart w:id="139" w:name="ref-Wise2014"/>
    <w:p>
      <w:pPr>
        <w:pStyle w:val="Bibliography"/>
      </w:pPr>
      <w:r>
        <w:t xml:space="preserve">97.</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39"/>
    <w:bookmarkStart w:id="140" w:name="ref-Kearney2009a"/>
    <w:p>
      <w:pPr>
        <w:pStyle w:val="Bibliography"/>
      </w:pPr>
      <w:r>
        <w:t xml:space="preserve">98.</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40"/>
    <w:bookmarkEnd w:id="141"/>
    <w:bookmarkEnd w:id="142"/>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41"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2025-05-13T22:59:53Z</dcterms:created>
  <dcterms:modified xsi:type="dcterms:W3CDTF">2025-05-13T22:59:53Z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