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systems-modelling</w:t>
      </w:r>
      <w:r>
        <w:t xml:space="preserve"> </w:t>
      </w:r>
      <w:r>
        <w:t xml:space="preserve">approach</w:t>
      </w:r>
      <w:r>
        <w:t xml:space="preserve"> </w:t>
      </w:r>
      <w:r>
        <w:t xml:space="preserve">to</w:t>
      </w:r>
      <w:r>
        <w:t xml:space="preserve"> </w:t>
      </w:r>
      <w:r>
        <w:t xml:space="preserve">predict</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p>
      <w:pPr>
        <w:pStyle w:val="FirstParagraph"/>
      </w:pPr>
      <w:r>
        <w:t xml:space="preserve">Daniel W.A. Noble</w:t>
      </w:r>
      <w:r>
        <w:rPr>
          <w:vertAlign w:val="superscript"/>
        </w:rPr>
        <w:t xml:space="preserve">1</w:t>
      </w:r>
      <w:r>
        <w:t xml:space="preserve"> </w:t>
      </w:r>
      <m:oMath>
        <m:r>
          <m:rPr>
            <m:sty m:val="p"/>
          </m:rPr>
          <m:t>†</m:t>
        </m:r>
        <m:r>
          <m:rPr>
            <m:sty m:val="p"/>
          </m:rPr>
          <m:t>,</m:t>
        </m:r>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Danielle Way</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Zhong-Hua Chen</w:t>
      </w:r>
      <w:r>
        <w:rPr>
          <w:vertAlign w:val="superscript"/>
        </w:rPr>
        <w:t xml:space="preserve">3</w:t>
      </w:r>
      <w:r>
        <w:t xml:space="preserve">, Steven Lade</w:t>
      </w:r>
      <w:r>
        <w:rPr>
          <w:vertAlign w:val="superscript"/>
        </w:rPr>
        <w:t xml:space="preserve">5</w:t>
      </w:r>
      <w:r>
        <w:t xml:space="preserve">, Xuemei Bai</w:t>
      </w:r>
      <w:r>
        <w:rPr>
          <w:vertAlign w:val="superscript"/>
        </w:rPr>
        <w:t xml:space="preserve">5</w:t>
      </w:r>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This includes knowledge of habitat-mediated changes in microclimates, biophysical controls on body temperature, temperature sensitivity of organismal physiology, and how the effects of heatwaves vary depending on thermal history. We show how existing models in disparate fields can be linked to achieve a level of understanding necessary for calculated responses to extreme heat from individuals to socioecological systems, now and into the future.</w:t>
      </w:r>
    </w:p>
    <w:bookmarkEnd w:id="20"/>
    <w:bookmarkStart w:id="21" w:name="X34830df71e149b35ac0b6fcbe8f39884d8c43ee"/>
    <w:p>
      <w:pPr>
        <w:pStyle w:val="Heading1"/>
      </w:pPr>
      <w:r>
        <w:t xml:space="preserve">A need for a mechanistically informed modelling framework for interpreting and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more tangible and will provide powerful new ways of predicting how extreme heat shapes community dynamics. Physiological models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w:t>
      </w:r>
      <w:r>
        <w:t xml:space="preserve">extreme heat</w:t>
      </w:r>
      <w:r>
        <w:t xml:space="preserve">’</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w:t>
      </w:r>
      <w:r>
        <w:t xml:space="preserve">extreme</w:t>
      </w:r>
      <w:r>
        <w:t xml:space="preserve">’</w:t>
      </w:r>
      <w:r>
        <w:t xml:space="preserve"> </w:t>
      </w:r>
      <w:r>
        <w:t xml:space="preserve">will be relative to the biology of the organism in question.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 in response to extreme heat.</w:t>
      </w:r>
    </w:p>
    <w:bookmarkEnd w:id="21"/>
    <w:bookmarkStart w:id="22" w:name="X2b97b971c201f11017c10c1d6e4dbfd69043166"/>
    <w:p>
      <w:pPr>
        <w:pStyle w:val="Heading1"/>
      </w:pPr>
      <w:r>
        <w:t xml:space="preserve">A systems-modelling approach to modelling biotic impacts of heatwaves</w:t>
      </w:r>
    </w:p>
    <w:p>
      <w:pPr>
        <w:pStyle w:val="FirstParagraph"/>
      </w:pPr>
      <w:r>
        <w:rPr>
          <w:b/>
          <w:bCs/>
        </w:rPr>
        <w:t xml:space="preserve">?@fig-fig1</w:t>
      </w:r>
      <w:r>
        <w:t xml:space="preserve"> </w:t>
      </w:r>
      <w:r>
        <w:t xml:space="preserve">illustrates how a systems-modelling approach to understanding heatwave impacts can be achieved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characterise the proximal thermal environments – the</w:t>
      </w:r>
      <w:r>
        <w:t xml:space="preserve"> </w:t>
      </w:r>
      <w:r>
        <w:t xml:space="preserve">‘</w:t>
      </w:r>
      <w:r>
        <w:t xml:space="preserve">microclimates</w:t>
      </w:r>
      <w:r>
        <w:t xml:space="preserve">’</w:t>
      </w:r>
      <w:r>
        <w:t xml:space="preserve"> </w:t>
      </w:r>
      <w:r>
        <w:t xml:space="preserve">– experienced by individuals of different species under a given atmospheric event, which can vary dramatically both vertically and horizontally at a given time. These microclimates must then be translated into physiological and behavioural responses, including the processes of thermal damage and repair, and how individuals mitigate their exposure to extreme heat through habitat selection and other behaviours. Dynamic energy budgets translate these individual responses into growth and reproduction trajectories across life cycles to drive population and community models of the resulting interactions. In the next sections we outline new developments in how we model all the components in</w:t>
      </w:r>
      <w:r>
        <w:t xml:space="preserve"> </w:t>
      </w:r>
      <w:r>
        <w:rPr>
          <w:b/>
          <w:bCs/>
        </w:rPr>
        <w:t xml:space="preserve">?@fig-fig1</w:t>
      </w:r>
      <w:r>
        <w:t xml:space="preserve"> </w:t>
      </w:r>
      <w:r>
        <w:t xml:space="preserve">such that a truly systems-based approach to modelling biotic impacts of heatwaves is now possible.</w:t>
      </w:r>
    </w:p>
    <w:bookmarkEnd w:id="22"/>
    <w:bookmarkStart w:id="23" w:name="Xbb8a3512749f7fb1c67948ca8a2ad003fcd6253"/>
    <w:p>
      <w:pPr>
        <w:pStyle w:val="Heading1"/>
      </w:pPr>
      <w:r>
        <w:t xml:space="preserve">The current climate of extreme weather modelling</w:t>
      </w:r>
    </w:p>
    <w:bookmarkEnd w:id="23"/>
    <w:bookmarkStart w:id="24" w:name="X4da05dea4acdb2054c1e59c2f12913febac8a0c"/>
    <w:p>
      <w:pPr>
        <w:pStyle w:val="Heading1"/>
      </w:pPr>
      <w:r>
        <w:t xml:space="preserve">From weather to microclimates: predicting community wide exposure to extreme heat</w:t>
      </w:r>
    </w:p>
    <w:bookmarkEnd w:id="24"/>
    <w:bookmarkStart w:id="25" w:name="X5a6e6d313f4187bfc77082e5e5979262b26b081"/>
    <w:p>
      <w:pPr>
        <w:pStyle w:val="Heading1"/>
      </w:pPr>
      <w:r>
        <w:t xml:space="preserve">Translating exposure to organism temperature: biophysics to the rescue!</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5"/>
    <w:bookmarkStart w:id="27" w:name="Xd22b977f88f0add426f49399196084251b1e16e"/>
    <w:p>
      <w:pPr>
        <w:pStyle w:val="Heading1"/>
      </w:pPr>
      <w:r>
        <w:t xml:space="preserve">Capturing the balance between physiological damage and repair to predict multi-species thermal sensitivity (Dan,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[21,24]</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 of time at a given temperature decreases survival or fertility exponentially</w:t>
      </w:r>
      <w:r>
        <w:t xml:space="preserve"> </w:t>
      </w:r>
      <w:r>
        <w:t xml:space="preserve">[11,12,21,24]</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[25]</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critically important for understanding how heat waves affect organisms because such a mechanism can result in lagged responses to heat stress – a common feature of extreme heat events</w:t>
      </w:r>
      <w:r>
        <w:t xml:space="preserve"> </w:t>
      </w:r>
      <w:r>
        <w:t xml:space="preserve">[26]</w:t>
      </w:r>
      <w:r>
        <w:t xml:space="preserve">. Once a thermal tolerance landscape for a particular endpoint has been quantified, the thermal sensitivity (i.e., the slope</w:t>
      </w:r>
      <w:r>
        <w:t xml:space="preserve"> </w:t>
      </w:r>
      <m:oMath>
        <m:r>
          <m:t>z</m:t>
        </m:r>
      </m:oMath>
      <w:r>
        <w:t xml:space="preserve">, Figure 1) can be used to predict the accumulation of damage during stressful temperatures experienced in nature</w:t>
      </w:r>
      <w:r>
        <w:t xml:space="preserve"> </w:t>
      </w:r>
      <w:r>
        <w:t xml:space="preserve">[11,12,24]</w:t>
      </w:r>
      <w:r>
        <w:t xml:space="preserve">. Several approaches can be used to capture the accumulation of damage</w:t>
      </w:r>
      <w:r>
        <w:t xml:space="preserve"> </w:t>
      </w:r>
      <w:r>
        <w:t xml:space="preserve">[11,12,24]</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26"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endChr m:val=")"/>
                      <m:sepChr m:val=""/>
                      <m:grow/>
                    </m:dPr>
                    <m:e>
                      <m:sSub>
                        <m:e>
                          <m:r>
                            <m:t>t</m:t>
                          </m:r>
                        </m:e>
                        <m:sub>
                          <m:r>
                            <m:t>i</m:t>
                          </m:r>
                          <m:r>
                            <m:rPr>
                              <m:sty m:val="p"/>
                            </m:rPr>
                            <m:t>+</m:t>
                          </m:r>
                          <m:r>
                            <m:t>1</m:t>
                          </m:r>
                        </m:sub>
                      </m:sSub>
                      <m:r>
                        <m:rPr>
                          <m:sty m:val="p"/>
                        </m:rPr>
                        <m:t>−</m:t>
                      </m:r>
                      <m:sSub>
                        <m:e>
                          <m:r>
                            <m:t>t</m:t>
                          </m:r>
                        </m:e>
                        <m:sub>
                          <m:r>
                            <m:t>i</m:t>
                          </m:r>
                        </m:sub>
                      </m:sSub>
                    </m:e>
                  </m:d>
                </m:num>
                <m:den>
                  <m:sSup>
                    <m:e>
                      <m:r>
                        <m:t>10</m:t>
                      </m:r>
                    </m:e>
                    <m:sup>
                      <m:d>
                        <m:dPr>
                          <m:begChr m:val="("/>
                          <m:endChr m:val=")"/>
                          <m:sepChr m:val=""/>
                          <m:grow/>
                        </m:dPr>
                        <m:e>
                          <m:r>
                            <m:rPr>
                              <m:sty m:val="p"/>
                            </m:rPr>
                            <m:t>−</m:t>
                          </m:r>
                          <m:f>
                            <m:fPr>
                              <m:type m:val="bar"/>
                            </m:fPr>
                            <m:num>
                              <m:r>
                                <m:t>1</m:t>
                              </m:r>
                            </m:num>
                            <m:den>
                              <m:r>
                                <m:t>z</m:t>
                              </m:r>
                            </m:den>
                          </m:f>
                          <m:r>
                            <m:rPr>
                              <m:sty m:val="p"/>
                            </m:rPr>
                            <m:t>⋅</m:t>
                          </m:r>
                          <m:r>
                            <m:t>m</m:t>
                          </m:r>
                          <m:r>
                            <m:t>a</m:t>
                          </m:r>
                          <m:r>
                            <m:t>x</m:t>
                          </m:r>
                          <m:d>
                            <m:dPr>
                              <m:begChr m:val="("/>
                              <m:endChr m:val=")"/>
                              <m:sep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endChr m:val=")"/>
              <m:sepChr m:val=""/>
              <m:grow/>
            </m:dPr>
            <m:e>
              <m:r>
                <m:t>1</m:t>
              </m:r>
            </m:e>
          </m:d>
        </m:oMath>
      </m:oMathPara>
      <w:bookmarkEnd w:id="26"/>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 While the process of repair can be decoupled from damage and integrated within these models thermal sensitivity already captures aspects of the repair process. Modelling the intricate balance between damage and repair for a suite of different species can help identify susceptible species, life stages and tissues that are most at risk from extreme heat events which allow for more accurate predictions of the varying sensitivity of species across a community.</w:t>
      </w:r>
    </w:p>
    <w:bookmarkEnd w:id="27"/>
    <w:bookmarkStart w:id="28" w:name="X26e2617c7557035eb826bdba0aa1bfc30f8def3"/>
    <w:p>
      <w:pPr>
        <w:pStyle w:val="Heading1"/>
      </w:pPr>
      <w:r>
        <w:t xml:space="preserve">Sensitivity to extreme heat is mediated by environmental feedbacks</w:t>
      </w:r>
    </w:p>
    <w:bookmarkEnd w:id="28"/>
    <w:bookmarkStart w:id="29" w:name="X709d9ec1b3c8fb9d05ea9ded451dca156568e07"/>
    <w:p>
      <w:pPr>
        <w:pStyle w:val="Heading1"/>
      </w:pPr>
      <w:r>
        <w:t xml:space="preserve">Community interactions that can shape thermal sensitivity in plants and animals</w:t>
      </w:r>
    </w:p>
    <w:p>
      <w:pPr>
        <w:pStyle w:val="FirstParagraph"/>
      </w:pPr>
      <w:r>
        <w:t xml:space="preserve">When modelling the heat sensitivity of plants and animals it can be important to consider interactions with microbial communities and how these communities might also change in response to extreme heat. For example, 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[27]</w:t>
      </w:r>
      <w:r>
        <w:t xml:space="preserve">, which is thought to be associated with transcriptional buffering of hosts by the natural microbiome</w:t>
      </w:r>
      <w:r>
        <w:t xml:space="preserve"> </w:t>
      </w:r>
      <w:r>
        <w:t xml:space="preserve">[28]</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[29]</w:t>
      </w:r>
      <w:r>
        <w:t xml:space="preserve">. Moreover, this protective effect can influence the ability of the host to evolve further resistance to the heat shock and harboured more bacteria</w:t>
      </w:r>
      <w:r>
        <w:t xml:space="preserve"> </w:t>
      </w:r>
      <w:r>
        <w:t xml:space="preserve">[30]</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[31]</w:t>
      </w:r>
      <w:r>
        <w:t xml:space="preserve">, On the other hand, many endosymbionts including those providing host benefits appear particularly sensitive to heat</w:t>
      </w:r>
      <w:r>
        <w:t xml:space="preserve"> </w:t>
      </w:r>
      <w:r>
        <w:t xml:space="preserve">[32]</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[33]</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[34]</w:t>
      </w:r>
      <w:r>
        <w:t xml:space="preserve">.</w:t>
      </w:r>
    </w:p>
    <w:p>
      <w:pPr>
        <w:pStyle w:val="BodyText"/>
      </w:pPr>
      <w:r>
        <w:t xml:space="preserve">Interactions between plants and microorganisms, such as plant growth-promoting rhizobacteria (PGPR), arbuscular mycorrhizal fungi (AMF), and bacterial or fungal endophytes have also been shown to impact growth, defense, and heat tolerance in plants</w:t>
      </w:r>
      <w:r>
        <w:t xml:space="preserve"> </w:t>
      </w:r>
      <w:r>
        <w:t xml:space="preserve">[35–37]</w:t>
      </w:r>
      <w:r>
        <w:t xml:space="preserve">. These interactions are usually achieved by stimulating the production of essential phytohormones, secondary metabolites, organic acids, and amino acids that helps the plant to mitigate heat stress</w:t>
      </w:r>
      <w:r>
        <w:t xml:space="preserve"> </w:t>
      </w:r>
      <w:r>
        <w:t xml:space="preserve">[38,39]</w:t>
      </w:r>
      <w:r>
        <w:t xml:space="preserve">. Under the current global climate change scenarios, each degree Celsius increase in global mean temperature is estimated to reduce the global yield of wheat by 6.0% and soybean (Glycine max) by 3.1%</w:t>
      </w:r>
      <w:r>
        <w:t xml:space="preserve"> </w:t>
      </w:r>
      <w:r>
        <w:t xml:space="preserve">[40]</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[41,42]</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[43,44]</w:t>
      </w:r>
      <w:r>
        <w:t xml:space="preserve"> </w:t>
      </w:r>
      <w:r>
        <w:t xml:space="preserve">and microorganism</w:t>
      </w:r>
      <w:r>
        <w:t xml:space="preserve"> </w:t>
      </w:r>
      <w:r>
        <w:t xml:space="preserve">[45]</w:t>
      </w:r>
      <w:r>
        <w:t xml:space="preserve">. However, comprehensive models with high prediction powers for plant microbe interactions are still lacking, which hampers our understanding of the heat tolerance in plants and microorganisms.</w:t>
      </w:r>
    </w:p>
    <w:bookmarkEnd w:id="29"/>
    <w:bookmarkStart w:id="30"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explicit life-cycle models of energy and mass uptake and conversion that predict key life-history transitions, growth, reproduction and survival through time for diverse species</w:t>
      </w:r>
      <w:r>
        <w:t xml:space="preserve"> </w:t>
      </w:r>
      <w:r>
        <w:t xml:space="preserve">[16,46]</w:t>
      </w:r>
      <w:r>
        <w:t xml:space="preserve">. DEB models consider organisms as a thermodynamic system (adhering to energy-mass balance) capturing the exchange of food, water, respiratory gases and metabolic waste from egg to adult</w:t>
      </w:r>
      <w:r>
        <w:t xml:space="preserve"> </w:t>
      </w:r>
      <w:r>
        <w:t xml:space="preserve">[20]</w:t>
      </w:r>
      <w:r>
        <w:t xml:space="preserve">. DEB models can translate short-term (hourly) variation in factors, such as temperature, toxins (e.g., toxicants,</w:t>
      </w:r>
      <w:r>
        <w:t xml:space="preserve"> </w:t>
      </w:r>
      <w:r>
        <w:t xml:space="preserve">[48]</w:t>
      </w:r>
      <w:r>
        <w:t xml:space="preserve">) and resource availability (nutrients)</w:t>
      </w:r>
      <w:r>
        <w:t xml:space="preserve"> </w:t>
      </w:r>
      <w:r>
        <w:t xml:space="preserve">[49,50]</w:t>
      </w:r>
      <w:r>
        <w:t xml:space="preserve"> </w:t>
      </w:r>
      <w:r>
        <w:t xml:space="preserve">into long-term (days, months, years) effects on development, growth, reproduction and survival</w:t>
      </w:r>
      <w:r>
        <w:t xml:space="preserve"> </w:t>
      </w:r>
      <w:r>
        <w:t xml:space="preserve">[17,20]</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[51,52]</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[53]</w:t>
      </w:r>
      <w:r>
        <w:t xml:space="preserve">). In addition, software packages such as</w:t>
      </w:r>
      <w:r>
        <w:t xml:space="preserve"> </w:t>
      </w:r>
      <w:r>
        <w:rPr>
          <w:i/>
          <w:iCs/>
        </w:rPr>
        <w:t xml:space="preserve">NicheMapR</w:t>
      </w:r>
      <w:r>
        <w:t xml:space="preserve"> </w:t>
      </w:r>
      <w:r>
        <w:t xml:space="preserve">[54,55]</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30"/>
    <w:bookmarkStart w:id="31"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[56]</w:t>
      </w:r>
      <w:r>
        <w:t xml:space="preserve"> </w:t>
      </w:r>
      <w:r>
        <w:t xml:space="preserve">and Beverton-Holt</w:t>
      </w:r>
      <w:r>
        <w:t xml:space="preserve"> </w:t>
      </w:r>
      <w:r>
        <w:t xml:space="preserve">[57]</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[58]</w:t>
      </w:r>
      <w:r>
        <w:t xml:space="preserve">. In thinking about thermal extremes, it is likely that species experience a switch from amenable to harsh conditions, making it likely that interaction outcomes may flip signs</w:t>
      </w:r>
      <w:r>
        <w:t xml:space="preserve"> </w:t>
      </w:r>
      <w:r>
        <w:t xml:space="preserve">[22]</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[22,23]</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[23]</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[22]</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[22]</w:t>
      </w:r>
      <w:r>
        <w:t xml:space="preserve">. The limitation of these methods is that they are data hungry, but even this can be handled by emerging approaches for reducing model complexity without losing model power</w:t>
      </w:r>
      <w:r>
        <w:t xml:space="preserve"> </w:t>
      </w:r>
      <w:r>
        <w:t xml:space="preserve">[59]</w:t>
      </w:r>
      <w:r>
        <w:t xml:space="preserve">.</w:t>
      </w:r>
    </w:p>
    <w:p>
      <w:pPr>
        <w:pStyle w:val="Compact"/>
        <w:numPr>
          <w:ilvl w:val="0"/>
          <w:numId w:val="1001"/>
        </w:numPr>
      </w:pPr>
      <w:r>
        <w:t xml:space="preserve">How can we link mechanistic physiological models with population and community ecology theory?</w:t>
      </w:r>
    </w:p>
    <w:p>
      <w:pPr>
        <w:pStyle w:val="Compact"/>
        <w:numPr>
          <w:ilvl w:val="0"/>
          <w:numId w:val="1001"/>
        </w:numPr>
      </w:pPr>
      <w:r>
        <w:t xml:space="preserve">Introducing population and network models to link outputs from DEB (survival, reproduction, abundance) to population growth.</w:t>
      </w:r>
    </w:p>
    <w:p>
      <w:pPr>
        <w:pStyle w:val="Compact"/>
        <w:numPr>
          <w:ilvl w:val="0"/>
          <w:numId w:val="1001"/>
        </w:numPr>
      </w:pPr>
      <w:r>
        <w:t xml:space="preserve">How people are analysing communities with network theory. Some important papers</w:t>
      </w:r>
      <w:r>
        <w:t xml:space="preserve"> </w:t>
      </w:r>
      <w:r>
        <w:t xml:space="preserve">[60]</w:t>
      </w:r>
      <w:r>
        <w:t xml:space="preserve"> </w:t>
      </w:r>
      <w:r>
        <w:t xml:space="preserve">[61]</w:t>
      </w:r>
      <w:r>
        <w:t xml:space="preserve"> </w:t>
      </w:r>
      <w:r>
        <w:t xml:space="preserve">[62]</w:t>
      </w:r>
      <w:r>
        <w:t xml:space="preserve"> </w:t>
      </w:r>
      <w:r>
        <w:t xml:space="preserve">[63]</w:t>
      </w:r>
      <w:r>
        <w:t xml:space="preserve"> </w:t>
      </w:r>
      <w:r>
        <w:t xml:space="preserve">[64]</w:t>
      </w:r>
      <w:r>
        <w:t xml:space="preserve"> </w:t>
      </w:r>
      <w:r>
        <w:t xml:space="preserve">[65]</w:t>
      </w:r>
      <w:r>
        <w:t xml:space="preserve"> </w:t>
      </w:r>
      <w:r>
        <w:t xml:space="preserve">[66]</w:t>
      </w:r>
      <w:r>
        <w:t xml:space="preserve"> </w:t>
      </w:r>
      <w:r>
        <w:t xml:space="preserve">Should also look at this book</w:t>
      </w:r>
      <w:r>
        <w:t xml:space="preserve"> </w:t>
      </w:r>
      <w:r>
        <w:t xml:space="preserve">[67]</w:t>
      </w:r>
    </w:p>
    <w:p>
      <w:pPr>
        <w:pStyle w:val="Compact"/>
        <w:numPr>
          <w:ilvl w:val="0"/>
          <w:numId w:val="1001"/>
        </w:numPr>
      </w:pPr>
      <w:r>
        <w:t xml:space="preserve">How can we capture interactions among species within the community to predict how heat stress will affect community structure?</w:t>
      </w:r>
    </w:p>
    <w:p>
      <w:pPr>
        <w:pStyle w:val="Compact"/>
        <w:numPr>
          <w:ilvl w:val="0"/>
          <w:numId w:val="1001"/>
        </w:numPr>
      </w:pPr>
      <w:r>
        <w:t xml:space="preserve">Figure 2: demonstrating how TLS, biophysical and DEB models can be used to predict heat stress impacts on plants and animals, growth, reproduction, survival. (Dan, Margie)</w:t>
      </w:r>
    </w:p>
    <w:p>
      <w:pPr>
        <w:pStyle w:val="Compact"/>
        <w:numPr>
          <w:ilvl w:val="0"/>
          <w:numId w:val="1001"/>
        </w:numPr>
      </w:pPr>
      <w:r>
        <w:t xml:space="preserve">Also this is a cool paper</w:t>
      </w:r>
      <w:r>
        <w:t xml:space="preserve"> </w:t>
      </w:r>
      <w:r>
        <w:t xml:space="preserve">[68]</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[69]</w:t>
      </w:r>
      <w:r>
        <w:t xml:space="preserve">. We can here model the actual abundance of a given species and it would seem more flexible to incorporate thermal tolerance infor into these models.</w:t>
      </w:r>
    </w:p>
    <w:p>
      <w:pPr>
        <w:pStyle w:val="Compact"/>
        <w:numPr>
          <w:ilvl w:val="0"/>
          <w:numId w:val="1001"/>
        </w:numPr>
      </w:pPr>
      <w:r>
        <w:t xml:space="preserve">have a close look at</w:t>
      </w:r>
      <w:r>
        <w:t xml:space="preserve"> </w:t>
      </w:r>
      <w:r>
        <w:t xml:space="preserve">[70]</w:t>
      </w:r>
      <w:r>
        <w:t xml:space="preserve"> </w:t>
      </w:r>
      <w:r>
        <w:t xml:space="preserve">and</w:t>
      </w:r>
      <w:r>
        <w:t xml:space="preserve"> </w:t>
      </w:r>
      <w:r>
        <w:t xml:space="preserve">[71]</w:t>
      </w:r>
      <w:r>
        <w:t xml:space="preserve">, limitations</w:t>
      </w:r>
      <w:r>
        <w:t xml:space="preserve"> </w:t>
      </w:r>
      <w:r>
        <w:t xml:space="preserve">[72]</w:t>
      </w:r>
    </w:p>
    <w:bookmarkEnd w:id="31"/>
    <w:bookmarkStart w:id="37"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2"/>
        </w:numPr>
      </w:pPr>
      <w:r>
        <w:t xml:space="preserve">Goal of this section is to briefly focus on the BIOLOGY that will shift thermal exposure and sensitivity in plants and animals.</w:t>
      </w:r>
    </w:p>
    <w:p>
      <w:pPr>
        <w:pStyle w:val="Compact"/>
        <w:numPr>
          <w:ilvl w:val="0"/>
          <w:numId w:val="1002"/>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[26]</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2"/>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2"/>
        </w:numPr>
      </w:pPr>
      <w:r>
        <w:t xml:space="preserve">If uncertain about adding a sentence to the link to the models above, that’s ok, Dan, Mike, Margie and Belinda can add.</w:t>
      </w:r>
    </w:p>
    <w:bookmarkStart w:id="32" w:name="X1b136e3eae891c477bc728d2597e572ca649eaa"/>
    <w:p>
      <w:pPr>
        <w:pStyle w:val="Heading3"/>
      </w:pPr>
      <w:r>
        <w:t xml:space="preserve">Microbial communities can impact thermal sensitivity in plants and animals (Brajesh)</w:t>
      </w:r>
    </w:p>
    <w:p>
      <w:pPr>
        <w:pStyle w:val="Compact"/>
        <w:numPr>
          <w:ilvl w:val="0"/>
          <w:numId w:val="1003"/>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[37]</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3"/>
        </w:numPr>
      </w:pPr>
      <w:r>
        <w:t xml:space="preserve">See</w:t>
      </w:r>
      <w:r>
        <w:t xml:space="preserve"> </w:t>
      </w:r>
      <w:r>
        <w:t xml:space="preserve">[73]</w:t>
      </w:r>
      <w:r>
        <w:t xml:space="preserve">. The paper provides a framework for modelling soil plant interactions</w:t>
      </w:r>
    </w:p>
    <w:bookmarkEnd w:id="32"/>
    <w:bookmarkStart w:id="33" w:name="X24738ef4513767bb724ce8804ac017259eaf2ee"/>
    <w:p>
      <w:pPr>
        <w:pStyle w:val="Heading3"/>
      </w:pPr>
      <w:r>
        <w:t xml:space="preserve">Water availability can impact thermal sensitivity of plants and animals (Brendan)</w:t>
      </w:r>
    </w:p>
    <w:bookmarkEnd w:id="33"/>
    <w:bookmarkStart w:id="34"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4"/>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[74]</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[74]</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34"/>
    <w:bookmarkStart w:id="35"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[75]</w:t>
      </w:r>
      <w:r>
        <w:t xml:space="preserve">. Connects heat tolerance to population matrix models. And, shows acclimation responses (heat hardening).</w:t>
      </w:r>
    </w:p>
    <w:bookmarkEnd w:id="35"/>
    <w:bookmarkStart w:id="36" w:name="X1f820984f57b727edc20965138ee13069f96c01"/>
    <w:p>
      <w:pPr>
        <w:pStyle w:val="Heading3"/>
      </w:pPr>
      <w:r>
        <w:t xml:space="preserve">Phenology and activity pattern shifts mediating interactions (James?)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Box 1: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[76]</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[77]</w:t>
            </w:r>
            <w:r>
              <w:t xml:space="preserve">. Thermal stressors may even influence producers’ psychological beliefs about their level of control over land management, and perceived resources available for management practices</w:t>
            </w:r>
            <w:r>
              <w:t xml:space="preserve"> </w:t>
            </w:r>
            <w:r>
              <w:t xml:space="preserve">[78]</w:t>
            </w:r>
            <w:r>
              <w:t xml:space="preserve">. Thermal risks to ecosystems may also precipitate declines in individual wellbeing, and these consequences may accrue differently across regions and across peoples</w:t>
            </w:r>
            <w:r>
              <w:t xml:space="preserve"> </w:t>
            </w:r>
            <w:r>
              <w:t xml:space="preserve">[79]</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[80,81]</w:t>
            </w:r>
            <w:r>
              <w:t xml:space="preserve">. On the other hand, adapting thermal risks in upper stream producers may also be influenced by the perception and behaviour of downstream consumers</w:t>
            </w:r>
            <w:r>
              <w:t xml:space="preserve"> </w:t>
            </w:r>
            <w:r>
              <w:t xml:space="preserve">[82]</w:t>
            </w:r>
            <w:r>
              <w:t xml:space="preserve">. The cascading</w:t>
            </w:r>
            <w:r>
              <w:t xml:space="preserve"> </w:t>
            </w:r>
            <w:r>
              <w:t xml:space="preserve">[83]</w:t>
            </w:r>
            <w:r>
              <w:t xml:space="preserve"> </w:t>
            </w:r>
            <w:r>
              <w:t xml:space="preserve">and telecoupled</w:t>
            </w:r>
            <w:r>
              <w:t xml:space="preserve"> </w:t>
            </w:r>
            <w:r>
              <w:t xml:space="preserve">[84]</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[85]</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[86]</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[87]</w:t>
            </w:r>
            <w:r>
              <w:t xml:space="preserve">. Social-ecological models aim to capture the social systems, natural systems and their interactions</w:t>
            </w:r>
            <w:r>
              <w:t xml:space="preserve"> </w:t>
            </w:r>
            <w:r>
              <w:t xml:space="preserve">[88]</w:t>
            </w:r>
            <w:r>
              <w:t xml:space="preserve">. Such models can display non-trivial emergent behaviour resulting from complex interactions within the social-ecological systems. For example, responding to decreased productivity from thermal stress by farming more intensively could lead to a maladaptation or</w:t>
            </w:r>
            <w:r>
              <w:t xml:space="preserve"> </w:t>
            </w:r>
            <w:r>
              <w:t xml:space="preserve">‘</w:t>
            </w:r>
            <w:r>
              <w:t xml:space="preserve">lock-in</w:t>
            </w:r>
            <w:r>
              <w:t xml:space="preserve">’</w:t>
            </w:r>
            <w:r>
              <w:t xml:space="preserve"> </w:t>
            </w:r>
            <w:r>
              <w:t xml:space="preserve">from which it is difficult to escape</w:t>
            </w:r>
            <w:r>
              <w:t xml:space="preserve"> </w:t>
            </w:r>
            <w:r>
              <w:t xml:space="preserve">[89]</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[90]</w:t>
            </w:r>
            <w:r>
              <w:t xml:space="preserve">. Process-based approaches are critical to understanding how emergent social-ecological phenomena develop</w:t>
            </w:r>
            <w:r>
              <w:t xml:space="preserve"> </w:t>
            </w:r>
            <w:r>
              <w:t xml:space="preserve">[91]</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behavioural theory and empirical data; and interactions between them in the system of interest. Since obtaining all these data can be challenging, social-ecological modelling is often performed in an exploratory mode</w:t>
            </w:r>
            <w:r>
              <w:t xml:space="preserve"> </w:t>
            </w:r>
            <w:r>
              <w:t xml:space="preserve">[92]</w:t>
            </w:r>
            <w:r>
              <w:t xml:space="preserve"> </w:t>
            </w:r>
            <w:r>
              <w:t xml:space="preserve">to anticipate possible future modes of behaviour, such as the direction of change of human behaviour and environmental state or the risk of emergent phenomena such as tipping points, rather than trying to predict specific outcomes.</w:t>
            </w:r>
          </w:p>
        </w:tc>
      </w:tr>
    </w:tbl>
    <w:bookmarkEnd w:id="36"/>
    <w:bookmarkEnd w:id="37"/>
    <w:bookmarkStart w:id="38"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05"/>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5"/>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6"/>
        </w:numPr>
      </w:pPr>
      <w:r>
        <w:t xml:space="preserve">Microbial recruitment (Braj)</w:t>
      </w:r>
    </w:p>
    <w:p>
      <w:pPr>
        <w:pStyle w:val="Compact"/>
        <w:numPr>
          <w:ilvl w:val="1"/>
          <w:numId w:val="1006"/>
        </w:numPr>
      </w:pPr>
      <w:r>
        <w:t xml:space="preserve">Pollinator services (James, Margie)</w:t>
      </w:r>
    </w:p>
    <w:p>
      <w:pPr>
        <w:pStyle w:val="Compact"/>
        <w:numPr>
          <w:ilvl w:val="0"/>
          <w:numId w:val="1005"/>
        </w:numPr>
      </w:pPr>
      <w:r>
        <w:t xml:space="preserve">Cooler landscapes</w:t>
      </w:r>
    </w:p>
    <w:p>
      <w:pPr>
        <w:pStyle w:val="Compact"/>
        <w:numPr>
          <w:ilvl w:val="1"/>
          <w:numId w:val="1007"/>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5"/>
        </w:numPr>
      </w:pPr>
      <w:r>
        <w:t xml:space="preserve">Pest and disease prediction and control. (Ary)</w:t>
      </w:r>
    </w:p>
    <w:p>
      <w:pPr>
        <w:pStyle w:val="Compact"/>
        <w:numPr>
          <w:ilvl w:val="0"/>
          <w:numId w:val="1005"/>
        </w:numPr>
      </w:pPr>
      <w:r>
        <w:t xml:space="preserve">Conservation (Adrienne?)</w:t>
      </w:r>
    </w:p>
    <w:bookmarkEnd w:id="38"/>
    <w:bookmarkStart w:id="44" w:name="X78b08fde953bb9dcb9bb22555137d822070b4a9"/>
    <w:p>
      <w:pPr>
        <w:pStyle w:val="Heading1"/>
      </w:pPr>
      <w:r>
        <w:t xml:space="preserve">Future directions: modelling challenges, gaps and possible solutions</w:t>
      </w:r>
    </w:p>
    <w:bookmarkStart w:id="39"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9"/>
    <w:bookmarkStart w:id="40"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40"/>
    <w:bookmarkStart w:id="41"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41"/>
    <w:bookmarkStart w:id="42" w:name="X3ed7603d16b77139cf6e8da2c2d8afebe91fdfa"/>
    <w:p>
      <w:pPr>
        <w:pStyle w:val="Heading4"/>
      </w:pPr>
      <w:r>
        <w:t xml:space="preserve">Evolutionary dynamics leading to changes in thermal sensitivity and exposure: But we need heritability (not often known) and selection intensity (good idea of what’s driving selection) We need to understand how thermal sensitivity and exposure will evolve in response to climate change. Probably could cite</w:t>
      </w:r>
      <w:r>
        <w:t xml:space="preserve"> </w:t>
      </w:r>
      <w:r>
        <w:t xml:space="preserve">[93]</w:t>
      </w:r>
      <w:r>
        <w:t xml:space="preserve"> </w:t>
      </w:r>
      <w:r>
        <w:t xml:space="preserve">(Ary)</w:t>
      </w:r>
    </w:p>
    <w:bookmarkEnd w:id="42"/>
    <w:bookmarkStart w:id="43"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43"/>
    <w:bookmarkEnd w:id="44"/>
    <w:bookmarkStart w:id="139" w:name="references"/>
    <w:p>
      <w:pPr>
        <w:pStyle w:val="Heading1"/>
      </w:pPr>
      <w:r>
        <w:t xml:space="preserve">References</w:t>
      </w:r>
    </w:p>
    <w:bookmarkStart w:id="138" w:name="refs"/>
    <w:bookmarkStart w:id="45"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5"/>
    <w:bookmarkStart w:id="46"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6"/>
    <w:bookmarkStart w:id="47"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7"/>
    <w:bookmarkStart w:id="48"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8"/>
    <w:bookmarkStart w:id="49"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9"/>
    <w:bookmarkStart w:id="50"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50"/>
    <w:bookmarkStart w:id="51"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51"/>
    <w:bookmarkStart w:id="52"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52"/>
    <w:bookmarkStart w:id="53"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3"/>
    <w:bookmarkStart w:id="54"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4"/>
    <w:bookmarkStart w:id="55"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5"/>
    <w:bookmarkStart w:id="56"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6"/>
    <w:bookmarkStart w:id="57"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7"/>
    <w:bookmarkStart w:id="58"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8"/>
    <w:bookmarkStart w:id="59"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9"/>
    <w:bookmarkStart w:id="60"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60"/>
    <w:bookmarkStart w:id="61"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61"/>
    <w:bookmarkStart w:id="62"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2"/>
    <w:bookmarkStart w:id="63"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3"/>
    <w:bookmarkStart w:id="64"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4"/>
    <w:bookmarkStart w:id="65"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5"/>
    <w:bookmarkStart w:id="66"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6"/>
    <w:bookmarkStart w:id="67"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7"/>
    <w:bookmarkStart w:id="68" w:name="ref-Orsted2022"/>
    <w:p>
      <w:pPr>
        <w:pStyle w:val="Bibliography"/>
      </w:pPr>
      <w:r>
        <w:t xml:space="preserve">24.</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68"/>
    <w:bookmarkStart w:id="69" w:name="ref-Faber2024"/>
    <w:p>
      <w:pPr>
        <w:pStyle w:val="Bibliography"/>
      </w:pPr>
      <w:r>
        <w:t xml:space="preserve">25.</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69"/>
    <w:bookmarkStart w:id="70" w:name="ref-Martinez-De_Leon2024"/>
    <w:p>
      <w:pPr>
        <w:pStyle w:val="Bibliography"/>
      </w:pPr>
      <w:r>
        <w:t xml:space="preserve">26.</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70"/>
    <w:bookmarkStart w:id="71" w:name="ref-Fontaine2022"/>
    <w:p>
      <w:pPr>
        <w:pStyle w:val="Bibliography"/>
      </w:pPr>
      <w:r>
        <w:t xml:space="preserve">27.</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71"/>
    <w:bookmarkStart w:id="72" w:name="ref-Fontaine2023"/>
    <w:p>
      <w:pPr>
        <w:pStyle w:val="Bibliography"/>
      </w:pPr>
      <w:r>
        <w:t xml:space="preserve">28.</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72"/>
    <w:bookmarkStart w:id="73" w:name="ref-Hoang2019"/>
    <w:p>
      <w:pPr>
        <w:pStyle w:val="Bibliography"/>
      </w:pPr>
      <w:r>
        <w:t xml:space="preserve">29.</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73"/>
    <w:bookmarkStart w:id="74" w:name="ref-Gehman2019"/>
    <w:p>
      <w:pPr>
        <w:pStyle w:val="Bibliography"/>
      </w:pPr>
      <w:r>
        <w:t xml:space="preserve">30.</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74"/>
    <w:bookmarkStart w:id="75" w:name="ref-Hoang2021"/>
    <w:p>
      <w:pPr>
        <w:pStyle w:val="Bibliography"/>
      </w:pPr>
      <w:r>
        <w:t xml:space="preserve">31.</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75"/>
    <w:bookmarkStart w:id="76" w:name="ref-Corbin2016"/>
    <w:p>
      <w:pPr>
        <w:pStyle w:val="Bibliography"/>
      </w:pPr>
      <w:r>
        <w:t xml:space="preserve">32.</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76"/>
    <w:bookmarkStart w:id="77" w:name="ref-Zhang2019"/>
    <w:p>
      <w:pPr>
        <w:pStyle w:val="Bibliography"/>
      </w:pPr>
      <w:r>
        <w:t xml:space="preserve">33.</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77"/>
    <w:bookmarkStart w:id="78" w:name="ref-Dunbar2007"/>
    <w:p>
      <w:pPr>
        <w:pStyle w:val="Bibliography"/>
      </w:pPr>
      <w:r>
        <w:t xml:space="preserve">34.</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78"/>
    <w:bookmarkStart w:id="79" w:name="ref-Chouhan2023"/>
    <w:p>
      <w:pPr>
        <w:pStyle w:val="Bibliography"/>
      </w:pPr>
      <w:r>
        <w:t xml:space="preserve">35.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79"/>
    <w:bookmarkStart w:id="80" w:name="ref-Liu2025"/>
    <w:p>
      <w:pPr>
        <w:pStyle w:val="Bibliography"/>
      </w:pPr>
      <w:r>
        <w:t xml:space="preserve">36.</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80"/>
    <w:bookmarkStart w:id="81" w:name="ref-Marquez2007"/>
    <w:p>
      <w:pPr>
        <w:pStyle w:val="Bibliography"/>
      </w:pPr>
      <w:r>
        <w:t xml:space="preserve">37.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81"/>
    <w:bookmarkStart w:id="82" w:name="ref-Huang2019"/>
    <w:p>
      <w:pPr>
        <w:pStyle w:val="Bibliography"/>
      </w:pPr>
      <w:r>
        <w:t xml:space="preserve">38.</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82"/>
    <w:bookmarkStart w:id="83" w:name="ref-Dastogeer2022"/>
    <w:p>
      <w:pPr>
        <w:pStyle w:val="Bibliography"/>
      </w:pPr>
      <w:r>
        <w:t xml:space="preserve">39.</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83"/>
    <w:bookmarkStart w:id="84" w:name="ref-Shekhawat2022"/>
    <w:p>
      <w:pPr>
        <w:pStyle w:val="Bibliography"/>
      </w:pPr>
      <w:r>
        <w:t xml:space="preserve">40.</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84"/>
    <w:bookmarkStart w:id="85" w:name="ref-Lobell2012"/>
    <w:p>
      <w:pPr>
        <w:pStyle w:val="Bibliography"/>
      </w:pPr>
      <w:r>
        <w:t xml:space="preserve">41.</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85"/>
    <w:bookmarkStart w:id="86" w:name="ref-Farooq2011"/>
    <w:p>
      <w:pPr>
        <w:pStyle w:val="Bibliography"/>
      </w:pPr>
      <w:r>
        <w:t xml:space="preserve">42.</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86"/>
    <w:bookmarkStart w:id="87" w:name="ref-He2025"/>
    <w:p>
      <w:pPr>
        <w:pStyle w:val="Bibliography"/>
      </w:pPr>
      <w:r>
        <w:t xml:space="preserve">43.</w:t>
      </w:r>
      <w:r>
        <w:t xml:space="preserve"> </w:t>
      </w:r>
      <w:r>
        <w:t xml:space="preserve">	</w:t>
      </w:r>
      <w:r>
        <w:t xml:space="preserve">He, J.</w:t>
      </w:r>
      <w:r>
        <w:t xml:space="preserve"> </w:t>
      </w:r>
      <w:r>
        <w:rPr>
          <w:i/>
          <w:iCs/>
        </w:rPr>
        <w:t xml:space="preserve">et al.</w:t>
      </w:r>
      <w:r>
        <w:t xml:space="preserve"> </w:t>
      </w:r>
      <w:r>
        <w:t xml:space="preserve">(2025) Technological advances on imaging and modelling of leaf structural traits: A review on heat stress in wheat.</w:t>
      </w:r>
      <w:r>
        <w:t xml:space="preserve"> </w:t>
      </w:r>
      <w:r>
        <w:rPr>
          <w:i/>
          <w:iCs/>
        </w:rPr>
        <w:t xml:space="preserve">Journal of Experimental Botany (in press)</w:t>
      </w:r>
    </w:p>
    <w:bookmarkEnd w:id="87"/>
    <w:bookmarkStart w:id="88" w:name="ref-Zhang2021"/>
    <w:p>
      <w:pPr>
        <w:pStyle w:val="Bibliography"/>
      </w:pPr>
      <w:r>
        <w:t xml:space="preserve">44.</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88"/>
    <w:bookmarkStart w:id="89" w:name="ref-Zhang2023a"/>
    <w:p>
      <w:pPr>
        <w:pStyle w:val="Bibliography"/>
      </w:pPr>
      <w:r>
        <w:t xml:space="preserve">45.</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89"/>
    <w:bookmarkStart w:id="90" w:name="ref-Nisbet2000"/>
    <w:p>
      <w:pPr>
        <w:pStyle w:val="Bibliography"/>
      </w:pPr>
      <w:r>
        <w:t xml:space="preserve">46.</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90"/>
    <w:bookmarkStart w:id="91" w:name="ref-Jager2020"/>
    <w:p>
      <w:pPr>
        <w:pStyle w:val="Bibliography"/>
      </w:pPr>
      <w:r>
        <w:t xml:space="preserve">47.</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91"/>
    <w:bookmarkStart w:id="92" w:name="ref-Haberle2025"/>
    <w:p>
      <w:pPr>
        <w:pStyle w:val="Bibliography"/>
      </w:pPr>
      <w:r>
        <w:t xml:space="preserve">48.</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92"/>
    <w:bookmarkStart w:id="93" w:name="ref-Kearney2013"/>
    <w:p>
      <w:pPr>
        <w:pStyle w:val="Bibliography"/>
      </w:pPr>
      <w:r>
        <w:t xml:space="preserve">49.</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93"/>
    <w:bookmarkStart w:id="94" w:name="ref-Kearney2010"/>
    <w:p>
      <w:pPr>
        <w:pStyle w:val="Bibliography"/>
      </w:pPr>
      <w:r>
        <w:t xml:space="preserve">50.</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94"/>
    <w:bookmarkStart w:id="95" w:name="ref-Marques2018"/>
    <w:p>
      <w:pPr>
        <w:pStyle w:val="Bibliography"/>
      </w:pPr>
      <w:r>
        <w:t xml:space="preserve">51.</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95"/>
    <w:bookmarkStart w:id="96" w:name="ref-Kooijman2021"/>
    <w:p>
      <w:pPr>
        <w:pStyle w:val="Bibliography"/>
      </w:pPr>
      <w:r>
        <w:t xml:space="preserve">52.</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96"/>
    <w:bookmarkStart w:id="97" w:name="ref-Bruggeman2009"/>
    <w:p>
      <w:pPr>
        <w:pStyle w:val="Bibliography"/>
      </w:pPr>
      <w:r>
        <w:t xml:space="preserve">53.</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97"/>
    <w:bookmarkStart w:id="98" w:name="ref-Kearney2017"/>
    <w:p>
      <w:pPr>
        <w:pStyle w:val="Bibliography"/>
      </w:pPr>
      <w:r>
        <w:t xml:space="preserve">54.</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98"/>
    <w:bookmarkStart w:id="99" w:name="ref-Kearney2020a"/>
    <w:p>
      <w:pPr>
        <w:pStyle w:val="Bibliography"/>
      </w:pPr>
      <w:r>
        <w:t xml:space="preserve">55.</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99"/>
    <w:bookmarkStart w:id="100" w:name="ref-Ricker1954a"/>
    <w:p>
      <w:pPr>
        <w:pStyle w:val="Bibliography"/>
      </w:pPr>
      <w:r>
        <w:t xml:space="preserve">56.</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100"/>
    <w:bookmarkStart w:id="101" w:name="ref-Beverton2012"/>
    <w:p>
      <w:pPr>
        <w:pStyle w:val="Bibliography"/>
      </w:pPr>
      <w:r>
        <w:t xml:space="preserve">57.</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101"/>
    <w:bookmarkStart w:id="102" w:name="ref-Bertness1994"/>
    <w:p>
      <w:pPr>
        <w:pStyle w:val="Bibliography"/>
      </w:pPr>
      <w:r>
        <w:t xml:space="preserve">58.</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102"/>
    <w:bookmarkStart w:id="103" w:name="ref-Weiss-Lehman2022"/>
    <w:p>
      <w:pPr>
        <w:pStyle w:val="Bibliography"/>
      </w:pPr>
      <w:r>
        <w:t xml:space="preserve">59.</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103"/>
    <w:bookmarkStart w:id="104" w:name="ref-Delmas2019"/>
    <w:p>
      <w:pPr>
        <w:pStyle w:val="Bibliography"/>
      </w:pPr>
      <w:r>
        <w:t xml:space="preserve">60.</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104"/>
    <w:bookmarkStart w:id="105" w:name="ref-Godoy2019"/>
    <w:p>
      <w:pPr>
        <w:pStyle w:val="Bibliography"/>
      </w:pPr>
      <w:r>
        <w:t xml:space="preserve">61.</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105"/>
    <w:bookmarkStart w:id="106" w:name="ref-Poisot2021"/>
    <w:p>
      <w:pPr>
        <w:pStyle w:val="Bibliography"/>
      </w:pPr>
      <w:r>
        <w:t xml:space="preserve">62.</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106"/>
    <w:bookmarkStart w:id="107" w:name="ref-Hui2019"/>
    <w:p>
      <w:pPr>
        <w:pStyle w:val="Bibliography"/>
      </w:pPr>
      <w:r>
        <w:t xml:space="preserve">63.</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107"/>
    <w:bookmarkStart w:id="108" w:name="ref-Gomez2023"/>
    <w:p>
      <w:pPr>
        <w:pStyle w:val="Bibliography"/>
      </w:pPr>
      <w:r>
        <w:t xml:space="preserve">64.</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108"/>
    <w:bookmarkStart w:id="109" w:name="ref-Lytle2023"/>
    <w:p>
      <w:pPr>
        <w:pStyle w:val="Bibliography"/>
      </w:pPr>
      <w:r>
        <w:t xml:space="preserve">65.</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109"/>
    <w:bookmarkStart w:id="110" w:name="ref-Petsopoulos2021"/>
    <w:p>
      <w:pPr>
        <w:pStyle w:val="Bibliography"/>
      </w:pPr>
      <w:r>
        <w:t xml:space="preserve">66.</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110"/>
    <w:bookmarkStart w:id="111" w:name="ref-Dale2021"/>
    <w:p>
      <w:pPr>
        <w:pStyle w:val="Bibliography"/>
      </w:pPr>
      <w:r>
        <w:t xml:space="preserve">67.</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111"/>
    <w:bookmarkStart w:id="112" w:name="ref-Lu2023"/>
    <w:p>
      <w:pPr>
        <w:pStyle w:val="Bibliography"/>
      </w:pPr>
      <w:r>
        <w:t xml:space="preserve">68.</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112"/>
    <w:bookmarkStart w:id="113" w:name="ref-Carrara2015"/>
    <w:p>
      <w:pPr>
        <w:pStyle w:val="Bibliography"/>
      </w:pPr>
      <w:r>
        <w:t xml:space="preserve">69.</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113"/>
    <w:bookmarkStart w:id="114" w:name="ref-Vitali2022"/>
    <w:p>
      <w:pPr>
        <w:pStyle w:val="Bibliography"/>
      </w:pPr>
      <w:r>
        <w:t xml:space="preserve">70.</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114"/>
    <w:bookmarkStart w:id="115" w:name="ref-Riva2023"/>
    <w:p>
      <w:pPr>
        <w:pStyle w:val="Bibliography"/>
      </w:pPr>
      <w:r>
        <w:t xml:space="preserve">71.</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115"/>
    <w:bookmarkStart w:id="116" w:name="ref-Terry2020"/>
    <w:p>
      <w:pPr>
        <w:pStyle w:val="Bibliography"/>
      </w:pPr>
      <w:r>
        <w:t xml:space="preserve">72.</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116"/>
    <w:bookmarkStart w:id="117" w:name="ref-Zou2024"/>
    <w:p>
      <w:pPr>
        <w:pStyle w:val="Bibliography"/>
      </w:pPr>
      <w:r>
        <w:t xml:space="preserve">73.</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117"/>
    <w:bookmarkStart w:id="118" w:name="ref-Li2023"/>
    <w:p>
      <w:pPr>
        <w:pStyle w:val="Bibliography"/>
      </w:pPr>
      <w:r>
        <w:t xml:space="preserve">74.</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118"/>
    <w:bookmarkStart w:id="119" w:name="ref-Zhu2024"/>
    <w:p>
      <w:pPr>
        <w:pStyle w:val="Bibliography"/>
      </w:pPr>
      <w:r>
        <w:t xml:space="preserve">75.</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119"/>
    <w:bookmarkStart w:id="120" w:name="ref-Assessment_undated-fv"/>
    <w:p>
      <w:pPr>
        <w:pStyle w:val="Bibliography"/>
      </w:pPr>
      <w:r>
        <w:t xml:space="preserve">76.</w:t>
      </w:r>
      <w:r>
        <w:t xml:space="preserve"> </w:t>
      </w:r>
      <w:r>
        <w:t xml:space="preserve">	</w:t>
      </w:r>
      <w:r>
        <w:t xml:space="preserve">Assessment, M.E. (2005) Opportunities and challenges for business and industryunioviedo.es</w:t>
      </w:r>
    </w:p>
    <w:bookmarkEnd w:id="120"/>
    <w:bookmarkStart w:id="121" w:name="ref-Dandy2019"/>
    <w:p>
      <w:pPr>
        <w:pStyle w:val="Bibliography"/>
      </w:pPr>
      <w:r>
        <w:t xml:space="preserve">77.</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21"/>
    <w:bookmarkStart w:id="122" w:name="ref-Price2014"/>
    <w:p>
      <w:pPr>
        <w:pStyle w:val="Bibliography"/>
      </w:pPr>
      <w:r>
        <w:t xml:space="preserve">78.</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22"/>
    <w:bookmarkStart w:id="123" w:name="ref-Leviston2018"/>
    <w:p>
      <w:pPr>
        <w:pStyle w:val="Bibliography"/>
      </w:pPr>
      <w:r>
        <w:t xml:space="preserve">79.</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23"/>
    <w:bookmarkStart w:id="124" w:name="ref-Bai2016"/>
    <w:p>
      <w:pPr>
        <w:pStyle w:val="Bibliography"/>
      </w:pPr>
      <w:r>
        <w:t xml:space="preserve">80.</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24"/>
    <w:bookmarkStart w:id="125" w:name="ref-Grimm2008"/>
    <w:p>
      <w:pPr>
        <w:pStyle w:val="Bibliography"/>
      </w:pPr>
      <w:r>
        <w:t xml:space="preserve">81.</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25"/>
    <w:bookmarkStart w:id="126" w:name="ref-Hendricks2022"/>
    <w:p>
      <w:pPr>
        <w:pStyle w:val="Bibliography"/>
      </w:pPr>
      <w:r>
        <w:t xml:space="preserve">82.</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26"/>
    <w:bookmarkStart w:id="127" w:name="ref-Sutanto2020"/>
    <w:p>
      <w:pPr>
        <w:pStyle w:val="Bibliography"/>
      </w:pPr>
      <w:r>
        <w:t xml:space="preserve">83.</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27"/>
    <w:bookmarkStart w:id="128" w:name="ref-Liu2007"/>
    <w:p>
      <w:pPr>
        <w:pStyle w:val="Bibliography"/>
      </w:pPr>
      <w:r>
        <w:t xml:space="preserve">84.</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28"/>
    <w:bookmarkStart w:id="129" w:name="ref-Black2011"/>
    <w:p>
      <w:pPr>
        <w:pStyle w:val="Bibliography"/>
      </w:pPr>
      <w:r>
        <w:t xml:space="preserve">85.</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29"/>
    <w:bookmarkStart w:id="130" w:name="ref-Neil_Adger1999"/>
    <w:p>
      <w:pPr>
        <w:pStyle w:val="Bibliography"/>
      </w:pPr>
      <w:r>
        <w:t xml:space="preserve">86.</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30"/>
    <w:bookmarkStart w:id="131" w:name="ref-Folke2016"/>
    <w:p>
      <w:pPr>
        <w:pStyle w:val="Bibliography"/>
      </w:pPr>
      <w:r>
        <w:t xml:space="preserve">87.</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31"/>
    <w:bookmarkStart w:id="132" w:name="ref-Schluter2012"/>
    <w:p>
      <w:pPr>
        <w:pStyle w:val="Bibliography"/>
      </w:pPr>
      <w:r>
        <w:t xml:space="preserve">88.</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32"/>
    <w:bookmarkStart w:id="133" w:name="ref-Wise2014"/>
    <w:p>
      <w:pPr>
        <w:pStyle w:val="Bibliography"/>
      </w:pPr>
      <w:r>
        <w:t xml:space="preserve">89.</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33"/>
    <w:bookmarkStart w:id="134" w:name="ref-delgado2022routledge"/>
    <w:p>
      <w:pPr>
        <w:pStyle w:val="Bibliography"/>
      </w:pPr>
      <w:r>
        <w:t xml:space="preserve">90.</w:t>
      </w:r>
      <w:r>
        <w:t xml:space="preserve"> </w:t>
      </w:r>
      <w:r>
        <w:t xml:space="preserve">	</w:t>
      </w:r>
      <w:r>
        <w:t xml:space="preserve">Delgado Jr, R. (2022) The routledge handbook of research methods for social-ecological.</w:t>
      </w:r>
      <w:r>
        <w:t xml:space="preserve"> </w:t>
      </w:r>
      <w:r>
        <w:rPr>
          <w:i/>
          <w:iCs/>
        </w:rPr>
        <w:t xml:space="preserve">CHOICE: Current Reviews for Academic Libraries</w:t>
      </w:r>
      <w:r>
        <w:t xml:space="preserve"> </w:t>
      </w:r>
      <w:r>
        <w:t xml:space="preserve">60, 103–104</w:t>
      </w:r>
    </w:p>
    <w:bookmarkEnd w:id="134"/>
    <w:bookmarkStart w:id="135" w:name="ref-brown2021can"/>
    <w:p>
      <w:pPr>
        <w:pStyle w:val="Bibliography"/>
      </w:pPr>
      <w:r>
        <w:t xml:space="preserve">91.</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and Nature</w:t>
      </w:r>
      <w:r>
        <w:t xml:space="preserve"> </w:t>
      </w:r>
      <w:r>
        <w:t xml:space="preserve">3, 88–103</w:t>
      </w:r>
    </w:p>
    <w:bookmarkEnd w:id="135"/>
    <w:bookmarkStart w:id="136" w:name="ref-kwakkel2013exploratory"/>
    <w:p>
      <w:pPr>
        <w:pStyle w:val="Bibliography"/>
      </w:pPr>
      <w:r>
        <w:t xml:space="preserve">92.</w:t>
      </w:r>
      <w:r>
        <w:t xml:space="preserve"> </w:t>
      </w:r>
      <w:r>
        <w:t xml:space="preserve">	</w:t>
      </w:r>
      <w:r>
        <w:t xml:space="preserve">Kwakkel, J.H. and Pruyt, E. (2013) Exploratory modeling and analysis, an approach for model-based foresight under deep uncertainty.</w:t>
      </w:r>
      <w:r>
        <w:t xml:space="preserve"> </w:t>
      </w:r>
      <w:r>
        <w:rPr>
          <w:i/>
          <w:iCs/>
        </w:rPr>
        <w:t xml:space="preserve">Technological Forecasting and Social Change</w:t>
      </w:r>
      <w:r>
        <w:t xml:space="preserve"> </w:t>
      </w:r>
      <w:r>
        <w:t xml:space="preserve">80, 419–431</w:t>
      </w:r>
    </w:p>
    <w:bookmarkEnd w:id="136"/>
    <w:bookmarkStart w:id="137" w:name="ref-Kearney2009a"/>
    <w:p>
      <w:pPr>
        <w:pStyle w:val="Bibliography"/>
      </w:pPr>
      <w:r>
        <w:t xml:space="preserve">93.</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37"/>
    <w:bookmarkEnd w:id="138"/>
    <w:bookmarkEnd w:id="139"/>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2025-05-12T03:58:48Z</dcterms:created>
  <dcterms:modified xsi:type="dcterms:W3CDTF">2025-05-12T03:58:48Z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