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c0831f1701f048ac9db6a8899b8a6521f0db317"/>
    <w:p>
      <w:pPr>
        <w:pStyle w:val="Heading1"/>
      </w:pPr>
      <w:r>
        <w:t xml:space="preserve">A need for a mechanistically informed modelling framework for interpreting and predicting the effects of extreme heat on community assemblages</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rPr>
          <w:b/>
          <w:bCs/>
        </w:rPr>
        <w:t xml:space="preserve">Arnold2025?</w:t>
      </w:r>
      <w:r>
        <w:t xml:space="preserve">]</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‘microclimates’</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‘memory’</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41,42]</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[46]</w:t>
      </w:r>
      <w:r>
        <w:t xml:space="preserve">, birds may</w:t>
      </w:r>
      <w:r>
        <w:t xml:space="preserve"> </w:t>
      </w:r>
      <w:r>
        <w:t xml:space="preserve">‘wind surf’</w:t>
      </w:r>
      <w:r>
        <w:t xml:space="preserve"> </w:t>
      </w:r>
      <w:r>
        <w:t xml:space="preserve">or seek thermal micro-refugia</w:t>
      </w:r>
      <w:r>
        <w:t xml:space="preserve"> </w:t>
      </w:r>
      <w:r>
        <w:t xml:space="preserve">[47]</w:t>
      </w:r>
      <w:r>
        <w:t xml:space="preserve">, and stomatal behavior may depart from the typical responses to vapor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6" w:name="X752901143b666c2de4864497e2cadc133843d53"/>
    <w:p>
      <w:pPr>
        <w:pStyle w:val="Heading1"/>
      </w:pPr>
      <w:r>
        <w:t xml:space="preserve">Capturing the balance between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rPr>
          <w:b/>
          <w:bCs/>
        </w:rPr>
        <w:t xml:space="preserve">Arnold2025?</w:t>
      </w:r>
      <w:r>
        <w:t xml:space="preserve">]</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w:t>
      </w:r>
      <w:r>
        <w:rPr>
          <w:b/>
          <w:bCs/>
        </w:rPr>
        <w:t xml:space="preserve">Arnold2025?</w:t>
      </w:r>
      <w:r>
        <w:t xml:space="preserve">]</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[53,</w:t>
      </w:r>
      <w:r>
        <w:rPr>
          <w:b/>
          <w:bCs/>
        </w:rPr>
        <w:t xml:space="preserve">Arnold2025?</w:t>
      </w:r>
      <w:r>
        <w:t xml:space="preserve">]</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[11,12,50,</w:t>
      </w:r>
      <w:r>
        <w:rPr>
          <w:b/>
          <w:bCs/>
        </w:rPr>
        <w:t xml:space="preserve">Arnold2025?</w:t>
      </w:r>
      <w:r>
        <w:t xml:space="preserve">]</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w:t>
      </w:r>
      <w:r>
        <w:t xml:space="preserve"> </w:t>
      </w:r>
      <w:r>
        <w:t xml:space="preserve">[</w:t>
      </w:r>
      <w:r>
        <w:rPr>
          <w:b/>
          <w:bCs/>
        </w:rPr>
        <w:t xml:space="preserve">Arnold2025?</w:t>
      </w:r>
      <w:r>
        <w:t xml:space="preserve">]</w:t>
      </w:r>
      <w:r>
        <w:t xml:space="preserve"> </w:t>
      </w:r>
      <w:r>
        <w:t xml:space="preserve">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w:t>
            </w:r>
            <w:r>
              <w:t xml:space="preserve"> </w:t>
            </w:r>
            <w:r>
              <w:t xml:space="preserve">[</w:t>
            </w:r>
            <w:r>
              <w:rPr>
                <w:b/>
                <w:bCs/>
              </w:rPr>
              <w:t xml:space="preserve">Marchin2022?</w:t>
            </w:r>
            <w:r>
              <w:t xml:space="preserve">]</w:t>
            </w:r>
            <w:r>
              <w:t xml:space="preserve">. Extended periods of water stress (e.g., several days or more) have also been shown to increase thermal sensitivity in insects, reducing the time they could deal with extreme heat</w:t>
            </w:r>
            <w:r>
              <w:t xml:space="preserve"> </w:t>
            </w:r>
            <w:r>
              <w:t xml:space="preserve">[54]</w:t>
            </w:r>
            <w:r>
              <w:t xml:space="preserve">.</w:t>
            </w:r>
          </w:p>
          <w:p>
            <w:pPr>
              <w:pStyle w:val="BodyText"/>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[58,59]</w:t>
            </w:r>
            <w:r>
              <w:t xml:space="preserve">.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[60]</w:t>
            </w:r>
            <w:r>
              <w:t xml:space="preserve">. Moreover, this protective effect can influence the ability of the host to evolve further resistance to the heat shock and harboured more bacteria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box1"/>
                <w:p>
                  <w:pPr>
                    <w:pStyle w:val="Compact"/>
                    <w:jc w:val="center"/>
                  </w:pPr>
                  <w:r>
                    <w:drawing>
                      <wp:inline>
                        <wp:extent cx="6096000" cy="4876800"/>
                        <wp:effectExtent b="0" l="0" r="0" t="0"/>
                        <wp:docPr descr="" title="" id="33" name="Picture"/>
                        <a:graphic>
                          <a:graphicData uri="http://schemas.openxmlformats.org/drawingml/2006/picture">
                            <pic:pic>
                              <pic:nvPicPr>
                                <pic:cNvPr descr="ms_files/figure-docx/fig-box1-1.png" id="34" name="Picture"/>
                                <pic:cNvPicPr>
                                  <a:picLocks noChangeArrowheads="1" noChangeAspect="1"/>
                                </pic:cNvPicPr>
                              </pic:nvPicPr>
                              <pic:blipFill>
                                <a:blip r:embed="rId3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Box 1 Figure.</w:t>
                  </w:r>
                </w:p>
                <w:bookmarkEnd w:id="35"/>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after="16"/>
            </w:pPr>
            <w:r>
              <w:rPr>
                <w:b/>
                <w:bCs/>
              </w:rPr>
              <w:t xml:space="preserve">Coexistence</w:t>
            </w:r>
            <w:r>
              <w:t xml:space="preserve">: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w:t>
            </w:r>
            <w:r>
              <w:t xml:space="preserve"> </w:t>
            </w: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bookmarkEnd w:id="36"/>
    <w:bookmarkStart w:id="37" w:name="Xd0cd64f0f8eecda3c17ee56ce2248b9a39e3d6a"/>
    <w:p>
      <w:pPr>
        <w:pStyle w:val="Heading1"/>
      </w:pPr>
      <w:r>
        <w:t xml:space="preserve">Dynamic Energy Budget (DEB)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[16,62]</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[64]</w:t>
      </w:r>
      <w:r>
        <w:t xml:space="preserve">) and resource availability (nutrients)</w:t>
      </w:r>
      <w:r>
        <w:t xml:space="preserve"> </w:t>
      </w:r>
      <w:r>
        <w:t xml:space="preserve">[65,66]</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[67]</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[68,69]</w:t>
      </w:r>
      <w:r>
        <w:t xml:space="preserve"> </w:t>
      </w:r>
      <w:r>
        <w:t xml:space="preserve">and approaches for using DEB theory to model plant growth and performance are being developed</w:t>
      </w:r>
      <w:r>
        <w:t xml:space="preserve"> </w:t>
      </w:r>
      <w:r>
        <w:t xml:space="preserve">[67]</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70]</w:t>
      </w:r>
      <w:r>
        <w:t xml:space="preserve">. In addition, software packages such as</w:t>
      </w:r>
      <w:r>
        <w:t xml:space="preserve"> </w:t>
      </w:r>
      <w:r>
        <w:rPr>
          <w:i/>
          <w:iCs/>
        </w:rPr>
        <w:t xml:space="preserve">NicheMapR</w:t>
      </w:r>
      <w:r>
        <w:t xml:space="preserve"> </w:t>
      </w:r>
      <w:r>
        <w:t xml:space="preserve">[33,71]</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7"/>
    <w:bookmarkStart w:id="39"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t xml:space="preserve">Coexistence frameworks offer an intriguing approach for how to bring the many elements discussed above together to understand whole community responses to extreme climate events. Modern coexistence theory [MCT;</w:t>
      </w:r>
      <w:r>
        <w:t xml:space="preserve"> </w:t>
      </w:r>
      <w:r>
        <w:t xml:space="preserve">[72]</w:t>
      </w:r>
      <w:r>
        <w:t xml:space="preserve">] uses simple two-species individual-based population growth models, such as Beverton-Holt or Ricker models</w:t>
      </w:r>
      <w:r>
        <w:t xml:space="preserve"> </w:t>
      </w:r>
      <w:r>
        <w:t xml:space="preserve">[73,74]</w:t>
      </w:r>
      <w:r>
        <w:t xml:space="preserve">, to determine how interactions between species at the individual level lead to indefinite</w:t>
      </w:r>
      <w:r>
        <w:t xml:space="preserve"> </w:t>
      </w:r>
      <w:r>
        <w:t xml:space="preserve">“</w:t>
      </w:r>
      <w:r>
        <w:rPr>
          <w:b/>
          <w:bCs/>
        </w:rPr>
        <w:t xml:space="preserve">coexistence</w:t>
      </w:r>
      <w:r>
        <w:t xml:space="preserve">”</w:t>
      </w:r>
      <w:r>
        <w:t xml:space="preserve">.</w:t>
      </w:r>
    </w:p>
    <w:p>
      <w:pPr>
        <w:pStyle w:val="BodyText"/>
      </w:pPr>
      <w:r>
        <w:t xml:space="preserve">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23]</w:t>
      </w:r>
      <w:r>
        <w:t xml:space="preserve">. Another useful advancement is the development of horizontal network models parameterized with outcomes of population dynamical models</w:t>
      </w:r>
      <w:r>
        <w:t xml:space="preserve"> </w:t>
      </w:r>
      <w:r>
        <w:t xml:space="preserve">[75]</w:t>
      </w:r>
      <w:r>
        <w:t xml:space="preserve">.</w:t>
      </w:r>
    </w:p>
    <w:p>
      <w:pPr>
        <w:pStyle w:val="BodyText"/>
      </w:pPr>
      <w:r>
        <w:t xml:space="preserve">What population dynamic models do is calculate the individual fitness effect of interactions</w:t>
      </w:r>
      <w:r>
        <w:t xml:space="preserve"> </w:t>
      </w:r>
      <w:r>
        <w:t xml:space="preserve">[76]</w:t>
      </w:r>
      <w:r>
        <w:t xml:space="preserve">. These models can incorporate variation in the environment</w:t>
      </w:r>
      <w:r>
        <w:t xml:space="preserve"> </w:t>
      </w:r>
      <w:r>
        <w:t xml:space="preserve">[22]</w:t>
      </w:r>
      <w:r>
        <w:t xml:space="preserve"> </w:t>
      </w:r>
      <w:r>
        <w:t xml:space="preserve">and in the outcome of interactions themselves</w:t>
      </w:r>
      <w:r>
        <w:t xml:space="preserve"> </w:t>
      </w:r>
      <w:r>
        <w:t xml:space="preserve">[77]</w:t>
      </w:r>
      <w:r>
        <w:t xml:space="preserve">. As these models use the same fitness measures as DEB models they offer a population modelling framework to add thermal biology to community diversity predictions. This is because population dynamical models can be put together, for example as networks</w:t>
      </w:r>
      <w:r>
        <w:t xml:space="preserve"> </w:t>
      </w:r>
      <w:r>
        <w:t xml:space="preserve">[75]</w:t>
      </w:r>
      <w:r>
        <w:t xml:space="preserve"> </w:t>
      </w:r>
      <w:r>
        <w:t xml:space="preserve">and compared between microsites with different biophysical properties and composed of species with different thermal responses to their microenvironment. For example,</w:t>
      </w:r>
      <w:r>
        <w:t xml:space="preserve"> </w:t>
      </w:r>
      <w:r>
        <w:t xml:space="preserve">[75]</w:t>
      </w:r>
      <w:r>
        <w:t xml:space="preserve">, used this approach to determine which species were keystone species under shady and sunny portions of the same plant communities.</w:t>
      </w:r>
    </w:p>
    <w:p>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functional traits,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w:t>
      </w:r>
      <w:r>
        <w:t xml:space="preserve"> </w:t>
      </w:r>
      <w:r>
        <w:t xml:space="preserve">‘trait’</w:t>
      </w:r>
      <w:r>
        <w:t xml:space="preserve"> </w:t>
      </w:r>
      <w:r>
        <w:t xml:space="preserve">which has been shown to be an effective way of reducing model complexity without sacrificing accuracy</w:t>
      </w:r>
      <w:r>
        <w:t xml:space="preserve"> </w:t>
      </w:r>
      <w:r>
        <w:t xml:space="preserve">[78]</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[79–81]</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[79]</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[80,82–85]</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(e.g., DEB parameters) that allow functional traits to emerge</w:t>
            </w:r>
            <w:r>
              <w:t xml:space="preserve"> </w:t>
            </w:r>
            <w:r>
              <w:t xml:space="preserve">[86]</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[87]</w:t>
            </w:r>
            <w:r>
              <w:t xml:space="preserve">:</w:t>
            </w:r>
          </w:p>
          <w:p>
            <w:pPr>
              <w:pStyle w:val="BodyText"/>
            </w:pPr>
            <w:bookmarkStart w:id="38"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8"/>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[88]</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[81,88]</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[54,89–93]</w:t>
            </w:r>
            <w:r>
              <w:t xml:space="preserve">. For example, using isogenic lines of</w:t>
            </w:r>
            <w:r>
              <w:t xml:space="preserve"> </w:t>
            </w:r>
            <w:r>
              <w:rPr>
                <w:i/>
                <w:iCs/>
              </w:rPr>
              <w:t xml:space="preserve">Drosophia melanogaster</w:t>
            </w:r>
            <w:r>
              <w:t xml:space="preserve">,</w:t>
            </w:r>
            <w:r>
              <w:t xml:space="preserve"> </w:t>
            </w:r>
            <w:r>
              <w:t xml:space="preserve">[93]</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[89]</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[94]</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[94,95]</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[87,94]</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[97]</w:t>
            </w:r>
            <w:r>
              <w:t xml:space="preserve">. Thermal stressors may even influence producers’ psychological beliefs about their level of control over land management, and perceived resources available for management practices</w:t>
            </w:r>
            <w:r>
              <w:t xml:space="preserve"> </w:t>
            </w:r>
            <w:r>
              <w:t xml:space="preserve">[98]</w:t>
            </w:r>
            <w:r>
              <w:t xml:space="preserve">. Thermal risks to ecosystems may also precipitate declines in individual wellbeing, and these consequences may accrue differently across regions and across peoples</w:t>
            </w:r>
            <w:r>
              <w:t xml:space="preserve"> </w:t>
            </w:r>
            <w:r>
              <w:t xml:space="preserve">[99]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[100,101]</w:t>
            </w:r>
            <w:r>
              <w:t xml:space="preserve">. On the other hand, adapting thermal risks in upper stream producers may also be influenced by the perception and behavior of downstream consumers</w:t>
            </w:r>
            <w:r>
              <w:t xml:space="preserve"> </w:t>
            </w:r>
            <w:r>
              <w:t xml:space="preserve">[102]</w:t>
            </w:r>
            <w:r>
              <w:t xml:space="preserve">. The cascading</w:t>
            </w:r>
            <w:r>
              <w:t xml:space="preserve"> </w:t>
            </w:r>
            <w:r>
              <w:t xml:space="preserve">[103]</w:t>
            </w:r>
            <w:r>
              <w:t xml:space="preserve"> </w:t>
            </w:r>
            <w:r>
              <w:t xml:space="preserve">and telecoupled</w:t>
            </w:r>
            <w:r>
              <w:t xml:space="preserve"> </w:t>
            </w:r>
            <w:r>
              <w:t xml:space="preserve">[104]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[107]</w:t>
            </w:r>
            <w:r>
              <w:t xml:space="preserve">. Social-ecological models aim to capture the social systems, natural systems and their interactions</w:t>
            </w:r>
            <w:r>
              <w:t xml:space="preserve"> </w:t>
            </w:r>
            <w:r>
              <w:t xml:space="preserve">[108]</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[109]</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[110]</w:t>
            </w:r>
            <w:r>
              <w:t xml:space="preserve">. Process-based approaches are critical to understanding how emergent social-ecological phenomena develop</w:t>
            </w:r>
            <w:r>
              <w:t xml:space="preserve"> </w:t>
            </w:r>
            <w:r>
              <w:t xml:space="preserve">[111]</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[112]</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9"/>
    <w:bookmarkStart w:id="44"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[113]</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w:t>
      </w:r>
      <w:r>
        <w:t xml:space="preserve"> </w:t>
      </w:r>
      <w:hyperlink w:anchor="fig-2">
        <w:r>
          <w:rPr>
            <w:rStyle w:val="Hyperlink"/>
          </w:rPr>
          <w:t xml:space="preserve">Figure 3</w:t>
        </w:r>
      </w:hyperlink>
      <w:r>
        <w:t xml:space="preserve"> </w:t>
      </w:r>
      <w:r>
        <w:t xml:space="preserve">and Case Study 4/5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57]</w:t>
      </w:r>
      <w:r>
        <w:t xml:space="preserve">.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6096000" cy="4876800"/>
                  <wp:effectExtent b="0" l="0" r="0" t="0"/>
                  <wp:docPr descr="" title="" id="41" name="Picture"/>
                  <a:graphic>
                    <a:graphicData uri="http://schemas.openxmlformats.org/drawingml/2006/picture">
                      <pic:pic>
                        <pic:nvPicPr>
                          <pic:cNvPr descr="ms_files/figure-docx/fig-2-1.png" id="42" name="Picture"/>
                          <pic:cNvPicPr>
                            <a:picLocks noChangeArrowheads="1" noChangeAspect="1"/>
                          </pic:cNvPicPr>
                        </pic:nvPicPr>
                        <pic:blipFill>
                          <a:blip r:embed="rId40"/>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3.83 Celcius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w:t>
            </w:r>
            <w:r>
              <w:t xml:space="preserve"> </w:t>
            </w:r>
            <m:oMath>
              <m:sSub>
                <m:e>
                  <m:r>
                    <m:t>r</m:t>
                  </m:r>
                </m:e>
                <m:sub>
                  <m:r>
                    <m:t>m</m:t>
                  </m:r>
                  <m:r>
                    <m:t>a</m:t>
                  </m:r>
                  <m:r>
                    <m:t>x</m:t>
                  </m:r>
                </m:sub>
              </m:sSub>
            </m:oMath>
            <w:r>
              <w:t xml:space="preserve">)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bookmarkEnd w:id="43"/>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using parameters of closely related species at predicting the impacts of extreme heat for species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tc>
      </w:tr>
    </w:tbl>
    <w:bookmarkEnd w:id="44"/>
    <w:bookmarkStart w:id="45"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5"/>
    <w:bookmarkStart w:id="160" w:name="references"/>
    <w:p>
      <w:pPr>
        <w:pStyle w:val="Heading1"/>
      </w:pPr>
      <w:r>
        <w:t xml:space="preserve">References</w:t>
      </w:r>
    </w:p>
    <w:p>
      <w:pPr>
        <w:pStyle w:val="FirstParagraph"/>
      </w:pPr>
    </w:p>
    <w:bookmarkStart w:id="159" w:name="refs"/>
    <w:bookmarkStart w:id="46"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6"/>
    <w:bookmarkStart w:id="47"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7"/>
    <w:bookmarkStart w:id="48"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8"/>
    <w:bookmarkStart w:id="49"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9"/>
    <w:bookmarkStart w:id="50"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0"/>
    <w:bookmarkStart w:id="51"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1"/>
    <w:bookmarkStart w:id="52"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2"/>
    <w:bookmarkStart w:id="53"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3"/>
    <w:bookmarkStart w:id="54"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4"/>
    <w:bookmarkStart w:id="55"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5"/>
    <w:bookmarkStart w:id="56"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6"/>
    <w:bookmarkStart w:id="57"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7"/>
    <w:bookmarkStart w:id="58"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8"/>
    <w:bookmarkStart w:id="59"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9"/>
    <w:bookmarkStart w:id="60"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0"/>
    <w:bookmarkStart w:id="61"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1"/>
    <w:bookmarkStart w:id="62"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2"/>
    <w:bookmarkStart w:id="63"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3"/>
    <w:bookmarkStart w:id="64"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4"/>
    <w:bookmarkStart w:id="65"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5"/>
    <w:bookmarkStart w:id="66"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6"/>
    <w:bookmarkStart w:id="67"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7"/>
    <w:bookmarkStart w:id="68"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8"/>
    <w:bookmarkStart w:id="69"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9"/>
    <w:bookmarkStart w:id="70"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0"/>
    <w:bookmarkStart w:id="71"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1"/>
    <w:bookmarkStart w:id="72"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2"/>
    <w:bookmarkStart w:id="73"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73"/>
    <w:bookmarkStart w:id="74"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74"/>
    <w:bookmarkStart w:id="75"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5"/>
    <w:bookmarkStart w:id="76"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6"/>
    <w:bookmarkStart w:id="77"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7"/>
    <w:bookmarkStart w:id="78"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8"/>
    <w:bookmarkStart w:id="79"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9"/>
    <w:bookmarkStart w:id="80"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0"/>
    <w:bookmarkStart w:id="81"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1"/>
    <w:bookmarkStart w:id="82"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2"/>
    <w:bookmarkStart w:id="83"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83"/>
    <w:bookmarkStart w:id="84"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84"/>
    <w:bookmarkStart w:id="85"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5"/>
    <w:bookmarkStart w:id="86"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6"/>
    <w:bookmarkStart w:id="87"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7"/>
    <w:bookmarkStart w:id="88"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8"/>
    <w:bookmarkStart w:id="89"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9"/>
    <w:bookmarkStart w:id="90"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0"/>
    <w:bookmarkStart w:id="91"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91"/>
    <w:bookmarkStart w:id="92"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92"/>
    <w:bookmarkStart w:id="93"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3"/>
    <w:bookmarkStart w:id="94"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94"/>
    <w:bookmarkStart w:id="95"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5"/>
    <w:bookmarkStart w:id="96"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6"/>
    <w:bookmarkStart w:id="97"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7"/>
    <w:bookmarkStart w:id="98"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8"/>
    <w:bookmarkStart w:id="99" w:name="ref-Youngblood2025"/>
    <w:p>
      <w:pPr>
        <w:pStyle w:val="Bibliography"/>
      </w:pPr>
      <w:r>
        <w:t xml:space="preserve">54.</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99"/>
    <w:bookmarkStart w:id="100"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0"/>
    <w:bookmarkStart w:id="101" w:name="ref-Liu2025"/>
    <w:p>
      <w:pPr>
        <w:pStyle w:val="Bibliography"/>
      </w:pPr>
      <w:r>
        <w:t xml:space="preserve">56.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1"/>
    <w:bookmarkStart w:id="102" w:name="ref-Marquez2007"/>
    <w:p>
      <w:pPr>
        <w:pStyle w:val="Bibliography"/>
      </w:pPr>
      <w:r>
        <w:t xml:space="preserve">57.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2"/>
    <w:bookmarkStart w:id="103" w:name="ref-Huang2019"/>
    <w:p>
      <w:pPr>
        <w:pStyle w:val="Bibliography"/>
      </w:pPr>
      <w:r>
        <w:t xml:space="preserve">58.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3"/>
    <w:bookmarkStart w:id="104" w:name="ref-Dastogeer2022"/>
    <w:p>
      <w:pPr>
        <w:pStyle w:val="Bibliography"/>
      </w:pPr>
      <w:r>
        <w:t xml:space="preserve">59.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4"/>
    <w:bookmarkStart w:id="105" w:name="ref-Hoang2019"/>
    <w:p>
      <w:pPr>
        <w:pStyle w:val="Bibliography"/>
      </w:pPr>
      <w:r>
        <w:t xml:space="preserve">60.</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05"/>
    <w:bookmarkStart w:id="106" w:name="ref-Gehman2019"/>
    <w:p>
      <w:pPr>
        <w:pStyle w:val="Bibliography"/>
      </w:pPr>
      <w:r>
        <w:t xml:space="preserve">61.</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106"/>
    <w:bookmarkStart w:id="107" w:name="ref-Nisbet2000"/>
    <w:p>
      <w:pPr>
        <w:pStyle w:val="Bibliography"/>
      </w:pPr>
      <w:r>
        <w:t xml:space="preserve">62.</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07"/>
    <w:bookmarkStart w:id="108" w:name="ref-Jager2020"/>
    <w:p>
      <w:pPr>
        <w:pStyle w:val="Bibliography"/>
      </w:pPr>
      <w:r>
        <w:t xml:space="preserve">63.</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08"/>
    <w:bookmarkStart w:id="109" w:name="ref-Haberle2025"/>
    <w:p>
      <w:pPr>
        <w:pStyle w:val="Bibliography"/>
      </w:pPr>
      <w:r>
        <w:t xml:space="preserve">64.</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09"/>
    <w:bookmarkStart w:id="110" w:name="ref-Kearney2013"/>
    <w:p>
      <w:pPr>
        <w:pStyle w:val="Bibliography"/>
      </w:pPr>
      <w:r>
        <w:t xml:space="preserve">65.</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0"/>
    <w:bookmarkStart w:id="111" w:name="ref-Kearney2010"/>
    <w:p>
      <w:pPr>
        <w:pStyle w:val="Bibliography"/>
      </w:pPr>
      <w:r>
        <w:t xml:space="preserve">66.</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1"/>
    <w:bookmarkStart w:id="112" w:name="ref-Russo2022"/>
    <w:p>
      <w:pPr>
        <w:pStyle w:val="Bibliography"/>
      </w:pPr>
      <w:r>
        <w:t xml:space="preserve">67.</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2"/>
    <w:bookmarkStart w:id="113" w:name="ref-Marques2018"/>
    <w:p>
      <w:pPr>
        <w:pStyle w:val="Bibliography"/>
      </w:pPr>
      <w:r>
        <w:t xml:space="preserve">68.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3"/>
    <w:bookmarkStart w:id="114" w:name="ref-Kooijman2021"/>
    <w:p>
      <w:pPr>
        <w:pStyle w:val="Bibliography"/>
      </w:pPr>
      <w:r>
        <w:t xml:space="preserve">69.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4"/>
    <w:bookmarkStart w:id="115" w:name="ref-Bruggeman2009"/>
    <w:p>
      <w:pPr>
        <w:pStyle w:val="Bibliography"/>
      </w:pPr>
      <w:r>
        <w:t xml:space="preserve">70.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5"/>
    <w:bookmarkStart w:id="116" w:name="ref-Kearney2020a"/>
    <w:p>
      <w:pPr>
        <w:pStyle w:val="Bibliography"/>
      </w:pPr>
      <w:r>
        <w:t xml:space="preserve">71.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16"/>
    <w:bookmarkStart w:id="117" w:name="ref-Chesson2000"/>
    <w:p>
      <w:pPr>
        <w:pStyle w:val="Bibliography"/>
      </w:pPr>
      <w:r>
        <w:t xml:space="preserve">72.</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17"/>
    <w:bookmarkStart w:id="118" w:name="ref-Ricker1954a"/>
    <w:p>
      <w:pPr>
        <w:pStyle w:val="Bibliography"/>
      </w:pPr>
      <w:r>
        <w:t xml:space="preserve">73.</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18"/>
    <w:bookmarkStart w:id="119" w:name="ref-Beverton2012"/>
    <w:p>
      <w:pPr>
        <w:pStyle w:val="Bibliography"/>
      </w:pPr>
      <w:r>
        <w:t xml:space="preserve">74.</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19"/>
    <w:bookmarkStart w:id="120" w:name="ref-Bimler2024"/>
    <w:p>
      <w:pPr>
        <w:pStyle w:val="Bibliography"/>
      </w:pPr>
      <w:r>
        <w:t xml:space="preserve">75.</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20"/>
    <w:bookmarkStart w:id="121" w:name="ref-Mayfield2017"/>
    <w:p>
      <w:pPr>
        <w:pStyle w:val="Bibliography"/>
      </w:pPr>
      <w:r>
        <w:t xml:space="preserve">76.</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1"/>
    <w:bookmarkStart w:id="122" w:name="ref-Buche2025"/>
    <w:p>
      <w:pPr>
        <w:pStyle w:val="Bibliography"/>
      </w:pPr>
      <w:r>
        <w:t xml:space="preserve">77.</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22"/>
    <w:bookmarkStart w:id="123" w:name="ref-Martyn2021"/>
    <w:p>
      <w:pPr>
        <w:pStyle w:val="Bibliography"/>
      </w:pPr>
      <w:r>
        <w:t xml:space="preserve">78.</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23"/>
    <w:bookmarkStart w:id="124" w:name="ref-Chevin2017"/>
    <w:p>
      <w:pPr>
        <w:pStyle w:val="Bibliography"/>
      </w:pPr>
      <w:r>
        <w:t xml:space="preserve">79.</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4"/>
    <w:bookmarkStart w:id="125" w:name="ref-Urban2024"/>
    <w:p>
      <w:pPr>
        <w:pStyle w:val="Bibliography"/>
      </w:pPr>
      <w:r>
        <w:t xml:space="preserve">80.</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5"/>
    <w:bookmarkStart w:id="126" w:name="ref-Hoffmann2011"/>
    <w:p>
      <w:pPr>
        <w:pStyle w:val="Bibliography"/>
      </w:pPr>
      <w:r>
        <w:t xml:space="preserve">81.</w:t>
      </w:r>
      <w:r>
        <w:t xml:space="preserve"> </w:t>
      </w:r>
      <w:r>
        <w:t xml:space="preserve">	</w:t>
      </w:r>
      <w:r>
        <w:t xml:space="preserve">Hoffmann, A.A. and Sgrò, C.M. (2011) Climate change and evolutionary adaptation. 470, 479–485</w:t>
      </w:r>
    </w:p>
    <w:bookmarkEnd w:id="126"/>
    <w:bookmarkStart w:id="127" w:name="ref-Hoffmann2022"/>
    <w:p>
      <w:pPr>
        <w:pStyle w:val="Bibliography"/>
      </w:pPr>
      <w:r>
        <w:t xml:space="preserve">82.</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7"/>
    <w:bookmarkStart w:id="128" w:name="ref-Ghalambor2015"/>
    <w:p>
      <w:pPr>
        <w:pStyle w:val="Bibliography"/>
      </w:pPr>
      <w:r>
        <w:t xml:space="preserve">83.</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28"/>
    <w:bookmarkStart w:id="129" w:name="ref-Oostra2018"/>
    <w:p>
      <w:pPr>
        <w:pStyle w:val="Bibliography"/>
      </w:pPr>
      <w:r>
        <w:t xml:space="preserve">84.</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29"/>
    <w:bookmarkStart w:id="130" w:name="ref-Noble2019"/>
    <w:p>
      <w:pPr>
        <w:pStyle w:val="Bibliography"/>
      </w:pPr>
      <w:r>
        <w:t xml:space="preserve">85.</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0"/>
    <w:bookmarkStart w:id="131" w:name="ref-Sousa2010"/>
    <w:p>
      <w:pPr>
        <w:pStyle w:val="Bibliography"/>
      </w:pPr>
      <w:r>
        <w:t xml:space="preserve">86.</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1"/>
    <w:bookmarkStart w:id="132" w:name="ref-Lande1979"/>
    <w:p>
      <w:pPr>
        <w:pStyle w:val="Bibliography"/>
      </w:pPr>
      <w:r>
        <w:t xml:space="preserve">87.</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2"/>
    <w:bookmarkStart w:id="133" w:name="ref-Walsh2018"/>
    <w:p>
      <w:pPr>
        <w:pStyle w:val="Bibliography"/>
      </w:pPr>
      <w:r>
        <w:t xml:space="preserve">88.</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3"/>
    <w:bookmarkStart w:id="134" w:name="ref-Baeza_Icaza2025"/>
    <w:p>
      <w:pPr>
        <w:pStyle w:val="Bibliography"/>
      </w:pPr>
      <w:r>
        <w:t xml:space="preserve">89.</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4"/>
    <w:bookmarkStart w:id="135" w:name="ref-Kearney2009a"/>
    <w:p>
      <w:pPr>
        <w:pStyle w:val="Bibliography"/>
      </w:pPr>
      <w:r>
        <w:t xml:space="preserve">90.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5"/>
    <w:bookmarkStart w:id="136" w:name="ref-Ellner2011"/>
    <w:p>
      <w:pPr>
        <w:pStyle w:val="Bibliography"/>
      </w:pPr>
      <w:r>
        <w:t xml:space="preserve">91.</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6"/>
    <w:bookmarkStart w:id="137" w:name="ref-Pottier2022a"/>
    <w:p>
      <w:pPr>
        <w:pStyle w:val="Bibliography"/>
      </w:pPr>
      <w:r>
        <w:t xml:space="preserve">92.</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37"/>
    <w:bookmarkStart w:id="138" w:name="ref-Leiva2024b"/>
    <w:p>
      <w:pPr>
        <w:pStyle w:val="Bibliography"/>
      </w:pPr>
      <w:r>
        <w:t xml:space="preserve">93.</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38"/>
    <w:bookmarkStart w:id="139" w:name="ref-Arnold2019a"/>
    <w:p>
      <w:pPr>
        <w:pStyle w:val="Bibliography"/>
      </w:pPr>
      <w:r>
        <w:t xml:space="preserve">94.</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39"/>
    <w:bookmarkStart w:id="140" w:name="ref-Arnold2024"/>
    <w:p>
      <w:pPr>
        <w:pStyle w:val="Bibliography"/>
      </w:pPr>
      <w:r>
        <w:t xml:space="preserve">95.</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0"/>
    <w:bookmarkStart w:id="141" w:name="ref-Assessment_undated-fv"/>
    <w:p>
      <w:pPr>
        <w:pStyle w:val="Bibliography"/>
      </w:pPr>
      <w:r>
        <w:t xml:space="preserve">96.</w:t>
      </w:r>
      <w:r>
        <w:t xml:space="preserve"> </w:t>
      </w:r>
      <w:r>
        <w:t xml:space="preserve">	</w:t>
      </w:r>
      <w:r>
        <w:t xml:space="preserve">Assessment, M.E. (2005) Opportunities and challenges for business and industryunioviedo.es</w:t>
      </w:r>
    </w:p>
    <w:bookmarkEnd w:id="141"/>
    <w:bookmarkStart w:id="142" w:name="ref-Dandy2019"/>
    <w:p>
      <w:pPr>
        <w:pStyle w:val="Bibliography"/>
      </w:pPr>
      <w:r>
        <w:t xml:space="preserve">97.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2"/>
    <w:bookmarkStart w:id="143" w:name="ref-Price2014"/>
    <w:p>
      <w:pPr>
        <w:pStyle w:val="Bibliography"/>
      </w:pPr>
      <w:r>
        <w:t xml:space="preserve">98.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3"/>
    <w:bookmarkStart w:id="144" w:name="ref-Leviston2018"/>
    <w:p>
      <w:pPr>
        <w:pStyle w:val="Bibliography"/>
      </w:pPr>
      <w:r>
        <w:t xml:space="preserve">99.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4"/>
    <w:bookmarkStart w:id="145" w:name="ref-Bai2016"/>
    <w:p>
      <w:pPr>
        <w:pStyle w:val="Bibliography"/>
      </w:pPr>
      <w:r>
        <w:t xml:space="preserve">100.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5"/>
    <w:bookmarkStart w:id="146" w:name="ref-Grimm2008"/>
    <w:p>
      <w:pPr>
        <w:pStyle w:val="Bibliography"/>
      </w:pPr>
      <w:r>
        <w:t xml:space="preserve">101.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6"/>
    <w:bookmarkStart w:id="147" w:name="ref-Hendricks2022"/>
    <w:p>
      <w:pPr>
        <w:pStyle w:val="Bibliography"/>
      </w:pPr>
      <w:r>
        <w:t xml:space="preserve">102.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7"/>
    <w:bookmarkStart w:id="148" w:name="ref-Sutanto2020"/>
    <w:p>
      <w:pPr>
        <w:pStyle w:val="Bibliography"/>
      </w:pPr>
      <w:r>
        <w:t xml:space="preserve">103.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48"/>
    <w:bookmarkStart w:id="149" w:name="ref-Liu2007"/>
    <w:p>
      <w:pPr>
        <w:pStyle w:val="Bibliography"/>
      </w:pPr>
      <w:r>
        <w:t xml:space="preserve">104.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49"/>
    <w:bookmarkStart w:id="150" w:name="ref-Black2011"/>
    <w:p>
      <w:pPr>
        <w:pStyle w:val="Bibliography"/>
      </w:pPr>
      <w:r>
        <w:t xml:space="preserve">105.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0"/>
    <w:bookmarkStart w:id="151" w:name="ref-Neil_Adger1999"/>
    <w:p>
      <w:pPr>
        <w:pStyle w:val="Bibliography"/>
      </w:pPr>
      <w:r>
        <w:t xml:space="preserve">106.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1"/>
    <w:bookmarkStart w:id="152" w:name="ref-Folke2016"/>
    <w:p>
      <w:pPr>
        <w:pStyle w:val="Bibliography"/>
      </w:pPr>
      <w:r>
        <w:t xml:space="preserve">107.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2"/>
    <w:bookmarkStart w:id="153" w:name="ref-Schluter2012"/>
    <w:p>
      <w:pPr>
        <w:pStyle w:val="Bibliography"/>
      </w:pPr>
      <w:r>
        <w:t xml:space="preserve">108.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3"/>
    <w:bookmarkStart w:id="154" w:name="ref-Wise2014"/>
    <w:p>
      <w:pPr>
        <w:pStyle w:val="Bibliography"/>
      </w:pPr>
      <w:r>
        <w:t xml:space="preserve">109.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4"/>
    <w:bookmarkStart w:id="155" w:name="ref-Biggs2021"/>
    <w:p>
      <w:pPr>
        <w:pStyle w:val="Bibliography"/>
      </w:pPr>
      <w:r>
        <w:t xml:space="preserve">110.</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5"/>
    <w:bookmarkStart w:id="156" w:name="ref-Brown2021"/>
    <w:p>
      <w:pPr>
        <w:pStyle w:val="Bibliography"/>
      </w:pPr>
      <w:r>
        <w:t xml:space="preserve">111.</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6"/>
    <w:bookmarkStart w:id="157" w:name="ref-Kwakkel2013"/>
    <w:p>
      <w:pPr>
        <w:pStyle w:val="Bibliography"/>
      </w:pPr>
      <w:r>
        <w:t xml:space="preserve">112.</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7"/>
    <w:bookmarkStart w:id="158" w:name="ref-Shekhawat2022"/>
    <w:p>
      <w:pPr>
        <w:pStyle w:val="Bibliography"/>
      </w:pPr>
      <w:r>
        <w:t xml:space="preserve">113.</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58"/>
    <w:bookmarkEnd w:id="159"/>
    <w:p>
      <w:pPr>
        <w:pStyle w:val="BodyText"/>
      </w:pPr>
    </w:p>
    <w:bookmarkEnd w:id="160"/>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2025-06-04T05:29:08Z</dcterms:created>
  <dcterms:modified xsi:type="dcterms:W3CDTF">2025-06-04T05:29:08Z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