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4"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A number of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3"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23"/>
    </w:p>
    <w:p>
      <w:pPr>
        <w:pStyle w:val="FirstParagraph"/>
      </w:pPr>
      <w:hyperlink w:anchor="eq-hi">
        <w:r>
          <w:rPr>
            <w:rStyle w:val="Hyperlink"/>
          </w:rPr>
          <w:t xml:space="preserve">Equation 1</w:t>
        </w:r>
      </w:hyperlink>
      <w:r>
        <w:t xml:space="preserve"> </w:t>
      </w:r>
      <w:r>
        <w:t xml:space="preserve">summaries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reaches a given threshold is the point when the endpoint has been reached. While the process of repair can be integrated within these models and decoupled from damage the measure of thermal sensitivity already captures some aspects of the repair process.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4"/>
    <w:bookmarkStart w:id="25"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5"/>
    <w:bookmarkStart w:id="26"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to understand how they affect development,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6"/>
    <w:bookmarkStart w:id="27"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27"/>
    <w:bookmarkStart w:id="33"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28"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[73]</w:t>
      </w:r>
      <w:r>
        <w:t xml:space="preserve">. The paper provides a framework for modelling soil plant interactions</w:t>
      </w:r>
    </w:p>
    <w:bookmarkEnd w:id="28"/>
    <w:bookmarkStart w:id="29" w:name="X24738ef4513767bb724ce8804ac017259eaf2ee"/>
    <w:p>
      <w:pPr>
        <w:pStyle w:val="Heading3"/>
      </w:pPr>
      <w:r>
        <w:t xml:space="preserve">Water availability can impact thermal sensitivity of plants and animals (Brendan)</w:t>
      </w:r>
    </w:p>
    <w:bookmarkEnd w:id="29"/>
    <w:bookmarkStart w:id="30"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0"/>
    <w:bookmarkStart w:id="31"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31"/>
    <w:bookmarkStart w:id="32" w:name="X1f820984f57b727edc20965138ee13069f96c01"/>
    <w:p>
      <w:pPr>
        <w:pStyle w:val="Heading3"/>
      </w:pPr>
      <w:r>
        <w:t xml:space="preserve">Phenology and activity pattern shifts mediating interactions (James?)</w:t>
      </w:r>
    </w:p>
    <w:bookmarkEnd w:id="32"/>
    <w:bookmarkEnd w:id="33"/>
    <w:bookmarkStart w:id="34" w:name="Xf9650dc0ea0b351fc010b34968d2cf3bde51c90"/>
    <w:p>
      <w:pPr>
        <w:pStyle w:val="Heading1"/>
      </w:pPr>
      <w:r>
        <w:t xml:space="preserve">Interacting species interacting with people: social-ecological systems (Steven and Xuemei) (~300-500 words)</w:t>
      </w:r>
    </w:p>
    <w:p>
      <w:pPr>
        <w:pStyle w:val="FirstParagraph"/>
      </w:pPr>
      <w:r>
        <w:t xml:space="preserve">Thermal stress to ecosystems may threaten the services those ecosystems provide to people</w:t>
      </w:r>
      <w:r>
        <w:t xml:space="preserve"> </w:t>
      </w:r>
      <w:r>
        <w:t xml:space="preserve">[76]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[77]</w:t>
      </w:r>
      <w:r>
        <w:t xml:space="preserve">. Thermal stressors may even influence producers’ psychological beliefs about their level of control over land management, and perceived resources available for management practices</w:t>
      </w:r>
      <w:r>
        <w:t xml:space="preserve"> </w:t>
      </w:r>
      <w:r>
        <w:t xml:space="preserve">[78]</w:t>
      </w:r>
      <w:r>
        <w:t xml:space="preserve">. Thermal risks to ecosystems may also precipitate declines in individual wellbeing, and these consequences may accrue differently across regions and across peoples</w:t>
      </w:r>
      <w:r>
        <w:t xml:space="preserve"> </w:t>
      </w:r>
      <w:r>
        <w:t xml:space="preserve">[79]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[80,81]</w:t>
      </w:r>
      <w:r>
        <w:t xml:space="preserve">. On the other hand, adapting thermal risks in upper stream producers may also be influenced by the perception and behaviour of downstream consumers</w:t>
      </w:r>
      <w:r>
        <w:t xml:space="preserve"> </w:t>
      </w:r>
      <w:r>
        <w:t xml:space="preserve">[82]</w:t>
      </w:r>
      <w:r>
        <w:t xml:space="preserve">. The cascading</w:t>
      </w:r>
      <w:r>
        <w:t xml:space="preserve"> </w:t>
      </w:r>
      <w:r>
        <w:t xml:space="preserve">[83]</w:t>
      </w:r>
      <w:r>
        <w:t xml:space="preserve"> </w:t>
      </w:r>
      <w:r>
        <w:t xml:space="preserve">and telecoupled</w:t>
      </w:r>
      <w:r>
        <w:t xml:space="preserve"> </w:t>
      </w:r>
      <w:r>
        <w:t xml:space="preserve">[84]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[87]</w:t>
      </w:r>
      <w:r>
        <w:t xml:space="preserve">. Social-ecological models aim to capture the social systems, natural systems and their interactions</w:t>
      </w:r>
      <w:r>
        <w:t xml:space="preserve"> </w:t>
      </w:r>
      <w:r>
        <w:t xml:space="preserve">[88]</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[89]</w:t>
      </w:r>
      <w:r>
        <w:t xml:space="preserve">.</w:t>
      </w:r>
    </w:p>
    <w:bookmarkEnd w:id="34"/>
    <w:bookmarkStart w:id="35"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35"/>
    <w:bookmarkStart w:id="41" w:name="X78b08fde953bb9dcb9bb22555137d822070b4a9"/>
    <w:p>
      <w:pPr>
        <w:pStyle w:val="Heading1"/>
      </w:pPr>
      <w:r>
        <w:t xml:space="preserve">Future directions: modelling challenges, gaps and possible solutions</w:t>
      </w:r>
    </w:p>
    <w:bookmarkStart w:id="36"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6"/>
    <w:bookmarkStart w:id="37"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7"/>
    <w:bookmarkStart w:id="38"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8"/>
    <w:bookmarkStart w:id="39" w:name="X3ed7603d16b77139cf6e8da2c2d8afebe91fdfa"/>
    <w:p>
      <w:pPr>
        <w:pStyle w:val="Heading4"/>
      </w:pPr>
      <w:r>
        <w:t xml:space="preserve">Evolutionary dynamics leading to changes in thermal sensitivity and exposure: But we need heritability (not often known) and selection intensity (good idea of what’s driving selection) We need to understand how thermal sensitivity and exposure will evolve in response to climate change. Probably could cite</w:t>
      </w:r>
      <w:r>
        <w:t xml:space="preserve"> </w:t>
      </w:r>
      <w:r>
        <w:t xml:space="preserve">[90]</w:t>
      </w:r>
      <w:r>
        <w:t xml:space="preserve"> </w:t>
      </w:r>
      <w:r>
        <w:t xml:space="preserve">(Ary)</w:t>
      </w:r>
    </w:p>
    <w:bookmarkEnd w:id="39"/>
    <w:bookmarkStart w:id="40"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0"/>
    <w:bookmarkEnd w:id="41"/>
    <w:bookmarkStart w:id="133" w:name="references"/>
    <w:p>
      <w:pPr>
        <w:pStyle w:val="Heading1"/>
      </w:pPr>
      <w:r>
        <w:t xml:space="preserve">References</w:t>
      </w:r>
    </w:p>
    <w:bookmarkStart w:id="132" w:name="refs"/>
    <w:bookmarkStart w:id="42"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2"/>
    <w:bookmarkStart w:id="43"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3"/>
    <w:bookmarkStart w:id="44"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4"/>
    <w:bookmarkStart w:id="45"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5"/>
    <w:bookmarkStart w:id="46"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6"/>
    <w:bookmarkStart w:id="47"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7"/>
    <w:bookmarkStart w:id="48"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8"/>
    <w:bookmarkStart w:id="49"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9"/>
    <w:bookmarkStart w:id="50"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0"/>
    <w:bookmarkStart w:id="51"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1"/>
    <w:bookmarkStart w:id="52"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2"/>
    <w:bookmarkStart w:id="53"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3"/>
    <w:bookmarkStart w:id="54"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4"/>
    <w:bookmarkStart w:id="55"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5"/>
    <w:bookmarkStart w:id="56"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6"/>
    <w:bookmarkStart w:id="57"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7"/>
    <w:bookmarkStart w:id="58"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8"/>
    <w:bookmarkStart w:id="59"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9"/>
    <w:bookmarkStart w:id="60"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0"/>
    <w:bookmarkStart w:id="61"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1"/>
    <w:bookmarkStart w:id="62"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2"/>
    <w:bookmarkStart w:id="63"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3"/>
    <w:bookmarkStart w:id="64"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4"/>
    <w:bookmarkStart w:id="65"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5"/>
    <w:bookmarkStart w:id="66"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6"/>
    <w:bookmarkStart w:id="67"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7"/>
    <w:bookmarkStart w:id="68"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8"/>
    <w:bookmarkStart w:id="69"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9"/>
    <w:bookmarkStart w:id="70"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0"/>
    <w:bookmarkStart w:id="71"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1"/>
    <w:bookmarkStart w:id="72"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2"/>
    <w:bookmarkStart w:id="73"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3"/>
    <w:bookmarkStart w:id="74"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4"/>
    <w:bookmarkStart w:id="75"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5"/>
    <w:bookmarkStart w:id="76"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6"/>
    <w:bookmarkStart w:id="77"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7"/>
    <w:bookmarkStart w:id="78"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8"/>
    <w:bookmarkStart w:id="79"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9"/>
    <w:bookmarkStart w:id="80"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0"/>
    <w:bookmarkStart w:id="81"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1"/>
    <w:bookmarkStart w:id="82"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2"/>
    <w:bookmarkStart w:id="83"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3"/>
    <w:bookmarkStart w:id="84"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4"/>
    <w:bookmarkStart w:id="85"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5"/>
    <w:bookmarkStart w:id="86"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6"/>
    <w:bookmarkStart w:id="87"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7"/>
    <w:bookmarkStart w:id="88"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8"/>
    <w:bookmarkStart w:id="89"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9"/>
    <w:bookmarkStart w:id="90"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0"/>
    <w:bookmarkStart w:id="91"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1"/>
    <w:bookmarkStart w:id="92"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2"/>
    <w:bookmarkStart w:id="93"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3"/>
    <w:bookmarkStart w:id="94"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4"/>
    <w:bookmarkStart w:id="95"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5"/>
    <w:bookmarkStart w:id="96"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6"/>
    <w:bookmarkStart w:id="97"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7"/>
    <w:bookmarkStart w:id="98"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8"/>
    <w:bookmarkStart w:id="99"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9"/>
    <w:bookmarkStart w:id="100"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0"/>
    <w:bookmarkStart w:id="101"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1"/>
    <w:bookmarkStart w:id="102"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2"/>
    <w:bookmarkStart w:id="103"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3"/>
    <w:bookmarkStart w:id="104"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4"/>
    <w:bookmarkStart w:id="105"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5"/>
    <w:bookmarkStart w:id="106"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6"/>
    <w:bookmarkStart w:id="107"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7"/>
    <w:bookmarkStart w:id="108"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8"/>
    <w:bookmarkStart w:id="109"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09"/>
    <w:bookmarkStart w:id="110"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0"/>
    <w:bookmarkStart w:id="111"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1"/>
    <w:bookmarkStart w:id="112"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2"/>
    <w:bookmarkStart w:id="113"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3"/>
    <w:bookmarkStart w:id="114" w:name="ref-Zou2024"/>
    <w:p>
      <w:pPr>
        <w:pStyle w:val="Bibliography"/>
      </w:pPr>
      <w:r>
        <w:t xml:space="preserve">73.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4"/>
    <w:bookmarkStart w:id="115"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5"/>
    <w:bookmarkStart w:id="116"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6"/>
    <w:bookmarkStart w:id="117" w:name="ref-Assessment_undated-fv"/>
    <w:p>
      <w:pPr>
        <w:pStyle w:val="Bibliography"/>
      </w:pPr>
      <w:r>
        <w:t xml:space="preserve">76.</w:t>
      </w:r>
      <w:r>
        <w:t xml:space="preserve"> </w:t>
      </w:r>
      <w:r>
        <w:t xml:space="preserve">	</w:t>
      </w:r>
      <w:r>
        <w:t xml:space="preserve">Assessment, M.E. (2005) Opportunities and challenges for business and industryunioviedo.es</w:t>
      </w:r>
    </w:p>
    <w:bookmarkEnd w:id="117"/>
    <w:bookmarkStart w:id="118" w:name="ref-Dandy2019"/>
    <w:p>
      <w:pPr>
        <w:pStyle w:val="Bibliography"/>
      </w:pPr>
      <w:r>
        <w:t xml:space="preserve">77.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18"/>
    <w:bookmarkStart w:id="119" w:name="ref-Price2014"/>
    <w:p>
      <w:pPr>
        <w:pStyle w:val="Bibliography"/>
      </w:pPr>
      <w:r>
        <w:t xml:space="preserve">78.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19"/>
    <w:bookmarkStart w:id="120" w:name="ref-Leviston2018"/>
    <w:p>
      <w:pPr>
        <w:pStyle w:val="Bibliography"/>
      </w:pPr>
      <w:r>
        <w:t xml:space="preserve">79.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0"/>
    <w:bookmarkStart w:id="121" w:name="ref-Bai2016"/>
    <w:p>
      <w:pPr>
        <w:pStyle w:val="Bibliography"/>
      </w:pPr>
      <w:r>
        <w:t xml:space="preserve">80.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1"/>
    <w:bookmarkStart w:id="122" w:name="ref-Grimm2008"/>
    <w:p>
      <w:pPr>
        <w:pStyle w:val="Bibliography"/>
      </w:pPr>
      <w:r>
        <w:t xml:space="preserve">81.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2"/>
    <w:bookmarkStart w:id="123" w:name="ref-Hendricks2022"/>
    <w:p>
      <w:pPr>
        <w:pStyle w:val="Bibliography"/>
      </w:pPr>
      <w:r>
        <w:t xml:space="preserve">82.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3"/>
    <w:bookmarkStart w:id="124" w:name="ref-Sutanto2020"/>
    <w:p>
      <w:pPr>
        <w:pStyle w:val="Bibliography"/>
      </w:pPr>
      <w:r>
        <w:t xml:space="preserve">83.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4"/>
    <w:bookmarkStart w:id="125" w:name="ref-Liu2007"/>
    <w:p>
      <w:pPr>
        <w:pStyle w:val="Bibliography"/>
      </w:pPr>
      <w:r>
        <w:t xml:space="preserve">84.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5"/>
    <w:bookmarkStart w:id="126" w:name="ref-Black2011"/>
    <w:p>
      <w:pPr>
        <w:pStyle w:val="Bibliography"/>
      </w:pPr>
      <w:r>
        <w:t xml:space="preserve">85.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6"/>
    <w:bookmarkStart w:id="127" w:name="ref-Neil_Adger1999"/>
    <w:p>
      <w:pPr>
        <w:pStyle w:val="Bibliography"/>
      </w:pPr>
      <w:r>
        <w:t xml:space="preserve">86.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27"/>
    <w:bookmarkStart w:id="128" w:name="ref-Folke2016"/>
    <w:p>
      <w:pPr>
        <w:pStyle w:val="Bibliography"/>
      </w:pPr>
      <w:r>
        <w:t xml:space="preserve">87.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28"/>
    <w:bookmarkStart w:id="129" w:name="ref-Schluter2012"/>
    <w:p>
      <w:pPr>
        <w:pStyle w:val="Bibliography"/>
      </w:pPr>
      <w:r>
        <w:t xml:space="preserve">88.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29"/>
    <w:bookmarkStart w:id="130" w:name="ref-Wise2014"/>
    <w:p>
      <w:pPr>
        <w:pStyle w:val="Bibliography"/>
      </w:pPr>
      <w:r>
        <w:t xml:space="preserve">89.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0"/>
    <w:bookmarkStart w:id="131" w:name="ref-Kearney2009a"/>
    <w:p>
      <w:pPr>
        <w:pStyle w:val="Bibliography"/>
      </w:pPr>
      <w:r>
        <w:t xml:space="preserve">90.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1"/>
    <w:bookmarkEnd w:id="132"/>
    <w:bookmarkEnd w:id="133"/>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2025-04-20T04:40:40Z</dcterms:created>
  <dcterms:modified xsi:type="dcterms:W3CDTF">2025-04-20T04:40:40Z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