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2</w:t>
      </w:r>
      <w:r>
        <w:t xml:space="preserve"> </w:t>
      </w:r>
      <m:oMath>
        <m:r>
          <m:rPr>
            <m:sty m:val="p"/>
          </m:rPr>
          <m:t>†</m:t>
        </m:r>
      </m:oMath>
      <w:r>
        <w:t xml:space="preserve">, Zhong-Hua Chen</w:t>
      </w:r>
      <w:r>
        <w:rPr>
          <w:vertAlign w:val="superscript"/>
        </w:rPr>
        <w:t xml:space="preserve">3,4</w:t>
      </w:r>
      <w:r>
        <w:t xml:space="preserve"> </w:t>
      </w:r>
      <m:oMath>
        <m:r>
          <m:rPr>
            <m:sty m:val="p"/>
          </m:rPr>
          <m:t>†</m:t>
        </m:r>
      </m:oMath>
      <w:r>
        <w:t xml:space="preserve">, Steven J. Lade</w:t>
      </w:r>
      <w:r>
        <w:rPr>
          <w:vertAlign w:val="superscript"/>
        </w:rPr>
        <w:t xml:space="preserve">5,6</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7</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Owen K. Atkin</w:t>
      </w:r>
      <w:r>
        <w:rPr>
          <w:vertAlign w:val="superscript"/>
        </w:rPr>
        <w:t xml:space="preserve">7,8</w:t>
      </w:r>
      <w:r>
        <w:t xml:space="preserve"> </w:t>
      </w:r>
      <m:oMath>
        <m:r>
          <m:rPr>
            <m:sty m:val="p"/>
          </m:rPr>
          <m:t>†</m:t>
        </m:r>
      </m:oMath>
      <w:r>
        <w:t xml:space="preserve">, Adrienne Nicotra</w:t>
      </w:r>
      <w:r>
        <w:rPr>
          <w:vertAlign w:val="superscript"/>
        </w:rPr>
        <w:t xml:space="preserve">1,7</w:t>
      </w:r>
      <w:r>
        <w:t xml:space="preserve"> </w:t>
      </w:r>
      <m:oMath>
        <m:r>
          <m:rPr>
            <m:sty m:val="p"/>
          </m:rPr>
          <m:t>†</m:t>
        </m:r>
      </m:oMath>
      <w:r>
        <w:t xml:space="preserve">, James M.Cook</w:t>
      </w:r>
      <w:r>
        <w:rPr>
          <w:vertAlign w:val="superscript"/>
        </w:rPr>
        <w:t xml:space="preserve">3</w:t>
      </w:r>
      <w:r>
        <w:t xml:space="preserve">, Brajesh Singh</w:t>
      </w:r>
      <w:r>
        <w:rPr>
          <w:vertAlign w:val="superscript"/>
        </w:rPr>
        <w:t xml:space="preserve">3</w:t>
      </w:r>
      <w:r>
        <w:t xml:space="preserve">, Alison Bentley</w:t>
      </w:r>
      <w:r>
        <w:rPr>
          <w:vertAlign w:val="superscript"/>
        </w:rPr>
        <w:t xml:space="preserve">7</w:t>
      </w:r>
      <w:r>
        <w:t xml:space="preserve">, Ian Wright</w:t>
      </w:r>
      <w:r>
        <w:rPr>
          <w:vertAlign w:val="superscript"/>
        </w:rPr>
        <w:t xml:space="preserve">3</w:t>
      </w:r>
      <w:r>
        <w:t xml:space="preserve">, Michael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Hawkesbury Institute for the Environment, Western Sydney University, Australia </w:t>
      </w:r>
      <w:r>
        <w:t xml:space="preserve"> </w:t>
      </w:r>
      <w:r>
        <w:rPr>
          <w:vertAlign w:val="superscript"/>
        </w:rPr>
        <w:t xml:space="preserve">4</w:t>
      </w:r>
      <w:r>
        <w:t xml:space="preserve"> </w:t>
      </w:r>
      <w:r>
        <w:t xml:space="preserve">School of Agriculture, Food and Wine, Waite Research Institute, University of Adelaide, Glen Osmond, SA 5064, Australia </w:t>
      </w:r>
      <w:r>
        <w:t xml:space="preserve"> </w:t>
      </w:r>
      <w:r>
        <w:rPr>
          <w:vertAlign w:val="superscript"/>
        </w:rPr>
        <w:t xml:space="preserve">5</w:t>
      </w:r>
      <w:r>
        <w:t xml:space="preserve"> </w:t>
      </w:r>
      <w:r>
        <w:t xml:space="preserve">Fenner School of Environment and Society, The Australian National University, Canberra ACT 2602, Australia </w:t>
      </w:r>
      <w:r>
        <w:t xml:space="preserve"> </w:t>
      </w:r>
      <w:r>
        <w:rPr>
          <w:vertAlign w:val="superscript"/>
        </w:rPr>
        <w:t xml:space="preserve">6</w:t>
      </w:r>
      <w:r>
        <w:t xml:space="preserve"> </w:t>
      </w:r>
      <w:r>
        <w:t xml:space="preserve">Stockholm Resilience Centre, Stockholm University, Stockholm, Sweden</w:t>
      </w:r>
      <w:r>
        <w:br/>
      </w:r>
      <w:r>
        <w:rPr>
          <w:vertAlign w:val="superscript"/>
        </w:rPr>
        <w:t xml:space="preserve">7</w:t>
      </w:r>
      <w:r>
        <w:t xml:space="preserve"> </w:t>
      </w:r>
      <w:r>
        <w:t xml:space="preserve">Division of Plant Sciences, Research School of Biology, The Australian National University, Canberra ACT 2602, Australia</w:t>
      </w:r>
      <w:r>
        <w:br/>
      </w:r>
      <w:r>
        <w:rPr>
          <w:vertAlign w:val="superscript"/>
        </w:rPr>
        <w:t xml:space="preserve">8</w:t>
      </w:r>
      <w:r>
        <w:t xml:space="preserve"> </w:t>
      </w:r>
      <w:r>
        <w:t xml:space="preserve">Agrifood Innovation Institute, Australian National University, Canberra, ACT 2601, Australia</w:t>
      </w:r>
      <w:r>
        <w:br/>
      </w:r>
    </w:p>
    <w:p>
      <w:pPr>
        <w:pStyle w:val="BodyText"/>
      </w:pPr>
      <w:r>
        <w:rPr>
          <w:vertAlign w:val="superscript"/>
        </w:rPr>
        <w:t xml:space="preserve">1</w:t>
      </w:r>
      <w:r>
        <w:t xml:space="preserve"> </w:t>
      </w:r>
      <m:oMath>
        <m:r>
          <m:rPr>
            <m:sty m:val="p"/>
          </m:rPr>
          <m:t>‡</m:t>
        </m:r>
      </m:oMath>
      <w:r>
        <w:t xml:space="preserve"> </w:t>
      </w:r>
      <w:r>
        <w:t xml:space="preserve">Correspondence: daniel.noble@anu.edu.au &amp; m.kearney@unimelb.edu.au</w:t>
      </w:r>
      <w:r>
        <w:br/>
      </w:r>
      <m:oMath>
        <m:r>
          <m:rPr>
            <m:sty m:val="p"/>
          </m:rPr>
          <m:t>†</m:t>
        </m:r>
      </m:oMath>
      <w:r>
        <w:t xml:space="preserve"> </w:t>
      </w:r>
      <w:r>
        <w:t xml:space="preserve">These authors contributed equally to this work.</w:t>
      </w:r>
    </w:p>
    <w:bookmarkStart w:id="20" w:name="X9b6cb994ec0d2f2a9da21a2fc21e27ced4ee15e"/>
    <w:p>
      <w:pPr>
        <w:pStyle w:val="Heading4"/>
      </w:pPr>
      <w:r>
        <w:t xml:space="preserve">Keywords: plant-animal interactions, microclimate, biophysical models, thermal load sensitivity, dynamic energy budget models, coexistence theory, ecological modelling</w:t>
      </w:r>
    </w:p>
    <w:bookmarkEnd w:id="20"/>
    <w:bookmarkStart w:id="21" w:name="highlights"/>
    <w:p>
      <w:pPr>
        <w:pStyle w:val="Heading1"/>
      </w:pPr>
      <w:r>
        <w:t xml:space="preserve">Highlights</w:t>
      </w:r>
    </w:p>
    <w:p>
      <w:pPr>
        <w:pStyle w:val="Compact"/>
        <w:numPr>
          <w:ilvl w:val="0"/>
          <w:numId w:val="1001"/>
        </w:numPr>
      </w:pPr>
      <w:r>
        <w:t xml:space="preserve">Recent advances in climate and ecological modelling are converging to enable a predictive understanding of how extreme heat affects ecological communities.</w:t>
      </w:r>
    </w:p>
    <w:p>
      <w:pPr>
        <w:pStyle w:val="Compact"/>
        <w:numPr>
          <w:ilvl w:val="0"/>
          <w:numId w:val="1001"/>
        </w:numPr>
      </w:pPr>
      <w:r>
        <w:t xml:space="preserve">Heatwaves increasingly drive complex biological responses, yet existing models rarely integrate the direct and indirect effects of heat across scales.</w:t>
      </w:r>
    </w:p>
    <w:p>
      <w:pPr>
        <w:pStyle w:val="Compact"/>
        <w:numPr>
          <w:ilvl w:val="0"/>
          <w:numId w:val="1001"/>
        </w:numPr>
      </w:pPr>
      <w:r>
        <w:t xml:space="preserve">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t>
      </w:r>
    </w:p>
    <w:p>
      <w:pPr>
        <w:pStyle w:val="Compact"/>
        <w:numPr>
          <w:ilvl w:val="0"/>
          <w:numId w:val="1001"/>
        </w:numPr>
      </w:pPr>
      <w:r>
        <w:t xml:space="preserve">A systems-modelling framework offers a more calculated understanding of the impacts that extreme heat will have on organisms, populations, and communities along with how to mitigate these impacts to preserve diverse systems now and into the future</w:t>
      </w:r>
    </w:p>
    <w:bookmarkEnd w:id="21"/>
    <w:bookmarkStart w:id="22"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2"/>
    <w:bookmarkStart w:id="23" w:name="X5103372c801ce23a754ed74e40bfcc347e79d70"/>
    <w:p>
      <w:pPr>
        <w:pStyle w:val="Heading1"/>
      </w:pPr>
      <w:r>
        <w:t xml:space="preserve">Heat waves within a multidisciplinary modelling framework</w:t>
      </w:r>
    </w:p>
    <w:p>
      <w:pPr>
        <w:pStyle w:val="FirstParagraph"/>
      </w:pPr>
      <w:r>
        <w:t xml:space="preserve">Climate change is leading to warmer and more variable thermal environments globally</w:t>
      </w:r>
      <w:r>
        <w:t xml:space="preserve"> </w:t>
      </w:r>
      <w:r>
        <w:t xml:space="preserve">[1,2]</w:t>
      </w:r>
      <w:r>
        <w:t xml:space="preserve">.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crop yields globally</w:t>
      </w:r>
      <w:r>
        <w:t xml:space="preserve"> </w:t>
      </w:r>
      <w:r>
        <w:t xml:space="preserve">[6–8]</w:t>
      </w:r>
      <w:r>
        <w:t xml:space="preserve">,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w:t>
      </w:r>
      <w:r>
        <w:t xml:space="preserve"> </w:t>
      </w:r>
      <w:r>
        <w:t xml:space="preserve">[9–11]</w:t>
      </w:r>
      <w:r>
        <w:t xml:space="preserve"> </w:t>
      </w:r>
      <w:r>
        <w:t xml:space="preserve">and indirect effects on interactions (both positive and negative) among species</w:t>
      </w:r>
      <w:r>
        <w:t xml:space="preserve"> </w:t>
      </w:r>
      <w:r>
        <w:t xml:space="preserve">[e.g., 12]</w:t>
      </w:r>
      <w:r>
        <w:t xml:space="preserve">. For instance, direct effects of heat stress on microbial communities can resulting in compounding effects on associated plant species</w:t>
      </w:r>
      <w:r>
        <w:t xml:space="preserve"> </w:t>
      </w:r>
      <w:r>
        <w:t xml:space="preserve">[13]</w:t>
      </w:r>
      <w:r>
        <w:t xml:space="preserve">. Understanding the dynamic interplay between direct effects and indirect species interactions, and how these are mediated by environmental factors, has been hampered by the complexity of community interactions and the lack of an integrated modelling framework that translates short-term physiological damage into changes in fitness and population growth across species</w:t>
      </w:r>
      <w:r>
        <w:t xml:space="preserve"> </w:t>
      </w:r>
      <w:r>
        <w:t xml:space="preserve">[13]</w:t>
      </w:r>
      <w:r>
        <w:t xml:space="preserve">. Predicting how extreme heat impacts population dynamics and communities requires the coupling of biophysical, physiological, population and community ecology models.</w:t>
      </w:r>
    </w:p>
    <w:p>
      <w:pPr>
        <w:pStyle w:val="BodyText"/>
      </w:pPr>
      <w:r>
        <w:t xml:space="preserve">Here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ecological communities</w:t>
      </w:r>
      <w:r>
        <w:t xml:space="preserve"> </w:t>
      </w:r>
      <w:r>
        <w:t xml:space="preserve">[14–18]</w:t>
      </w:r>
      <w:r>
        <w:t xml:space="preserve">. Physiological models that incorporate estimates of thermal sensitivity across species can capture the delicate balance between damage and repair in physiological systems</w:t>
      </w:r>
      <w:r>
        <w:t xml:space="preserve"> </w:t>
      </w:r>
      <w:r>
        <w:t xml:space="preserve">[10,11,19,20]</w:t>
      </w:r>
      <w:r>
        <w:t xml:space="preserve">,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w:t>
      </w:r>
      <w:r>
        <w:t xml:space="preserve"> </w:t>
      </w:r>
      <w:r>
        <w:t xml:space="preserve">[21,22]</w:t>
      </w:r>
      <w:r>
        <w:t xml:space="preserve">.</w:t>
      </w:r>
    </w:p>
    <w:p>
      <w:pPr>
        <w:pStyle w:val="BodyText"/>
      </w:pPr>
      <w:r>
        <w: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offset the effects of extreme atmospheric heat events. Thermal tolerances also vary among life cycle stages/developmental processes of individual organisms; for example, in plants, vegetative tissues generally exhibit greater tolerance to high temperatures than pollen</w:t>
      </w:r>
      <w:r>
        <w:t xml:space="preserve"> </w:t>
      </w:r>
      <w:r>
        <w:t xml:space="preserve">[23]</w:t>
      </w:r>
      <w:r>
        <w:t xml:space="preserve">. As such,</w:t>
      </w:r>
      <w:r>
        <w:t xml:space="preserve"> </w:t>
      </w:r>
      <w:r>
        <w:t xml:space="preserve">‘extreme’</w:t>
      </w:r>
      <w:r>
        <w:t xml:space="preserve"> </w:t>
      </w:r>
      <w:r>
        <w:t xml:space="preserve">will be relative to the biology of the organism in question. Our modelling framework can capture these complexities and be extended to incorporate other, diverse interactions including the socioecological systems in which ecological communities and production systems are embedded.</w:t>
      </w:r>
    </w:p>
    <w:bookmarkEnd w:id="23"/>
    <w:bookmarkStart w:id="28"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starting with the assumption that the impacts of extreme heat events on an ecological community are driven by responses of individuals, which then cascade upwards to other levels.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rPr>
          <w:b/>
          <w:bCs/>
        </w:rP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to model all components in</w:t>
      </w:r>
      <w:r>
        <w:t xml:space="preserve"> </w:t>
      </w:r>
      <w:hyperlink w:anchor="fig-sys">
        <w:r>
          <w:rPr>
            <w:rStyle w:val="Hyperlink"/>
          </w:rPr>
          <w:t xml:space="preserve">Figure 1</w:t>
        </w:r>
      </w:hyperlink>
      <w:r>
        <w:t xml:space="preserve">, such that a truly systems-based approach to modelling biotic impacts of heatwaves is now possible. We highlight the opportunities such an integration may provide through a greater understanding of the ways in which extreme heat stress manifests across species.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7" w:name="fig-sys"/>
          <w:p>
            <w:pPr>
              <w:pStyle w:val="Compact"/>
              <w:jc w:val="center"/>
            </w:pPr>
            <w:r>
              <w:drawing>
                <wp:inline>
                  <wp:extent cx="6096000" cy="4876800"/>
                  <wp:effectExtent b="0" l="0" r="0" t="0"/>
                  <wp:docPr descr="" title="" id="25" name="Picture"/>
                  <a:graphic>
                    <a:graphicData uri="http://schemas.openxmlformats.org/drawingml/2006/picture">
                      <pic:pic>
                        <pic:nvPicPr>
                          <pic:cNvPr descr="ms_files/figure-docx/fig-sys-1.png" id="26" name="Picture"/>
                          <pic:cNvPicPr>
                            <a:picLocks noChangeArrowheads="1" noChangeAspect="1"/>
                          </pic:cNvPicPr>
                        </pic:nvPicPr>
                        <pic:blipFill>
                          <a:blip r:embed="rId2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A new, integrative framework for predicting the effects of extreme heat on ecological communities</w:t>
            </w:r>
            <w:r>
              <w: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This novel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 Created with BioRender.com.</w:t>
            </w:r>
          </w:p>
          <w:bookmarkEnd w:id="27"/>
        </w:tc>
      </w:tr>
    </w:tbl>
    <w:bookmarkEnd w:id="28"/>
    <w:bookmarkStart w:id="29" w:name="X3abbae6c43ae90405781460830433c7998090d6"/>
    <w:p>
      <w:pPr>
        <w:pStyle w:val="Heading1"/>
      </w:pPr>
      <w:r>
        <w:t xml:space="preserve">The current state of extreme weather modelling</w:t>
      </w:r>
    </w:p>
    <w:p>
      <w:pPr>
        <w:pStyle w:val="FirstParagraph"/>
      </w:pPr>
      <w:r>
        <w:t xml:space="preserve">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ECMWF (European Centre for Medium-Range Weather Forecasts) Reanalysis v5 (ERA5),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t>
      </w:r>
    </w:p>
    <w:bookmarkEnd w:id="29"/>
    <w:bookmarkStart w:id="31"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exposed to temperatures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there is existing capacity, and growing potential, to model them and determine individual-specific exposure to extreme heat.</w:t>
      </w:r>
    </w:p>
    <w:p>
      <w:pPr>
        <w:pStyle w:val="BodyText"/>
      </w:pPr>
      <w:r>
        <w:t xml:space="preserve">To some extent, and at large spatial scales (e.g. 0.5</w:t>
      </w:r>
      <w:r>
        <w:t xml:space="preserve"> </w:t>
      </w:r>
      <m:oMath>
        <m:sSup>
          <m:e>
            <m:r>
              <m:t>​</m:t>
            </m:r>
          </m:e>
          <m:sup>
            <m:r>
              <m:rPr>
                <m:sty m:val="p"/>
              </m:rPr>
              <m:t>∘</m:t>
            </m:r>
          </m:sup>
        </m:sSup>
      </m:oMath>
      <w:r>
        <w:t xml:space="preserve"> </w:t>
      </w:r>
      <w:r>
        <w:t xml:space="preserve">grid cells), GCMs have these dynamics built into them via modules called</w:t>
      </w:r>
      <w:r>
        <w:t xml:space="preserve"> </w:t>
      </w:r>
      <w:r>
        <w:t xml:space="preserve">‘land-surface models’</w:t>
      </w:r>
      <w:r>
        <w:t xml:space="preserve"> </w:t>
      </w:r>
      <w:r>
        <w:t xml:space="preserve">(LSMs),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w:t>
      </w:r>
      <w:r>
        <w:t xml:space="preserve"> </w:t>
      </w:r>
      <w:r>
        <w:t xml:space="preserve">[31]</w:t>
      </w:r>
      <w:r>
        <w:t xml:space="preserve">.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w:t>
      </w:r>
      <w:r>
        <w:t xml:space="preserve"> </w:t>
      </w:r>
      <w:r>
        <w:t xml:space="preserve">[32]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w:t>
      </w:r>
      <w:r>
        <w:t xml:space="preserve"> </w:t>
      </w:r>
      <w:r>
        <w:t xml:space="preserve">[33–39]</w:t>
      </w:r>
      <w:r>
        <w:t xml:space="preserve">. Our</w:t>
      </w:r>
      <w:r>
        <w:t xml:space="preserve"> </w:t>
      </w:r>
      <w:hyperlink r:id="rId30">
        <w:r>
          <w:rPr>
            <w:rStyle w:val="Hyperlink"/>
            <w:i/>
            <w:iCs/>
          </w:rPr>
          <w:t xml:space="preserve">Supplementary Online Material</w:t>
        </w:r>
      </w:hyperlink>
      <w:r>
        <w:t xml:space="preserve"> </w:t>
      </w:r>
      <w:r>
        <w:t xml:space="preserve">provides a tutorial on how to predict microclimates from climate data using existing open access software and datasets</w:t>
      </w:r>
      <w:r>
        <w:t xml:space="preserve"> </w:t>
      </w:r>
      <w:r>
        <w:t xml:space="preserve">[33,35,36]</w:t>
      </w:r>
      <w:r>
        <w:t xml:space="preserve">.</w:t>
      </w:r>
    </w:p>
    <w:p>
      <w:pPr>
        <w:pStyle w:val="BodyText"/>
      </w:pPr>
      <w:r>
        <w:t xml:space="preserve">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w:t>
      </w:r>
      <w:r>
        <w:t xml:space="preserve"> </w:t>
      </w:r>
      <w:r>
        <w:t xml:space="preserve">[17,40]</w:t>
      </w:r>
      <w:r>
        <w:t xml:space="preserve">.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w:t>
      </w:r>
      <w:r>
        <w:t xml:space="preserve"> </w:t>
      </w:r>
      <w:r>
        <w:t xml:space="preserve">[41]</w:t>
      </w:r>
      <w:r>
        <w:t xml:space="preserve">) up to the dynamic global vegetation models (DGVMs) that simulate vegetation function and distribution at local to global scales</w:t>
      </w:r>
      <w:r>
        <w:t xml:space="preserve"> </w:t>
      </w:r>
      <w:r>
        <w:t xml:space="preserve">[42]</w:t>
      </w:r>
      <w:r>
        <w:t xml:space="preserve">.</w:t>
      </w:r>
    </w:p>
    <w:bookmarkEnd w:id="31"/>
    <w:bookmarkStart w:id="32" w:name="X5a6e6d313f4187bfc77082e5e5979262b26b081"/>
    <w:p>
      <w:pPr>
        <w:pStyle w:val="Heading1"/>
      </w:pPr>
      <w:r>
        <w:t xml:space="preserve">Translating exposure to organism temperature: biophysics to the rescue!</w:t>
      </w:r>
    </w:p>
    <w:p>
      <w:pPr>
        <w:pStyle w:val="FirstParagraph"/>
      </w:pPr>
      <w:r>
        <w:t xml:space="preserve">Once microclimates are quantified, heat budgets of organisms can be computed as a function of their traits using the principles of biophysical ecology.</w:t>
      </w:r>
      <w:r>
        <w:t xml:space="preserve"> </w:t>
      </w:r>
      <w:r>
        <w:rPr>
          <w:b/>
          <w:bCs/>
        </w:rPr>
        <w:t xml:space="preserve">Biophysical models</w:t>
      </w:r>
      <w:r>
        <w:t xml:space="preserve"> </w:t>
      </w:r>
      <w:r>
        <w:t xml:space="preserve">have a long history</w:t>
      </w:r>
      <w:r>
        <w:t xml:space="preserve"> </w:t>
      </w:r>
      <w:r>
        <w:t xml:space="preserve">[17,e.g. 43,44]</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[18]</w:t>
      </w:r>
      <w:r>
        <w:t xml:space="preserve">. Biophysical models of ectothermic animals can account for complex radiative heat transfer and the role of evaporative water loss across surfaces</w:t>
      </w:r>
      <w:r>
        <w:t xml:space="preserve"> </w:t>
      </w:r>
      <w:r>
        <w:t xml:space="preserve">[33,45]</w:t>
      </w:r>
      <w:r>
        <w:t xml:space="preserve">. Equivalent models of leaves incorporate the dynamic role of stomata</w:t>
      </w:r>
      <w:r>
        <w:t xml:space="preserve"> </w:t>
      </w:r>
      <w:r>
        <w:t xml:space="preserve">[17,46]</w:t>
      </w:r>
      <w:r>
        <w:t xml:space="preserve">, while models of endotherms can account for the role of insulation and metabolic heat production</w:t>
      </w:r>
      <w:r>
        <w:t xml:space="preserve"> </w:t>
      </w:r>
      <w:r>
        <w:t xml:space="preserve">[47]</w:t>
      </w:r>
      <w:r>
        <w:t xml:space="preserve">. Future developments in biophysical modelling of organismal temperature under extreme heat will involve understanding the nuances of plastic physiological and behavioral responses. For example, lizards may pant when exposed to high temperatures</w:t>
      </w:r>
      <w:r>
        <w:t xml:space="preserve"> </w:t>
      </w:r>
      <w:r>
        <w:t xml:space="preserve">[48]</w:t>
      </w:r>
      <w:r>
        <w:t xml:space="preserve">, birds may</w:t>
      </w:r>
      <w:r>
        <w:t xml:space="preserve"> </w:t>
      </w:r>
      <w:r>
        <w:t xml:space="preserve">‘wind surf’</w:t>
      </w:r>
      <w:r>
        <w:t xml:space="preserve"> </w:t>
      </w:r>
      <w:r>
        <w:t xml:space="preserve">or seek thermal micro-refugia</w:t>
      </w:r>
      <w:r>
        <w:t xml:space="preserve"> </w:t>
      </w:r>
      <w:r>
        <w:t xml:space="preserve">[49]</w:t>
      </w:r>
      <w:r>
        <w:t xml:space="preserve">, and stomatal behavior may depart from the typical responses to vapor pressure and light intensity to allow emergency cooling</w:t>
      </w:r>
      <w:r>
        <w:t xml:space="preserve"> </w:t>
      </w:r>
      <w:r>
        <w:t xml:space="preserve">[40]</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p>
    <w:bookmarkEnd w:id="32"/>
    <w:bookmarkStart w:id="38" w:name="X034f8e5698580bf7448238067f484f5e1d792b9"/>
    <w:p>
      <w:pPr>
        <w:pStyle w:val="Heading1"/>
      </w:pPr>
      <w:r>
        <w:t xml:space="preserve">Capturing both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[19,51]</w:t>
      </w:r>
      <w:r>
        <w:t xml:space="preserve">. Sensitivity to extreme heat can be captured by</w:t>
      </w:r>
      <w:r>
        <w:t xml:space="preserve"> </w:t>
      </w:r>
      <w:r>
        <w:rPr>
          <w:b/>
          <w:bCs/>
        </w:rPr>
        <w:t xml:space="preserve">thermal load sensitivity (TLS)</w:t>
      </w:r>
      <w:r>
        <w:t xml:space="preserve"> </w:t>
      </w:r>
      <w:r>
        <w:t xml:space="preserve">/ thermal death time (TDT) models that explicitly account for how heat stress depends on both the temperature experienced and and its duration</w:t>
      </w:r>
      <w:r>
        <w:t xml:space="preserve"> </w:t>
      </w:r>
      <w:r>
        <w:t xml:space="preserve">[19,20]</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reduced fertility, but this need not be the case</w:t>
      </w:r>
      <w:r>
        <w:t xml:space="preserve"> </w:t>
      </w:r>
      <w:r>
        <w:t xml:space="preserve">[20]</w:t>
      </w:r>
      <w:r>
        <w:t xml:space="preserve">. Endpoints are predicted by assuming the effect of time at a given temperature decreases survival or fertility exponentially</w:t>
      </w:r>
      <w:r>
        <w:t xml:space="preserve"> </w:t>
      </w:r>
      <w:r>
        <w:t xml:space="preserve">[10,11,19,51]</w:t>
      </w:r>
      <w:r>
        <w:t xml:space="preserve">. For example, Ørsted</w:t>
      </w:r>
      <w:r>
        <w:t xml:space="preserve"> </w:t>
      </w:r>
      <w:r>
        <w:rPr>
          <w:i/>
          <w:iCs/>
        </w:rPr>
        <w:t xml:space="preserve">et al.</w:t>
      </w:r>
      <w:r>
        <w:t xml:space="preserve"> </w:t>
      </w:r>
      <w:r>
        <w:t xml:space="preserve">[11]</w:t>
      </w:r>
      <w:r>
        <w:t xml:space="preserve"> </w:t>
      </w:r>
      <w:r>
        <w:t xml:space="preserve">show that both mortality and fecundity follow a clear exponential relationship with time in</w:t>
      </w:r>
      <w:r>
        <w:t xml:space="preserve"> </w:t>
      </w:r>
      <w:r>
        <w:rPr>
          <w:i/>
          <w:iCs/>
        </w:rPr>
        <w:t xml:space="preserve">Drosophila suzuki</w:t>
      </w:r>
      <w:r>
        <w:t xml:space="preserve">, with survival and fecundity being compromised most for long thermal exposures at high temperatures. Importantly, Ørsted</w:t>
      </w:r>
      <w:r>
        <w:t xml:space="preserve"> </w:t>
      </w:r>
      <w:r>
        <w:rPr>
          <w:i/>
          <w:iCs/>
        </w:rPr>
        <w:t xml:space="preserve">et al.</w:t>
      </w:r>
      <w:r>
        <w:t xml:space="preserve"> </w:t>
      </w:r>
      <w:r>
        <w:t xml:space="preserve">[11]</w:t>
      </w:r>
      <w:r>
        <w:t xml:space="preserve"> </w:t>
      </w:r>
      <w:r>
        <w:t xml:space="preserve">show that reproductive sensitivity can be higher than mortality, with heat injury accumulating faster to impact productivity earlier than survival. TLS theory also applies well to photosynthetic function in plants</w:t>
      </w:r>
      <w:r>
        <w:t xml:space="preserve"> </w:t>
      </w:r>
      <w:r>
        <w:t xml:space="preserve">[52,53]</w:t>
      </w:r>
      <w:r>
        <w:t xml:space="preserve">,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pPr>
        <w:pStyle w:val="BodyText"/>
      </w:pPr>
      <w:r>
        <w:t xml:space="preserve">The concept of damage and repair is important for understanding how heat waves affect organisms because both processes can result in lagged responses to heat stress – a common feature of extreme heat events</w:t>
      </w:r>
      <w:r>
        <w:t xml:space="preserve"> </w:t>
      </w:r>
      <w:r>
        <w:t xml:space="preserve">[20,54]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[10,11,20,51]</w:t>
      </w:r>
      <w:r>
        <w:t xml:space="preserve">. Several approaches can be used to capture the accumulation of damage</w:t>
      </w:r>
      <w:r>
        <w:t xml:space="preserve"> </w:t>
      </w:r>
      <w:r>
        <w:t xml:space="preserve">[10,11,51]</w:t>
      </w:r>
      <w:r>
        <w:t xml:space="preserve">, but a simplistic way follows Ørsted</w:t>
      </w:r>
      <w:r>
        <w:t xml:space="preserve"> </w:t>
      </w:r>
      <w:r>
        <w:rPr>
          <w:i/>
          <w:iCs/>
        </w:rPr>
        <w:t xml:space="preserve">et al.</w:t>
      </w:r>
      <w:r>
        <w:t xml:space="preserve"> </w:t>
      </w:r>
      <w:r>
        <w:t xml:space="preserve">[11]</w:t>
      </w:r>
      <w:r>
        <w:t xml:space="preserve">:</w:t>
      </w:r>
    </w:p>
    <w:p>
      <w:pPr>
        <w:pStyle w:val="BodyText"/>
      </w:pPr>
      <w:bookmarkStart w:id="33"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3"/>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Arnold</w:t>
      </w:r>
      <w:r>
        <w:t xml:space="preserve"> </w:t>
      </w:r>
      <w:r>
        <w:rPr>
          <w:i/>
          <w:iCs/>
        </w:rPr>
        <w:t xml:space="preserve">et al</w:t>
      </w:r>
      <w:r>
        <w:t xml:space="preserve"> </w:t>
      </w:r>
      <w:r>
        <w:t xml:space="preserve">[20]</w:t>
      </w:r>
      <w:r>
        <w:t xml:space="preserve"> </w:t>
      </w:r>
      <w:r>
        <w:t xml:space="preserve">recently proposed a framework for integrating repair processes into these models more explicitly.</w:t>
      </w:r>
    </w:p>
    <w:p>
      <w:pPr>
        <w:pStyle w:val="BodyText"/>
      </w:pPr>
      <w:r>
        <w:t xml:space="preserve">Environmental factors that impact thermal sensitivity can also be incorporated into TLS models (</w:t>
      </w:r>
      <w:r>
        <w:rPr>
          <w:b/>
          <w:bCs/>
        </w:rPr>
        <w:t xml:space="preserve">Box 1</w:t>
      </w:r>
      <w:r>
        <w:t xml:space="preserve">, see also</w:t>
      </w:r>
      <w:r>
        <w:t xml:space="preserve"> </w:t>
      </w:r>
      <w:r>
        <w:t xml:space="preserve">[20]</w:t>
      </w:r>
      <w:r>
        <w:t xml:space="preserve">).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to assessing community responses to extreme heat</w:t>
            </w:r>
            <w:r>
              <w:t xml:space="preserve"> </w:t>
            </w:r>
            <w:r>
              <w:t xml:space="preserve">[20]</w:t>
            </w:r>
            <w:r>
              <w:t xml:space="preserve">. Some of the biotic and abiotic interactions likely to mediate plant and animal community responses include:</w:t>
            </w:r>
          </w:p>
          <w:p>
            <w:pPr>
              <w:pStyle w:val="BodyText"/>
            </w:pPr>
            <w:r>
              <w:rPr>
                <w:b/>
                <w:bCs/>
              </w:rPr>
              <w:t xml:space="preserve">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[55,56]</w:t>
            </w:r>
            <w:r>
              <w:t xml:space="preserve"> </w:t>
            </w:r>
            <w:r>
              <w:t xml:space="preserve">(</w:t>
            </w:r>
            <w:hyperlink w:anchor="fig-box1">
              <w:r>
                <w:rPr>
                  <w:rStyle w:val="Hyperlink"/>
                </w:rPr>
                <w:t xml:space="preserve">Figure 2</w:t>
              </w:r>
            </w:hyperlink>
            <w:r>
              <w:t xml:space="preserve">A). These interactions are usually achieved by provision and priming of the production of essential phytohormones, secondary metabolites, organic acids, amino acids and osmolytes that help the plant to mitigate heat stress</w:t>
            </w:r>
            <w:r>
              <w:t xml:space="preserve"> </w:t>
            </w:r>
            <w:r>
              <w:t xml:space="preserve">[57]</w:t>
            </w:r>
            <w:r>
              <w:t xml:space="preserve">. Heat tolerance in animals can also be influenced by gut microbiota or other associated symbiotes.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[58]</w:t>
            </w:r>
            <w:r>
              <w:t xml:space="preserve"> </w:t>
            </w:r>
            <w:r>
              <w:t xml:space="preserve">(</w:t>
            </w:r>
            <w:hyperlink w:anchor="fig-box1">
              <w:r>
                <w:rPr>
                  <w:rStyle w:val="Hyperlink"/>
                </w:rPr>
                <w:t xml:space="preserve">Figure 2</w:t>
              </w:r>
            </w:hyperlink>
            <w:r>
              <w:t xml:space="preserve">B).</w:t>
            </w:r>
          </w:p>
          <w:p>
            <w:pPr>
              <w:pStyle w:val="BodyText"/>
            </w:pPr>
            <w:r>
              <w:rPr>
                <w:b/>
                <w:bCs/>
              </w:rPr>
              <w:t xml:space="preserve">Drought and Water Stress</w:t>
            </w:r>
            <w:r>
              <w:t xml:space="preserve">: Drought, often associated with periods of extreme heat, can reduce thermal tolerance in plants by triggering stomata closure, impacting plants’ ability to cool through transpiration, leading to leaf damage from excessive heat</w:t>
            </w:r>
            <w:r>
              <w:t xml:space="preserve"> </w:t>
            </w:r>
            <w:r>
              <w:t xml:space="preserve">[59]</w:t>
            </w:r>
            <w:r>
              <w:t xml:space="preserve"> </w:t>
            </w:r>
            <w:r>
              <w:t xml:space="preserve">(</w:t>
            </w:r>
            <w:hyperlink w:anchor="fig-box1">
              <w:r>
                <w:rPr>
                  <w:rStyle w:val="Hyperlink"/>
                </w:rPr>
                <w:t xml:space="preserve">Figure 2</w:t>
              </w:r>
            </w:hyperlink>
            <w:r>
              <w:t xml:space="preserve">C). Drought and water stress also have impacts on nectar flow with cascading effects on nectivores. Impact of drought on plants can be mitigated by plant signaling which enriches microbial supply of osmolytes</w:t>
            </w:r>
            <w:r>
              <w:t xml:space="preserve"> </w:t>
            </w:r>
            <w:r>
              <w:t xml:space="preserve">[60]</w:t>
            </w:r>
            <w:r>
              <w:t xml:space="preserve">. Extended periods of water stress (e.g., several days or more) have also been shown to increase thermal sensitivity in insects, reducing tolerance of extreme heat</w:t>
            </w:r>
            <w:r>
              <w:t xml:space="preserve"> </w:t>
            </w:r>
            <w:r>
              <w:t xml:space="preserve">[61]</w:t>
            </w:r>
            <w:r>
              <w:t xml:space="preserve"> </w:t>
            </w:r>
            <w:r>
              <w:t xml:space="preserve">(</w:t>
            </w:r>
            <w:hyperlink w:anchor="fig-box1">
              <w:r>
                <w:rPr>
                  <w:rStyle w:val="Hyperlink"/>
                </w:rPr>
                <w:t xml:space="preserve">Figure 2</w:t>
              </w:r>
            </w:hyperlink>
            <w:r>
              <w:t xml:space="preserve">D).</w:t>
            </w:r>
          </w:p>
          <w:p>
            <w:pPr>
              <w:pStyle w:val="BodyText"/>
            </w:pPr>
            <w:r>
              <w:rPr>
                <w:b/>
                <w:bCs/>
              </w:rPr>
              <w:t xml:space="preserve">Nutrition and Diet</w:t>
            </w:r>
            <w:r>
              <w: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w:t>
            </w:r>
            <w:r>
              <w:t xml:space="preserve"> </w:t>
            </w:r>
            <w:r>
              <w:rPr>
                <w:i/>
                <w:iCs/>
              </w:rPr>
              <w:t xml:space="preserve">et al</w:t>
            </w:r>
            <w:r>
              <w:t xml:space="preserve"> </w:t>
            </w:r>
            <w:r>
              <w:t xml:space="preserve">[62]</w:t>
            </w:r>
            <w:r>
              <w:t xml:space="preserve"> </w:t>
            </w:r>
            <w:r>
              <w:t xml:space="preserve">show how supplementation of Mg can improve heat tolerance in maize and wheat, with visual leaf damage being aggravated in both species under heat stress when Mg supply is low (</w:t>
            </w:r>
            <w:hyperlink w:anchor="fig-box1">
              <w:r>
                <w:rPr>
                  <w:rStyle w:val="Hyperlink"/>
                </w:rPr>
                <w:t xml:space="preserve">Figure 2</w:t>
              </w:r>
            </w:hyperlink>
            <w:r>
              <w:t xml:space="preserve">E). Similar examples have been identified in insects. For example, in</w:t>
            </w:r>
            <w:r>
              <w:t xml:space="preserve"> </w:t>
            </w:r>
            <w:r>
              <w:rPr>
                <w:i/>
                <w:iCs/>
              </w:rPr>
              <w:t xml:space="preserve">Drosophila melanogaster</w:t>
            </w:r>
            <w:r>
              <w:t xml:space="preserve"> </w:t>
            </w:r>
            <w:r>
              <w:t xml:space="preserve">larvae fed a high protein diet were able to withstand higher temperatures compared to those fed a high carbohydrate diet</w:t>
            </w:r>
            <w:r>
              <w:t xml:space="preserve"> </w:t>
            </w:r>
            <w:r>
              <w:t xml:space="preserve">[63]</w:t>
            </w:r>
            <w:r>
              <w:t xml:space="preserve"> </w:t>
            </w:r>
            <w:r>
              <w:t xml:space="preserve">(</w:t>
            </w:r>
            <w:hyperlink w:anchor="fig-box1">
              <w:r>
                <w:rPr>
                  <w:rStyle w:val="Hyperlink"/>
                </w:rPr>
                <w:t xml:space="preserve">Figure 2</w:t>
              </w:r>
            </w:hyperlink>
            <w:r>
              <w:t xml:space="preserve">F).</w:t>
            </w:r>
          </w:p>
          <w:p>
            <w:pPr>
              <w:pStyle w:val="BodyText"/>
            </w:pPr>
            <w:r>
              <w:t xml:space="preserve">The above list is not exhaustive. Many environmental stressors, such as pollution and salinity, along with interactions between environmental stressors and cross-trophic interactions among species exposed to those stressors can also impact thermal sensitivity can also impact thermal sensitivity</w:t>
            </w:r>
            <w:r>
              <w:t xml:space="preserve"> </w:t>
            </w:r>
            <w:r>
              <w:t xml:space="preserve">[20,54]</w:t>
            </w:r>
            <w:r>
              <w:t xml:space="preserve">. The point we make here is that to fully model heat sensitivity, it is important to account for the abiotic and biotic environment in which an organism experiences heat stress where possible.</w:t>
            </w:r>
          </w:p>
          <w:tbl>
            <w:tblPr>
              <w:tblStyle w:val="Table"/>
              <w:tblW w:type="pct" w:w="5000"/>
              <w:tblLayout w:type="fixed"/>
              <w:tblLook w:firstRow="0" w:lastRow="0" w:firstColumn="0" w:lastColumn="0" w:noHBand="0" w:noVBand="0" w:val="0000"/>
            </w:tblPr>
            <w:tblGrid>
              <w:gridCol w:w="7920"/>
            </w:tblGrid>
            <w:tr>
              <w:tc>
                <w:tcPr/>
                <w:bookmarkStart w:id="37" w:name="fig-box1"/>
                <w:p>
                  <w:pPr>
                    <w:pStyle w:val="Compact"/>
                    <w:jc w:val="center"/>
                  </w:pPr>
                  <w:r>
                    <w:drawing>
                      <wp:inline>
                        <wp:extent cx="6096000" cy="4876800"/>
                        <wp:effectExtent b="0" l="0" r="0" t="0"/>
                        <wp:docPr descr="" title="" id="35" name="Picture"/>
                        <a:graphic>
                          <a:graphicData uri="http://schemas.openxmlformats.org/drawingml/2006/picture">
                            <pic:pic>
                              <pic:nvPicPr>
                                <pic:cNvPr descr="ms_files/figure-docx/fig-box1-1.png" id="36" name="Picture"/>
                                <pic:cNvPicPr>
                                  <a:picLocks noChangeArrowheads="1" noChangeAspect="1"/>
                                </pic:cNvPicPr>
                              </pic:nvPicPr>
                              <pic:blipFill>
                                <a:blip r:embed="rId3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Examples of environmental factors impacting thermal sensitivty in plants and animals</w:t>
                  </w:r>
                  <w:r>
                    <w:t xml:space="preserve">. A &amp; B) microbial interactions. C &amp; D) drought and water stress. E &amp; F) nutrition and diet. See text for more explanation. Created with BioRender.com.</w:t>
                  </w:r>
                </w:p>
                <w:bookmarkEnd w:id="37"/>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two populations of two species are able to persist in each other’s presence indefinitely under constant, equilibrium conditions. Coexistence can be defined by differences in how species compete or through the ability of species to invade environments successfully when the other species is present at low abundances. The majority of known models of coexistence rely on equilibrium conditions. A condition at odds with extreme heat events and directional climate change. However, the emphasis of many coexistence models on the importance of species interactions in variable environments makes coexistence models and associated frameworks for understanding community assembly and diversity maintenance are potentially useful for exploring whole community responses to extreme events.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pPr>
              <w:pStyle w:val="BodyText"/>
            </w:pPr>
            <w:r>
              <w:rPr>
                <w:b/>
                <w:bCs/>
              </w:rPr>
              <w:t xml:space="preserve">Biophysical models</w:t>
            </w:r>
            <w:r>
              <w:t xml:space="preserve">: Biophysical models capture the balances of heat, water, and other aspects of energy and mass exchange between organisms and their microclimatic environmment to predict how organisms function, survive, and behave in varying environments.</w:t>
            </w:r>
          </w:p>
          <w:p>
            <w:pPr>
              <w:pStyle w:val="BodyText"/>
            </w:pPr>
            <w:r>
              <w:rPr>
                <w:b/>
                <w:bCs/>
              </w:rPr>
              <w:t xml:space="preserve">Thermal load sensitivity (TLS) models</w:t>
            </w:r>
            <w:r>
              <w:t xml:space="preserve">: Models that use biophysical principles to quantify thermal exposure and thermal load and integrate them with physiological models that capture the dynamics of damage and repair processes in driving lethal and sublethal impacts on tissues, organs and whole organisms.</w:t>
            </w:r>
          </w:p>
          <w:p>
            <w:pPr>
              <w:pStyle w:val="BodyText"/>
            </w:pPr>
            <w:pPr>
              <w:spacing w:after="16"/>
            </w:pPr>
            <w:r>
              <w:rPr>
                <w:b/>
                <w:bCs/>
              </w:rPr>
              <w:t xml:space="preserve">Vital rates</w:t>
            </w:r>
            <w:r>
              <w:t xml:space="preserve">: Demographic parameters that determine how populations change over time. They include measures of birth, death, growth, and reproduction.</w:t>
            </w:r>
          </w:p>
        </w:tc>
      </w:tr>
    </w:tbl>
    <w:bookmarkEnd w:id="38"/>
    <w:bookmarkStart w:id="39" w:name="Xa42fff9f9b55ab8c457a10a6df2c5c7c3edac3c"/>
    <w:p>
      <w:pPr>
        <w:pStyle w:val="Heading1"/>
      </w:pPr>
      <w:r>
        <w:t xml:space="preserve">Physiological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(senescence) through time</w:t>
      </w:r>
      <w:r>
        <w:t xml:space="preserve"> </w:t>
      </w:r>
      <w:r>
        <w:t xml:space="preserve">[14,64]</w:t>
      </w:r>
      <w:r>
        <w:t xml:space="preserve">. DEB models consider organisms as a thermodynamic system (adhering to energy-mass balance) capturing the exchange of food, water, respiratory gases and metabolic waste throughout the life cycle</w:t>
      </w:r>
      <w:r>
        <w:t xml:space="preserve"> </w:t>
      </w:r>
      <w:r>
        <w:t xml:space="preserve">[18]</w:t>
      </w:r>
      <w:r>
        <w:t xml:space="preserve">. DEB models can translate short-term (hourly) variation in factors such as temperature, toxins (e.g., toxicants,</w:t>
      </w:r>
      <w:r>
        <w:t xml:space="preserve"> </w:t>
      </w:r>
      <w:r>
        <w:t xml:space="preserve">[65]</w:t>
      </w:r>
      <w:r>
        <w:t xml:space="preserve">) and resource availability (nutrients)</w:t>
      </w:r>
      <w:r>
        <w:t xml:space="preserve"> </w:t>
      </w:r>
      <w:r>
        <w:t xml:space="preserve">[66,67]</w:t>
      </w:r>
      <w:r>
        <w:t xml:space="preserve"> </w:t>
      </w:r>
      <w:r>
        <w:t xml:space="preserve">into long-term (days, months, years) effects on development, growth, reproduction and survival</w:t>
      </w:r>
      <w:r>
        <w:t xml:space="preserve"> </w:t>
      </w:r>
      <w:r>
        <w:t xml:space="preserve">[15,18]</w:t>
      </w:r>
      <w:r>
        <w:t xml:space="preserve">. DEB theory, when combined with biophysical models more generally, allows the full water budget to be computed to account for heat stress impacts of a hydric nature</w:t>
      </w:r>
      <w:r>
        <w:t xml:space="preserve"> </w:t>
      </w:r>
      <w:r>
        <w:t xml:space="preserve">[18]</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DEB models integrate many processes in a parameter-sparse manner, and necessary parameters have been estimated for &gt; 6000 species already (although there are taxonomic biases)</w:t>
      </w:r>
      <w:r>
        <w:t xml:space="preserve"> </w:t>
      </w:r>
      <w:r>
        <w:t xml:space="preserve">[68,69]</w:t>
      </w:r>
      <w:r>
        <w:t xml:space="preserve">. New analytical approaches using phylogenetic imputation methods show promise for calculating energy budgets for species without data. Such methods have, for instance, already been used to predict DEB parameters for over 1.3 million animal species</w:t>
      </w:r>
      <w:r>
        <w:t xml:space="preserve"> </w:t>
      </w:r>
      <w:r>
        <w:t xml:space="preserve">[see, 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w:t>
      </w:r>
      <w:r>
        <w:t xml:space="preserve"> </w:t>
      </w:r>
      <w:r>
        <w:rPr>
          <w:b/>
          <w:bCs/>
        </w:rPr>
        <w:t xml:space="preserve">Box 2</w:t>
      </w:r>
      <w:r>
        <w:t xml:space="preserve">).</w:t>
      </w:r>
    </w:p>
    <w:p>
      <w:pPr>
        <w:pStyle w:val="BodyText"/>
      </w:pPr>
      <w:r>
        <w:t xml:space="preserve">Analogously, physiologically-based vegetation models simulate plant growth over time as a function of carbon, water and nutrient uptake and use, following mass balance principles</w:t>
      </w:r>
      <w:r>
        <w:t xml:space="preserve"> </w:t>
      </w:r>
      <w:r>
        <w:t xml:space="preserve">[31]</w:t>
      </w:r>
      <w:r>
        <w:t xml:space="preserve">.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w:t>
      </w:r>
      <w:r>
        <w:t xml:space="preserve"> </w:t>
      </w:r>
      <w:r>
        <w:t xml:space="preserve">[72]</w:t>
      </w:r>
      <w:r>
        <w:t xml:space="preserve">.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w:t>
      </w:r>
      <w:r>
        <w:t xml:space="preserve"> </w:t>
      </w:r>
      <w:r>
        <w:t xml:space="preserve">[73]</w:t>
      </w:r>
      <w:r>
        <w:t xml:space="preserve">. Direct damage to plant tissue from extreme heat has yet to be represented in such models, but the thermal death time framework outlined above offers a promising way forward.</w:t>
      </w:r>
    </w:p>
    <w:bookmarkEnd w:id="39"/>
    <w:bookmarkStart w:id="45"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rPr>
          <w:b/>
          <w:bCs/>
        </w:rPr>
        <w:t xml:space="preserve">Coexistence</w:t>
      </w:r>
      <w:r>
        <w:t xml:space="preserve"> </w:t>
      </w:r>
      <w:r>
        <w:t xml:space="preserve">frameworks offer an intriguing approach that can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w:t>
      </w:r>
      <w:r>
        <w:t xml:space="preserve"> </w:t>
      </w:r>
      <w:r>
        <w:t xml:space="preserve">“coexistence”</w:t>
      </w:r>
      <w:r>
        <w:t xml:space="preserve">.</w:t>
      </w:r>
    </w:p>
    <w:p>
      <w:pPr>
        <w:pStyle w:val="BodyText"/>
      </w:pPr>
      <w:r>
        <w:t xml:space="preserve">Population dynamic models calculate the individual fitness effect of interactions</w:t>
      </w:r>
      <w:r>
        <w:t xml:space="preserve"> </w:t>
      </w:r>
      <w:r>
        <w:t xml:space="preserve">[77]</w:t>
      </w:r>
      <w:r>
        <w:t xml:space="preserve">. These models can incorporate variation in the environment</w:t>
      </w:r>
      <w:r>
        <w:t xml:space="preserve"> </w:t>
      </w:r>
      <w:r>
        <w:t xml:space="preserve">[21]</w:t>
      </w:r>
      <w:r>
        <w:t xml:space="preserve"> </w:t>
      </w:r>
      <w:r>
        <w:t xml:space="preserve">and in the outcome of interactions themselves</w:t>
      </w:r>
      <w:r>
        <w:t xml:space="preserve"> </w:t>
      </w:r>
      <w:r>
        <w:t xml:space="preserve">[78]</w:t>
      </w:r>
      <w:r>
        <w:t xml:space="preserve">. As these models use the same fitness measures as DEB models they offer a population modelling framework to add thermal biology to community diversity predictions. This is because population dynamical models can be combined, for example as networks</w:t>
      </w:r>
      <w:r>
        <w:t xml:space="preserve"> </w:t>
      </w:r>
      <w:r>
        <w:t xml:space="preserve">[79]</w:t>
      </w:r>
      <w:r>
        <w:t xml:space="preserve">, and compared between microsites with different biophysical properties and composed of species with different thermal responses to their microenvironment. For example, Bimler</w:t>
      </w:r>
      <w:r>
        <w:t xml:space="preserve"> </w:t>
      </w:r>
      <w:r>
        <w:rPr>
          <w:i/>
          <w:iCs/>
        </w:rPr>
        <w:t xml:space="preserve">et al</w:t>
      </w:r>
      <w:r>
        <w:t xml:space="preserve"> </w:t>
      </w:r>
      <w:r>
        <w:t xml:space="preserve">[79]</w:t>
      </w:r>
      <w:r>
        <w:t xml:space="preserve"> </w:t>
      </w:r>
      <w:r>
        <w:t xml:space="preserve">used this approach to determine which species were keystone species under shady and sunny portions of the same plant communities.</w:t>
      </w:r>
    </w:p>
    <w:p>
      <w:pPr>
        <w:pStyle w:val="BodyText"/>
      </w:pPr>
      <w:r>
        <w:t xml:space="preserve">Modified</w:t>
      </w:r>
      <w:r>
        <w:t xml:space="preserve"> </w:t>
      </w:r>
      <w:r>
        <w:rPr>
          <w:b/>
          <w:bCs/>
        </w:rPr>
        <w:t xml:space="preserve">vital rate</w:t>
      </w:r>
      <w:r>
        <w:t xml:space="preserve"> </w:t>
      </w:r>
      <w:r>
        <w:t xml:space="preserve">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w:t>
      </w:r>
      <w:r>
        <w:t xml:space="preserve"> </w:t>
      </w:r>
      <w:r>
        <w:rPr>
          <w:b/>
          <w:bCs/>
        </w:rPr>
        <w:t xml:space="preserve">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w:t>
      </w:r>
      <w:r>
        <w:t xml:space="preserve"> </w:t>
      </w:r>
      <w:r>
        <w:t xml:space="preserve">‘trait’</w:t>
      </w:r>
      <w:r>
        <w:t xml:space="preserve"> </w:t>
      </w:r>
      <w:r>
        <w:t xml:space="preserve">or shared phylogenetic relationships, which are simplifications shown to be effective at reducing model complexity without sacrificing model accuracy</w:t>
      </w:r>
      <w:r>
        <w:t xml:space="preserve"> </w:t>
      </w:r>
      <w:r>
        <w:t xml:space="preserve">[80]</w:t>
      </w:r>
      <w:r>
        <w:t xml:space="preserve">.</w:t>
      </w:r>
    </w:p>
    <w:p>
      <w:pPr>
        <w:pStyle w:val="BodyText"/>
      </w:pPr>
      <w:r>
        <w:t xml:space="preserve">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22]</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 within a systems-modelling framework</w:t>
            </w:r>
          </w:p>
          <w:p>
            <w:pPr>
              <w:pStyle w:val="BodyText"/>
            </w:pPr>
            <w:pPr>
              <w:spacing w:before="16"/>
            </w:pPr>
            <w:r>
              <w:t xml:space="preserve">Extreme environments can act as a potent selective force triggering evolutionary change in populations</w:t>
            </w:r>
            <w:r>
              <w:t xml:space="preserve"> </w:t>
            </w:r>
            <w:r>
              <w:t xml:space="preserve">[81–83]</w:t>
            </w:r>
            <w:r>
              <w:t xml:space="preserve">.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w:t>
            </w:r>
            <w:r>
              <w:t xml:space="preserve"> </w:t>
            </w:r>
            <w:r>
              <w:t xml:space="preserve">[81]</w:t>
            </w:r>
            <w:r>
              <w:t xml:space="preserve">.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vital rates). Rather,</w:t>
            </w:r>
            <w:r>
              <w:t xml:space="preserve"> </w:t>
            </w:r>
            <w:r>
              <w:t xml:space="preserve">‘traits’</w:t>
            </w:r>
            <w:r>
              <w:t xml:space="preserve"> </w:t>
            </w:r>
            <w:r>
              <w:t xml:space="preserve">can include the parameters within models that establish functional traits within a population (e.g., DEB parameters)</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w:t>
            </w:r>
            <w:r>
              <w:t xml:space="preserve"> </w:t>
            </w:r>
            <w:r>
              <w:t xml:space="preserve">[89]</w:t>
            </w:r>
            <w:r>
              <w:t xml:space="preserve">:</w:t>
            </w:r>
          </w:p>
          <w:p>
            <w:pPr>
              <w:pStyle w:val="BodyText"/>
            </w:pPr>
            <w:bookmarkStart w:id="40"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40"/>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likely has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[61,91–95]</w:t>
            </w:r>
            <w:r>
              <w:t xml:space="preserve">. For example, applying a TDT framework to isogenic lines of</w:t>
            </w:r>
            <w:r>
              <w:t xml:space="preserve"> </w:t>
            </w:r>
            <w:r>
              <w:rPr>
                <w:i/>
                <w:iCs/>
              </w:rPr>
              <w:t xml:space="preserve">Drosophila melanogaster</w:t>
            </w:r>
            <w:r>
              <w:t xml:space="preserve">, Leiva</w:t>
            </w:r>
            <w:r>
              <w:t xml:space="preserve"> </w:t>
            </w:r>
            <w:r>
              <w:rPr>
                <w:i/>
                <w:iCs/>
              </w:rPr>
              <w:t xml:space="preserve">et al</w:t>
            </w:r>
            <w:r>
              <w:t xml:space="preserve"> </w:t>
            </w:r>
            <w:r>
              <w:t xml:space="preserve">[95]</w:t>
            </w:r>
            <w:r>
              <w:t xml:space="preserve"> </w:t>
            </w:r>
            <w:r>
              <w:t xml:space="preserve">show evidence for genetic (co)variation in both upper thermal limits (</w:t>
            </w:r>
            <m:oMath>
              <m:r>
                <m:t>C</m:t>
              </m:r>
              <m:sSub>
                <m:e>
                  <m:r>
                    <m:t>T</m:t>
                  </m:r>
                </m:e>
                <m:sub>
                  <m:r>
                    <m:t>m</m:t>
                  </m:r>
                  <m:r>
                    <m:t>a</m:t>
                  </m:r>
                  <m:r>
                    <m:t>x</m:t>
                  </m:r>
                </m:sub>
              </m:sSub>
            </m:oMath>
            <w:r>
              <w:t xml:space="preserve">) and also thermal sensitivity (i.e,</w:t>
            </w:r>
            <w:r>
              <w:t xml:space="preserve"> </w:t>
            </w:r>
            <m:oMath>
              <m:r>
                <m:t>z</m:t>
              </m:r>
            </m:oMath>
            <w:r>
              <w:t xml:space="preserve">, slope from TDT curves). Thermal sensitivity in</w:t>
            </w:r>
            <w:r>
              <w:t xml:space="preserve"> </w:t>
            </w:r>
            <w:r>
              <w:rPr>
                <w:i/>
                <w:iCs/>
              </w:rPr>
              <w:t xml:space="preserve">Drosophila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there is little genetic variation in plasticity, despite ample plasticity in response to warming. Thus adaptive evolution of plasticity is unlikely in this species</w:t>
            </w:r>
            <w:r>
              <w:t xml:space="preserve"> </w:t>
            </w:r>
            <w:r>
              <w:t xml:space="preserve">[96]</w:t>
            </w:r>
            <w:r>
              <w:t xml:space="preserve">. Beyond these examples, few studies have attempted to quantify genetic variation in plastic responses to warming effects including extreme heat events, and among those that have, evidence that such plasticity is adaptive remains elusive</w:t>
            </w:r>
            <w:r>
              <w:t xml:space="preserve"> </w:t>
            </w:r>
            <w:r>
              <w:t xml:space="preserve">[96,97]</w:t>
            </w:r>
            <w:r>
              <w:t xml:space="preserve">.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Extreme heat may threaten the services that natural and agricultural ecosystems provide to people</w:t>
            </w:r>
            <w:r>
              <w:t xml:space="preserve"> </w:t>
            </w:r>
            <w:r>
              <w:t xml:space="preserve">[98]</w:t>
            </w:r>
            <w:r>
              <w:t xml:space="preserve">.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w:t>
            </w:r>
            <w:r>
              <w:t xml:space="preserve"> </w:t>
            </w:r>
            <w:hyperlink w:anchor="fig-box3">
              <w:r>
                <w:rPr>
                  <w:rStyle w:val="Hyperlink"/>
                </w:rPr>
                <w:t xml:space="preserve">Figure 3</w:t>
              </w:r>
            </w:hyperlink>
            <w:r>
              <w:t xml:space="preserve">.</w:t>
            </w:r>
          </w:p>
          <w:p>
            <w:pPr>
              <w:pStyle w:val="BodyText"/>
            </w:pPr>
            <w:r>
              <w:t xml:space="preserve">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w:t>
            </w:r>
            <w:r>
              <w:t xml:space="preserve"> </w:t>
            </w:r>
            <w:r>
              <w:t xml:space="preserve">[99]</w:t>
            </w:r>
            <w:r>
              <w:t xml:space="preserve">. Thermal risks to ecosystems may also precipitate declines in individual wellbeing, and these consequences may accrue differently across regions and peoples</w:t>
            </w:r>
            <w:r>
              <w:t xml:space="preserve"> </w:t>
            </w:r>
            <w:r>
              <w:t xml:space="preserve">[100]</w:t>
            </w:r>
            <w:r>
              <w:t xml:space="preserve">. Many of these impacts and responses, however, are poorly understood.</w:t>
            </w:r>
          </w:p>
          <w:p>
            <w:pPr>
              <w:pStyle w:val="BodyText"/>
            </w:pPr>
            <w:r>
              <w:t xml:space="preserve">Thermal stress on ecosystems can affect not only local communities but also human dominated systems, such as cities, far away from affected ecosystems. Cities are intrinsically connected to and rely on other regions to maintain their functionality</w:t>
            </w:r>
            <w:r>
              <w:t xml:space="preserve"> </w:t>
            </w:r>
            <w:r>
              <w:t xml:space="preserve">[101,102]</w:t>
            </w:r>
            <w:r>
              <w:t xml:space="preserve">. For example, extreme heat stress may affect essential ecosystem services, such as food production</w:t>
            </w:r>
            <w:r>
              <w:t xml:space="preserve"> </w:t>
            </w:r>
            <w:r>
              <w:t xml:space="preserve">[103]</w:t>
            </w:r>
            <w:r>
              <w:t xml:space="preserve">, which can in turn affect price and access to food for people living in urban centers, with financial, economic and health consequences. The impacts on local agricultural communities could lead to loss of livelihood, pushing people in rural areas to migrate to cities</w:t>
            </w:r>
            <w:r>
              <w:t xml:space="preserve"> </w:t>
            </w:r>
            <w:r>
              <w:t xml:space="preserve">[104]</w:t>
            </w:r>
            <w:r>
              <w:t xml:space="preserve">.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w:t>
            </w:r>
            <w:r>
              <w:t xml:space="preserve"> </w:t>
            </w:r>
            <w:r>
              <w:t xml:space="preserve">[105]</w:t>
            </w:r>
            <w:r>
              <w:t xml:space="preserve">.</w:t>
            </w:r>
          </w:p>
          <w:p>
            <w:pPr>
              <w:pStyle w:val="BodyText"/>
            </w:pPr>
            <w:r>
              <w:t xml:space="preserve">Understanding the relationships between people and nature requires adopting a social-ecological systems perspective, where people and nature are interdependent and intertwined</w:t>
            </w:r>
            <w:r>
              <w:t xml:space="preserve"> </w:t>
            </w:r>
            <w:r>
              <w:t xml:space="preserve">[106]</w:t>
            </w:r>
            <w:r>
              <w:t xml:space="preserve">. Social-ecological models aim to capture social and natural systems along with their interactions</w:t>
            </w:r>
            <w:r>
              <w:t xml:space="preserve"> </w:t>
            </w:r>
            <w:r>
              <w:t xml:space="preserve">[107]</w:t>
            </w:r>
            <w:r>
              <w:t xml:space="preserve">. They are conventionally built using process-based modelling frameworks such as agent-based models, dynamical systems models or state-and-transition models</w:t>
            </w:r>
            <w:r>
              <w:t xml:space="preserve"> </w:t>
            </w:r>
            <w:r>
              <w:t xml:space="preserve">[108]</w:t>
            </w:r>
            <w:r>
              <w:t xml:space="preserve">. Process-based approaches are critical to understanding how emergent social-ecological phenomena develop</w:t>
            </w:r>
            <w:r>
              <w:t xml:space="preserve"> </w:t>
            </w:r>
            <w:r>
              <w:t xml:space="preserve">[109]</w:t>
            </w:r>
            <w:r>
              <w:t xml:space="preserve">,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w:t>
            </w:r>
            <w:r>
              <w:t xml:space="preserve"> </w:t>
            </w:r>
            <w:r>
              <w:t xml:space="preserve">‘lock-in’</w:t>
            </w:r>
            <w:r>
              <w:t xml:space="preserve"> </w:t>
            </w:r>
            <w:r>
              <w:t xml:space="preserve">from which it is difficult to escape</w:t>
            </w:r>
            <w:r>
              <w:t xml:space="preserve"> </w:t>
            </w:r>
            <w:r>
              <w:t xml:space="preserve">[110]</w:t>
            </w:r>
            <w:r>
              <w:t xml:space="preserve">.</w:t>
            </w:r>
          </w:p>
          <w:tbl>
            <w:tblPr>
              <w:tblStyle w:val="Table"/>
              <w:tblW w:type="pct" w:w="5000"/>
              <w:tblLayout w:type="fixed"/>
              <w:tblLook w:firstRow="0" w:lastRow="0" w:firstColumn="0" w:lastColumn="0" w:noHBand="0" w:noVBand="0" w:val="0000"/>
            </w:tblPr>
            <w:tblGrid>
              <w:gridCol w:w="7920"/>
            </w:tblGrid>
            <w:tr>
              <w:tc>
                <w:tcPr/>
                <w:bookmarkStart w:id="44" w:name="fig-box3"/>
                <w:p>
                  <w:pPr>
                    <w:pStyle w:val="Compact"/>
                    <w:jc w:val="center"/>
                  </w:pPr>
                  <w:r>
                    <w:drawing>
                      <wp:inline>
                        <wp:extent cx="6096000" cy="4876800"/>
                        <wp:effectExtent b="0" l="0" r="0" t="0"/>
                        <wp:docPr descr="" title="" id="42" name="Picture"/>
                        <a:graphic>
                          <a:graphicData uri="http://schemas.openxmlformats.org/drawingml/2006/picture">
                            <pic:pic>
                              <pic:nvPicPr>
                                <pic:cNvPr descr="ms_files/figure-docx/fig-box3-1.png" id="43" name="Picture"/>
                                <pic:cNvPicPr>
                                  <a:picLocks noChangeArrowheads="1" noChangeAspect="1"/>
                                </pic:cNvPicPr>
                              </pic:nvPicPr>
                              <pic:blipFill>
                                <a:blip r:embed="rId41"/>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Impacts of extreme heat on natural and production ecosystems will cascade to affect people, both locally and in distant human-dominated systems such as cities</w:t>
                  </w:r>
                  <w:r>
                    <w:t xml:space="preserve">. Decisions made by people in these communities in response to these changes will affect the ecosystems on which they rely, creating an interdependent social-ecological system. Created with BioRender.com.</w:t>
                  </w:r>
                </w:p>
                <w:bookmarkEnd w:id="44"/>
              </w:tc>
            </w:tr>
          </w:tbl>
        </w:tc>
      </w:tr>
    </w:tbl>
    <w:bookmarkEnd w:id="45"/>
    <w:bookmarkStart w:id="50"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[103]</w:t>
      </w:r>
      <w:r>
        <w:t xml:space="preserve">,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w:t>
      </w:r>
      <w:r>
        <w:t xml:space="preserve"> </w:t>
      </w:r>
      <w:hyperlink w:anchor="fig-2">
        <w:r>
          <w:rPr>
            <w:rStyle w:val="Hyperlink"/>
          </w:rPr>
          <w:t xml:space="preserve">Figure 4</w:t>
        </w:r>
      </w:hyperlink>
      <w:r>
        <w:t xml:space="preserve"> </w:t>
      </w:r>
      <w:r>
        <w:t xml:space="preserve">and Case Study 4 &amp; 5 in the</w:t>
      </w:r>
      <w:r>
        <w:t xml:space="preserve"> </w:t>
      </w:r>
      <w:hyperlink r:id="rId30">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[18]</w:t>
      </w:r>
      <w:r>
        <w:t xml:space="preserve">. Additionally, as our understanding of the mechanisms associated with heat tolerance improve, genetic tools, environmental manipulations and artificial breeding can be used to enhance thermal tolerance creating more resilience to extreme heat events</w:t>
      </w:r>
      <w:r>
        <w:t xml:space="preserve"> </w:t>
      </w:r>
      <w:r>
        <w:t xml:space="preserve">[e.g., 56]</w:t>
      </w:r>
      <w:r>
        <w:t xml:space="preserve">, although the extent to which resilience can be actively manipulated remains unknown in many species.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9" w:name="fig-2"/>
          <w:p>
            <w:pPr>
              <w:pStyle w:val="Compact"/>
              <w:jc w:val="center"/>
            </w:pPr>
            <w:r>
              <w:drawing>
                <wp:inline>
                  <wp:extent cx="6096000" cy="4876800"/>
                  <wp:effectExtent b="0" l="0" r="0" t="0"/>
                  <wp:docPr descr="" title="" id="47" name="Picture"/>
                  <a:graphic>
                    <a:graphicData uri="http://schemas.openxmlformats.org/drawingml/2006/picture">
                      <pic:pic>
                        <pic:nvPicPr>
                          <pic:cNvPr descr="ms_files/figure-docx/fig-2-1.png" id="48" name="Picture"/>
                          <pic:cNvPicPr>
                            <a:picLocks noChangeArrowheads="1" noChangeAspect="1"/>
                          </pic:cNvPicPr>
                        </pic:nvPicPr>
                        <pic:blipFill>
                          <a:blip r:embed="rId4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How a systems modelling approach to extreme heat can be used to inform solutions.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d</w:t>
            </w:r>
            <w:r>
              <w:rPr>
                <w:vertAlign w:val="superscript"/>
              </w:rPr>
              <w:t xml:space="preserve">-1</w:t>
            </w:r>
            <w:r>
              <w:t xml:space="preserve"> </w:t>
            </w:r>
            <w:r>
              <w:t xml:space="preserve">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3.63°C decrease in leaf temperature. Adding more water does not result in significant gains in cooling. Note, in this simple example, we have assumed vegetation properties to remain constant; by linking in a crop growth model we could also estimate how the additional water would affect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w:t>
            </w:r>
            <w:r>
              <w:t xml:space="preserve"> </w:t>
            </w:r>
            <m:oMath>
              <m:sSub>
                <m:e>
                  <m:r>
                    <m:t>r</m:t>
                  </m:r>
                </m:e>
                <m:sub>
                  <m:r>
                    <m:t>m</m:t>
                  </m:r>
                  <m:r>
                    <m:t>a</m:t>
                  </m:r>
                  <m:r>
                    <m:t>x</m:t>
                  </m:r>
                </m:sub>
              </m:sSub>
            </m:oMath>
            <w:r>
              <w: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d</w:t>
            </w:r>
            <w:r>
              <w:rPr>
                <w:vertAlign w:val="superscript"/>
              </w:rPr>
              <w:t xml:space="preserve">-1</w:t>
            </w:r>
            <w:r>
              <w:t xml:space="preserve"> </w:t>
            </w:r>
            <w:r>
              <w:t xml:space="preserve">each season during heatwave events, grasshopper populations would be suppressed over time whereas adding 2 mm d</w:t>
            </w:r>
            <w:r>
              <w:rPr>
                <w:vertAlign w:val="superscript"/>
              </w:rPr>
              <w:t xml:space="preserve">-1</w:t>
            </w:r>
            <w:r>
              <w:t xml:space="preserve"> </w:t>
            </w:r>
            <w:r>
              <w:t xml:space="preserve">results in grasshopper population growth, leading to heatwave associated outbreaks. Here, the optimal solution is thus 5 mm d</w:t>
            </w:r>
            <w:r>
              <w:rPr>
                <w:vertAlign w:val="superscript"/>
              </w:rPr>
              <w:t xml:space="preserve">-1</w:t>
            </w:r>
            <w:r>
              <w:t xml:space="preserve"> </w:t>
            </w:r>
            <w:r>
              <w:t xml:space="preserve">of water added to both 1) cool plants to protect them during a heat wave and 2) supress pest outbreaks. Created with BioRender.com.</w:t>
            </w:r>
          </w:p>
          <w:bookmarkEnd w:id="4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2"/>
              </w:numPr>
            </w:pPr>
            <w:r>
              <w:t xml:space="preserve">For data deficient species, can we use parameters of closely related species at predicting the impacts of extreme heat for species lacking data?</w:t>
            </w:r>
          </w:p>
          <w:p>
            <w:pPr>
              <w:pStyle w:val="Compact"/>
              <w:numPr>
                <w:ilvl w:val="0"/>
                <w:numId w:val="1002"/>
              </w:numPr>
            </w:pPr>
            <w:r>
              <w:t xml:space="preserve">How can we capture rapid and longer-term evolutionary responses of interacting species to extreme heat in a systems-modelling framework?</w:t>
            </w:r>
          </w:p>
          <w:p>
            <w:pPr>
              <w:pStyle w:val="Compact"/>
              <w:numPr>
                <w:ilvl w:val="0"/>
                <w:numId w:val="1002"/>
              </w:numPr>
            </w:pPr>
            <w:r>
              <w:t xml:space="preserve">Can we use thermal load sensitivity models to describe heat damage to plant tissues?</w:t>
            </w:r>
          </w:p>
          <w:p>
            <w:pPr>
              <w:pStyle w:val="Compact"/>
              <w:numPr>
                <w:ilvl w:val="0"/>
                <w:numId w:val="1002"/>
              </w:numPr>
            </w:pPr>
            <w:r>
              <w:t xml:space="preserve">For plant species, can we build and couple dynamic energy budget models to predict how extreme heat will impact tissue and life cycle dynamics more accurately?</w:t>
            </w:r>
          </w:p>
          <w:p>
            <w:pPr>
              <w:pStyle w:val="Compact"/>
              <w:numPr>
                <w:ilvl w:val="0"/>
                <w:numId w:val="1002"/>
              </w:numPr>
            </w:pPr>
            <w:r>
              <w:t xml:space="preserve">How do multiple stressors in anthropogenically modified environments interact with extreme heat to impact organisms, populations and communities?</w:t>
            </w:r>
          </w:p>
          <w:p>
            <w:pPr>
              <w:pStyle w:val="Compact"/>
              <w:numPr>
                <w:ilvl w:val="0"/>
                <w:numId w:val="1002"/>
              </w:numPr>
            </w:pPr>
            <w:r>
              <w:t xml:space="preserve">How will extreme heat impact species coexistence and functional trait diversity in natural and agricultural systems?</w:t>
            </w:r>
          </w:p>
          <w:p>
            <w:pPr>
              <w:pStyle w:val="Compact"/>
              <w:numPr>
                <w:ilvl w:val="0"/>
                <w:numId w:val="1002"/>
              </w:numPr>
            </w:pPr>
            <w:r>
              <w:t xml:space="preserve">How can we quantify microhabitat complexity to robustly and accurately capture the heat responses of animal, plants and microbes and their interactions?</w:t>
            </w:r>
          </w:p>
          <w:p>
            <w:pPr>
              <w:pStyle w:val="Compact"/>
              <w:numPr>
                <w:ilvl w:val="0"/>
                <w:numId w:val="1002"/>
              </w:numPr>
            </w:pPr>
            <w:r>
              <w:t xml:space="preserve">How will thermal stress to natural ecosystems and food production systems impact people?</w:t>
            </w:r>
          </w:p>
        </w:tc>
      </w:tr>
    </w:tbl>
    <w:bookmarkEnd w:id="50"/>
    <w:bookmarkStart w:id="51"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w:t>
      </w:r>
      <w:r>
        <w:t xml:space="preserve"> </w:t>
      </w:r>
      <w:hyperlink r:id="rId30">
        <w:r>
          <w:rPr>
            <w:rStyle w:val="Hyperlink"/>
            <w:i/>
            <w:iCs/>
          </w:rPr>
          <w:t xml:space="preserve">Supplementary Online Material</w:t>
        </w:r>
      </w:hyperlink>
      <w:r>
        <w:t xml:space="preserve">). While our case studies are necessarily hypothetical, they move us one step closer to implementing a systems modelling approach in real-world systems. However, many challenges and gaps remain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bookmarkEnd w:id="51"/>
    <w:bookmarkStart w:id="52" w:name="acknowledgements"/>
    <w:p>
      <w:pPr>
        <w:pStyle w:val="Heading1"/>
      </w:pPr>
      <w:r>
        <w:t xml:space="preserve">Acknowledgements</w:t>
      </w:r>
    </w:p>
    <w:p>
      <w:pPr>
        <w:pStyle w:val="FirstParagraph"/>
      </w:pPr>
      <w:r>
        <w:t xml:space="preserve">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bookmarkEnd w:id="52"/>
    <w:bookmarkStart w:id="53" w:name="supplement-and-code"/>
    <w:p>
      <w:pPr>
        <w:pStyle w:val="Heading1"/>
      </w:pPr>
      <w:r>
        <w:t xml:space="preserve">Supplement and Code</w:t>
      </w:r>
    </w:p>
    <w:p>
      <w:pPr>
        <w:pStyle w:val="FirstParagraph"/>
      </w:pPr>
      <w:r>
        <w:t xml:space="preserve">Link to the supplement can be found here: https://daniel1noble.github.io/thermal_tol_interactions/ with the full set of files being located on our GitHub repository at https://github.com/daniel1noble/thermal_tol_interactions.</w:t>
      </w:r>
    </w:p>
    <w:bookmarkEnd w:id="53"/>
    <w:bookmarkStart w:id="165" w:name="references"/>
    <w:p>
      <w:pPr>
        <w:pStyle w:val="Heading1"/>
      </w:pPr>
      <w:r>
        <w:t xml:space="preserve">References</w:t>
      </w:r>
    </w:p>
    <w:p>
      <w:pPr>
        <w:pStyle w:val="FirstParagraph"/>
      </w:pPr>
    </w:p>
    <w:bookmarkStart w:id="164" w:name="refs"/>
    <w:bookmarkStart w:id="54"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54"/>
    <w:bookmarkStart w:id="55"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55"/>
    <w:bookmarkStart w:id="56" w:name="ref-Evans2025"/>
    <w:p>
      <w:pPr>
        <w:pStyle w:val="Bibliography"/>
      </w:pPr>
      <w:r>
        <w:t xml:space="preserve">3.</w:t>
      </w:r>
      <w:r>
        <w:t xml:space="preserve"> </w:t>
      </w:r>
      <w:r>
        <w:t xml:space="preserve">	</w:t>
      </w:r>
      <w:r>
        <w:t xml:space="preserve">Evans, M.E.K.</w:t>
      </w:r>
      <w:r>
        <w:t xml:space="preserve"> </w:t>
      </w:r>
      <w:r>
        <w:rPr>
          <w:i/>
          <w:iCs/>
        </w:rPr>
        <w:t xml:space="preserve">et al.</w:t>
      </w:r>
      <w:r>
        <w:t xml:space="preserve"> </w:t>
      </w:r>
      <w:r>
        <w:t xml:space="preserve">(2025) Scaling plant responses to heat: From molecules to the biosphere.</w:t>
      </w:r>
      <w:r>
        <w:t xml:space="preserve"> </w:t>
      </w:r>
      <w:r>
        <w:rPr>
          <w:i/>
          <w:iCs/>
        </w:rPr>
        <w:t xml:space="preserve">Science</w:t>
      </w:r>
      <w:r>
        <w:t xml:space="preserve"> </w:t>
      </w:r>
      <w:r>
        <w:t xml:space="preserve">388, 1167–1173</w:t>
      </w:r>
    </w:p>
    <w:bookmarkEnd w:id="56"/>
    <w:bookmarkStart w:id="57"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7"/>
    <w:bookmarkStart w:id="58"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8"/>
    <w:bookmarkStart w:id="59"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9"/>
    <w:bookmarkStart w:id="60"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60"/>
    <w:bookmarkStart w:id="61" w:name="ref-Bernacchi2025"/>
    <w:p>
      <w:pPr>
        <w:pStyle w:val="Bibliography"/>
      </w:pPr>
      <w:r>
        <w:t xml:space="preserve">8.</w:t>
      </w:r>
      <w:r>
        <w:t xml:space="preserve"> </w:t>
      </w:r>
      <w:r>
        <w:t xml:space="preserve">	</w:t>
      </w:r>
      <w:r>
        <w:t xml:space="preserve">Bernacchi, C.J.</w:t>
      </w:r>
      <w:r>
        <w:t xml:space="preserve"> </w:t>
      </w:r>
      <w:r>
        <w:rPr>
          <w:i/>
          <w:iCs/>
        </w:rPr>
        <w:t xml:space="preserve">et al.</w:t>
      </w:r>
      <w:r>
        <w:t xml:space="preserve"> </w:t>
      </w:r>
      <w:r>
        <w:t xml:space="preserve">(2025) Safeguarding crop photosynthesis in a rapidly warming world.</w:t>
      </w:r>
      <w:r>
        <w:t xml:space="preserve"> </w:t>
      </w:r>
      <w:r>
        <w:rPr>
          <w:i/>
          <w:iCs/>
        </w:rPr>
        <w:t xml:space="preserve">Science</w:t>
      </w:r>
      <w:r>
        <w:t xml:space="preserve"> </w:t>
      </w:r>
      <w:r>
        <w:t xml:space="preserve">388, 1153–1160</w:t>
      </w:r>
    </w:p>
    <w:bookmarkEnd w:id="61"/>
    <w:bookmarkStart w:id="62" w:name="ref-Martinez2023"/>
    <w:p>
      <w:pPr>
        <w:pStyle w:val="Bibliography"/>
      </w:pPr>
      <w:r>
        <w:t xml:space="preserve">9.</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62"/>
    <w:bookmarkStart w:id="63" w:name="ref-Rezende2020"/>
    <w:p>
      <w:pPr>
        <w:pStyle w:val="Bibliography"/>
      </w:pPr>
      <w:r>
        <w:t xml:space="preserve">10.</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63"/>
    <w:bookmarkStart w:id="64" w:name="ref-Orsted2024"/>
    <w:p>
      <w:pPr>
        <w:pStyle w:val="Bibliography"/>
      </w:pPr>
      <w:r>
        <w:t xml:space="preserve">11.</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64"/>
    <w:bookmarkStart w:id="65" w:name="ref-Lopez-Goldar2024"/>
    <w:p>
      <w:pPr>
        <w:pStyle w:val="Bibliography"/>
      </w:pPr>
      <w:r>
        <w:t xml:space="preserve">12.</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65"/>
    <w:bookmarkStart w:id="66" w:name="ref-Trivedi2022"/>
    <w:p>
      <w:pPr>
        <w:pStyle w:val="Bibliography"/>
      </w:pPr>
      <w:r>
        <w:t xml:space="preserve">13.</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6"/>
    <w:bookmarkStart w:id="67" w:name="ref-Kooijman2010"/>
    <w:p>
      <w:pPr>
        <w:pStyle w:val="Bibliography"/>
      </w:pPr>
      <w:r>
        <w:t xml:space="preserve">14.</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7"/>
    <w:bookmarkStart w:id="68" w:name="ref-Kearney2009b"/>
    <w:p>
      <w:pPr>
        <w:pStyle w:val="Bibliography"/>
      </w:pPr>
      <w:r>
        <w:t xml:space="preserve">15.</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8"/>
    <w:bookmarkStart w:id="69" w:name="ref-Jusup2024"/>
    <w:p>
      <w:pPr>
        <w:pStyle w:val="Bibliography"/>
      </w:pPr>
      <w:r>
        <w:t xml:space="preserve">16.</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9"/>
    <w:bookmarkStart w:id="70" w:name="ref-Kearney2024"/>
    <w:p>
      <w:pPr>
        <w:pStyle w:val="Bibliography"/>
      </w:pPr>
      <w:r>
        <w:t xml:space="preserve">17.</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70"/>
    <w:bookmarkStart w:id="71" w:name="ref-Briscoe2023"/>
    <w:p>
      <w:pPr>
        <w:pStyle w:val="Bibliography"/>
      </w:pPr>
      <w:r>
        <w:t xml:space="preserve">18.</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71"/>
    <w:bookmarkStart w:id="72" w:name="ref-Rezende2014"/>
    <w:p>
      <w:pPr>
        <w:pStyle w:val="Bibliography"/>
      </w:pPr>
      <w:r>
        <w:t xml:space="preserve">19.</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72"/>
    <w:bookmarkStart w:id="73" w:name="ref-Arnold2025a"/>
    <w:p>
      <w:pPr>
        <w:pStyle w:val="Bibliography"/>
      </w:pPr>
      <w:r>
        <w:t xml:space="preserve">20.</w:t>
      </w:r>
      <w:r>
        <w:t xml:space="preserve"> </w:t>
      </w:r>
      <w:r>
        <w:t xml:space="preserve">	</w:t>
      </w:r>
      <w:r>
        <w:t xml:space="preserve">Arnold, P.A.</w:t>
      </w:r>
      <w:r>
        <w:t xml:space="preserve"> </w:t>
      </w:r>
      <w:r>
        <w:rPr>
          <w:i/>
          <w:iCs/>
        </w:rPr>
        <w:t xml:space="preserve">et al.</w:t>
      </w:r>
      <w:r>
        <w:t xml:space="preserve"> </w:t>
      </w:r>
      <w:r>
        <w:t xml:space="preserve">(2025) A framework for modelling thermal load sensitivity across life.</w:t>
      </w:r>
      <w:r>
        <w:t xml:space="preserve"> </w:t>
      </w:r>
      <w:r>
        <w:rPr>
          <w:i/>
          <w:iCs/>
        </w:rPr>
        <w:t xml:space="preserve">Glob. Chang. Biol.</w:t>
      </w:r>
      <w:r>
        <w:t xml:space="preserve"> </w:t>
      </w:r>
      <w:r>
        <w:t xml:space="preserve">31, e70315</w:t>
      </w:r>
    </w:p>
    <w:bookmarkEnd w:id="73"/>
    <w:bookmarkStart w:id="74" w:name="ref-Bimler2018"/>
    <w:p>
      <w:pPr>
        <w:pStyle w:val="Bibliography"/>
      </w:pPr>
      <w:r>
        <w:t xml:space="preserve">21.</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74"/>
    <w:bookmarkStart w:id="75" w:name="ref-Bowler2022"/>
    <w:p>
      <w:pPr>
        <w:pStyle w:val="Bibliography"/>
      </w:pPr>
      <w:r>
        <w:t xml:space="preserve">22.</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75"/>
    <w:bookmarkStart w:id="76" w:name="ref-Tushabe2025"/>
    <w:p>
      <w:pPr>
        <w:pStyle w:val="Bibliography"/>
      </w:pPr>
      <w:r>
        <w:t xml:space="preserve">23.</w:t>
      </w:r>
      <w:r>
        <w:t xml:space="preserve"> </w:t>
      </w:r>
      <w:r>
        <w:t xml:space="preserve">	</w:t>
      </w:r>
      <w:r>
        <w:t xml:space="preserve">Tushabe, D. and Rosbakh, S. (2025) Patterns and drivers of pollen temperature tolerance.</w:t>
      </w:r>
      <w:r>
        <w:t xml:space="preserve"> </w:t>
      </w:r>
      <w:r>
        <w:rPr>
          <w:i/>
          <w:iCs/>
        </w:rPr>
        <w:t xml:space="preserve">Plant Cell Environ.</w:t>
      </w:r>
      <w:r>
        <w:t xml:space="preserve"> </w:t>
      </w:r>
      <w:r>
        <w:t xml:space="preserve">48, 1366–1379</w:t>
      </w:r>
    </w:p>
    <w:bookmarkEnd w:id="76"/>
    <w:bookmarkStart w:id="77"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7"/>
    <w:bookmarkStart w:id="78"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8"/>
    <w:bookmarkStart w:id="79"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9"/>
    <w:bookmarkStart w:id="80"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80"/>
    <w:bookmarkStart w:id="81"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81"/>
    <w:bookmarkStart w:id="82"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82"/>
    <w:bookmarkStart w:id="83"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83"/>
    <w:bookmarkStart w:id="84" w:name="ref-Bonan2019"/>
    <w:p>
      <w:pPr>
        <w:pStyle w:val="Bibliography"/>
      </w:pPr>
      <w:r>
        <w:t xml:space="preserve">31.</w:t>
      </w:r>
      <w:r>
        <w:t xml:space="preserve"> </w:t>
      </w:r>
      <w:r>
        <w:t xml:space="preserve">	</w:t>
      </w:r>
      <w:r>
        <w:t xml:space="preserve">Bonan, G. (2019)</w:t>
      </w:r>
      <w:r>
        <w:t xml:space="preserve"> </w:t>
      </w:r>
      <w:r>
        <w:rPr>
          <w:i/>
          <w:iCs/>
        </w:rPr>
        <w:t xml:space="preserve">Climate change and terrestrial ecosystem modeling</w:t>
      </w:r>
      <w:r>
        <w:t xml:space="preserve">, Cambridge University Press</w:t>
      </w:r>
    </w:p>
    <w:bookmarkEnd w:id="84"/>
    <w:bookmarkStart w:id="85" w:name="ref-Argles2022"/>
    <w:p>
      <w:pPr>
        <w:pStyle w:val="Bibliography"/>
      </w:pPr>
      <w:r>
        <w:t xml:space="preserve">32.</w:t>
      </w:r>
      <w:r>
        <w:t xml:space="preserve"> </w:t>
      </w:r>
      <w:r>
        <w:t xml:space="preserve">	</w:t>
      </w:r>
      <w:r>
        <w:t xml:space="preserve">Argles, A.P.K.</w:t>
      </w:r>
      <w:r>
        <w:t xml:space="preserve"> </w:t>
      </w:r>
      <w:r>
        <w:rPr>
          <w:i/>
          <w:iCs/>
        </w:rPr>
        <w:t xml:space="preserve">et al.</w:t>
      </w:r>
      <w:r>
        <w:t xml:space="preserve"> </w:t>
      </w:r>
      <w:r>
        <w:t xml:space="preserve">(2022) Dynamic global vegetation models: Searching for the balance between demographic process representation and computational tractability.</w:t>
      </w:r>
      <w:r>
        <w:t xml:space="preserve"> </w:t>
      </w:r>
      <w:r>
        <w:rPr>
          <w:i/>
          <w:iCs/>
        </w:rPr>
        <w:t xml:space="preserve">PLOS Clim.</w:t>
      </w:r>
      <w:r>
        <w:t xml:space="preserve"> </w:t>
      </w:r>
      <w:r>
        <w:t xml:space="preserve">1, e0000068</w:t>
      </w:r>
    </w:p>
    <w:bookmarkEnd w:id="85"/>
    <w:bookmarkStart w:id="86"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86"/>
    <w:bookmarkStart w:id="87"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7"/>
    <w:bookmarkStart w:id="88"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8"/>
    <w:bookmarkStart w:id="89"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9"/>
    <w:bookmarkStart w:id="90"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90"/>
    <w:bookmarkStart w:id="91"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91"/>
    <w:bookmarkStart w:id="92"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92"/>
    <w:bookmarkStart w:id="93" w:name="ref-Drake2018"/>
    <w:p>
      <w:pPr>
        <w:pStyle w:val="Bibliography"/>
      </w:pPr>
      <w:r>
        <w:t xml:space="preserve">40.</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3"/>
    <w:bookmarkStart w:id="94" w:name="ref-Holzworth2018"/>
    <w:p>
      <w:pPr>
        <w:pStyle w:val="Bibliography"/>
      </w:pPr>
      <w:r>
        <w:t xml:space="preserve">41.</w:t>
      </w:r>
      <w:r>
        <w:t xml:space="preserve"> </w:t>
      </w:r>
      <w:r>
        <w:t xml:space="preserve">	</w:t>
      </w:r>
      <w:r>
        <w:t xml:space="preserve">Holzworth, D.</w:t>
      </w:r>
      <w:r>
        <w:t xml:space="preserve"> </w:t>
      </w:r>
      <w:r>
        <w:rPr>
          <w:i/>
          <w:iCs/>
        </w:rPr>
        <w:t xml:space="preserve">et al.</w:t>
      </w:r>
      <w:r>
        <w:t xml:space="preserve"> </w:t>
      </w:r>
      <w:r>
        <w:t xml:space="preserve">(2018)</w:t>
      </w:r>
      <w:r>
        <w:t xml:space="preserve"> </w:t>
      </w:r>
      <w:r>
        <w:t xml:space="preserve">APSIM</w:t>
      </w:r>
      <w:r>
        <w:t xml:space="preserve"> </w:t>
      </w:r>
      <w:r>
        <w:t xml:space="preserve">next generation: Overcoming challenges in modernising a farming systems model.</w:t>
      </w:r>
      <w:r>
        <w:t xml:space="preserve"> </w:t>
      </w:r>
      <w:r>
        <w:rPr>
          <w:i/>
          <w:iCs/>
        </w:rPr>
        <w:t xml:space="preserve">Environ. Model. Softw.</w:t>
      </w:r>
      <w:r>
        <w:t xml:space="preserve"> </w:t>
      </w:r>
      <w:r>
        <w:t xml:space="preserve">103, 43–51</w:t>
      </w:r>
    </w:p>
    <w:bookmarkEnd w:id="94"/>
    <w:bookmarkStart w:id="95" w:name="ref-Medlyn2011"/>
    <w:p>
      <w:pPr>
        <w:pStyle w:val="Bibliography"/>
      </w:pPr>
      <w:r>
        <w:t xml:space="preserve">42.</w:t>
      </w:r>
      <w:r>
        <w:t xml:space="preserve"> </w:t>
      </w:r>
      <w:r>
        <w:t xml:space="preserve">	</w:t>
      </w:r>
      <w:r>
        <w:t xml:space="preserve">Medlyn, B.E.</w:t>
      </w:r>
      <w:r>
        <w:t xml:space="preserve"> </w:t>
      </w:r>
      <w:r>
        <w:rPr>
          <w:i/>
          <w:iCs/>
        </w:rPr>
        <w:t xml:space="preserve">et al.</w:t>
      </w:r>
      <w:r>
        <w:t xml:space="preserve"> </w:t>
      </w:r>
      <w:r>
        <w:t xml:space="preserve">(2011) Reconciling the optimal and empirical approaches to modelling stomatal conductance:</w:t>
      </w:r>
      <w:r>
        <w:t xml:space="preserve"> </w:t>
      </w:r>
      <w:r>
        <w:t xml:space="preserve">RECONCILING</w:t>
      </w:r>
      <w:r>
        <w:t xml:space="preserve"> </w:t>
      </w:r>
      <w:r>
        <w:t xml:space="preserve">OPTIMAL</w:t>
      </w:r>
      <w:r>
        <w:t xml:space="preserve"> </w:t>
      </w:r>
      <w:r>
        <w:t xml:space="preserve">AND</w:t>
      </w:r>
      <w:r>
        <w:t xml:space="preserve"> </w:t>
      </w:r>
      <w:r>
        <w:t xml:space="preserve">EMPIRICAL</w:t>
      </w:r>
      <w:r>
        <w:t xml:space="preserve"> </w:t>
      </w:r>
      <w:r>
        <w:t xml:space="preserve">STOMATAL</w:t>
      </w:r>
      <w:r>
        <w:t xml:space="preserve"> </w:t>
      </w:r>
      <w:r>
        <w:t xml:space="preserve">MODELS</w:t>
      </w:r>
      <w:r>
        <w:t xml:space="preserve">.</w:t>
      </w:r>
      <w:r>
        <w:t xml:space="preserve"> </w:t>
      </w:r>
      <w:r>
        <w:rPr>
          <w:i/>
          <w:iCs/>
        </w:rPr>
        <w:t xml:space="preserve">Glob. Chang. Biol.</w:t>
      </w:r>
      <w:r>
        <w:t xml:space="preserve"> </w:t>
      </w:r>
      <w:r>
        <w:t xml:space="preserve">17, 2134–2144</w:t>
      </w:r>
    </w:p>
    <w:bookmarkEnd w:id="95"/>
    <w:bookmarkStart w:id="96" w:name="ref-Porter1973"/>
    <w:p>
      <w:pPr>
        <w:pStyle w:val="Bibliography"/>
      </w:pPr>
      <w:r>
        <w:t xml:space="preserve">43.</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96"/>
    <w:bookmarkStart w:id="97" w:name="ref-Porter1969"/>
    <w:p>
      <w:pPr>
        <w:pStyle w:val="Bibliography"/>
      </w:pPr>
      <w:r>
        <w:t xml:space="preserve">44.</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97"/>
    <w:bookmarkStart w:id="98" w:name="ref-Riddell2017"/>
    <w:p>
      <w:pPr>
        <w:pStyle w:val="Bibliography"/>
      </w:pPr>
      <w:r>
        <w:t xml:space="preserve">45.</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98"/>
    <w:bookmarkStart w:id="99" w:name="ref-Duursma2015"/>
    <w:p>
      <w:pPr>
        <w:pStyle w:val="Bibliography"/>
      </w:pPr>
      <w:r>
        <w:t xml:space="preserve">46.</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9"/>
    <w:bookmarkStart w:id="100" w:name="ref-Briscoe2022"/>
    <w:p>
      <w:pPr>
        <w:pStyle w:val="Bibliography"/>
      </w:pPr>
      <w:r>
        <w:t xml:space="preserve">47.</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100"/>
    <w:bookmarkStart w:id="101" w:name="ref-Loughran2020"/>
    <w:p>
      <w:pPr>
        <w:pStyle w:val="Bibliography"/>
      </w:pPr>
      <w:r>
        <w:t xml:space="preserve">48.</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101"/>
    <w:bookmarkStart w:id="102" w:name="ref-Sharpe2022"/>
    <w:p>
      <w:pPr>
        <w:pStyle w:val="Bibliography"/>
      </w:pPr>
      <w:r>
        <w:t xml:space="preserve">49.</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102"/>
    <w:bookmarkStart w:id="103"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103"/>
    <w:bookmarkStart w:id="104"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104"/>
    <w:bookmarkStart w:id="105"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105"/>
    <w:bookmarkStart w:id="106"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106"/>
    <w:bookmarkStart w:id="107"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107"/>
    <w:bookmarkStart w:id="108"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8"/>
    <w:bookmarkStart w:id="109" w:name="ref-Marquez2007"/>
    <w:p>
      <w:pPr>
        <w:pStyle w:val="Bibliography"/>
      </w:pPr>
      <w:r>
        <w:t xml:space="preserve">56.</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9"/>
    <w:bookmarkStart w:id="110" w:name="ref-Dastogeer2022"/>
    <w:p>
      <w:pPr>
        <w:pStyle w:val="Bibliography"/>
      </w:pPr>
      <w:r>
        <w:t xml:space="preserve">57.</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10"/>
    <w:bookmarkStart w:id="111" w:name="ref-Hoang2019"/>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11"/>
    <w:bookmarkStart w:id="112" w:name="ref-Marchin2022"/>
    <w:p>
      <w:pPr>
        <w:pStyle w:val="Bibliography"/>
      </w:pPr>
      <w:r>
        <w:t xml:space="preserve">59.</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12"/>
    <w:bookmarkStart w:id="113" w:name="ref-Li2025"/>
    <w:p>
      <w:pPr>
        <w:pStyle w:val="Bibliography"/>
      </w:pPr>
      <w:r>
        <w:t xml:space="preserve">60.</w:t>
      </w:r>
      <w:r>
        <w:t xml:space="preserve"> </w:t>
      </w:r>
      <w:r>
        <w:t xml:space="preserve">	</w:t>
      </w:r>
      <w:r>
        <w:t xml:space="preserve">Li, J.</w:t>
      </w:r>
      <w:r>
        <w:t xml:space="preserve"> </w:t>
      </w:r>
      <w:r>
        <w:rPr>
          <w:i/>
          <w:iCs/>
        </w:rPr>
        <w:t xml:space="preserve">et al.</w:t>
      </w:r>
      <w:r>
        <w:t xml:space="preserve"> </w:t>
      </w:r>
      <w:r>
        <w:t xml:space="preserve">(2025) Drought-induced plant microbiome and metabolic enrichments improve drought resistance.</w:t>
      </w:r>
      <w:r>
        <w:t xml:space="preserve"> </w:t>
      </w:r>
      <w:r>
        <w:rPr>
          <w:i/>
          <w:iCs/>
        </w:rPr>
        <w:t xml:space="preserve">Cell Host Microbe</w:t>
      </w:r>
      <w:r>
        <w:t xml:space="preserve"> </w:t>
      </w:r>
      <w:r>
        <w:t xml:space="preserve">33, 882–900.e7</w:t>
      </w:r>
    </w:p>
    <w:bookmarkEnd w:id="113"/>
    <w:bookmarkStart w:id="114" w:name="ref-Youngblood2025"/>
    <w:p>
      <w:pPr>
        <w:pStyle w:val="Bibliography"/>
      </w:pPr>
      <w:r>
        <w:t xml:space="preserve">61.</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14"/>
    <w:bookmarkStart w:id="115" w:name="ref-Mengutay2013"/>
    <w:p>
      <w:pPr>
        <w:pStyle w:val="Bibliography"/>
      </w:pPr>
      <w:r>
        <w:t xml:space="preserve">62.</w:t>
      </w:r>
      <w:r>
        <w:t xml:space="preserve"> </w:t>
      </w:r>
      <w:r>
        <w:t xml:space="preserve">	</w:t>
      </w:r>
      <w:r>
        <w:t xml:space="preserve">Mengutay, M.</w:t>
      </w:r>
      <w:r>
        <w:t xml:space="preserve"> </w:t>
      </w:r>
      <w:r>
        <w:rPr>
          <w:i/>
          <w:iCs/>
        </w:rPr>
        <w:t xml:space="preserve">et al.</w:t>
      </w:r>
      <w:r>
        <w:t xml:space="preserve"> </w:t>
      </w:r>
      <w:r>
        <w:t xml:space="preserve">(2013) Adequate magnesium nutrition mitigates adverse effects of heat stress on maize and wheat.</w:t>
      </w:r>
      <w:r>
        <w:t xml:space="preserve"> </w:t>
      </w:r>
      <w:r>
        <w:rPr>
          <w:i/>
          <w:iCs/>
        </w:rPr>
        <w:t xml:space="preserve">Plant Soil</w:t>
      </w:r>
      <w:r>
        <w:t xml:space="preserve"> </w:t>
      </w:r>
      <w:r>
        <w:t xml:space="preserve">368, 57–72</w:t>
      </w:r>
    </w:p>
    <w:bookmarkEnd w:id="115"/>
    <w:bookmarkStart w:id="116" w:name="ref-Andersen2010"/>
    <w:p>
      <w:pPr>
        <w:pStyle w:val="Bibliography"/>
      </w:pPr>
      <w:r>
        <w:t xml:space="preserve">63.</w:t>
      </w:r>
      <w:r>
        <w:t xml:space="preserve"> </w:t>
      </w:r>
      <w:r>
        <w:t xml:space="preserve">	</w:t>
      </w:r>
      <w:r>
        <w:t xml:space="preserve">Andersen, L.H.</w:t>
      </w:r>
      <w:r>
        <w:t xml:space="preserve"> </w:t>
      </w:r>
      <w:r>
        <w:rPr>
          <w:i/>
          <w:iCs/>
        </w:rPr>
        <w:t xml:space="preserve">et al.</w:t>
      </w:r>
      <w:r>
        <w:t xml:space="preserve"> </w:t>
      </w:r>
      <w:r>
        <w:t xml:space="preserve">(2010) Protein and carbohydrate composition of larval food affects tolerance to thermal stress and desiccation in adult drosophila melanogaster.</w:t>
      </w:r>
      <w:r>
        <w:t xml:space="preserve"> </w:t>
      </w:r>
      <w:r>
        <w:rPr>
          <w:i/>
          <w:iCs/>
        </w:rPr>
        <w:t xml:space="preserve">J. Insect Physiol.</w:t>
      </w:r>
      <w:r>
        <w:t xml:space="preserve"> </w:t>
      </w:r>
      <w:r>
        <w:t xml:space="preserve">56, 336–340</w:t>
      </w:r>
    </w:p>
    <w:bookmarkEnd w:id="116"/>
    <w:bookmarkStart w:id="117"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7"/>
    <w:bookmarkStart w:id="118"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8"/>
    <w:bookmarkStart w:id="119" w:name="ref-Kearney2013"/>
    <w:p>
      <w:pPr>
        <w:pStyle w:val="Bibliography"/>
      </w:pPr>
      <w:r>
        <w:t xml:space="preserve">66.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9"/>
    <w:bookmarkStart w:id="120" w:name="ref-Kearney2010"/>
    <w:p>
      <w:pPr>
        <w:pStyle w:val="Bibliography"/>
      </w:pPr>
      <w:r>
        <w:t xml:space="preserve">67.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20"/>
    <w:bookmarkStart w:id="121"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21"/>
    <w:bookmarkStart w:id="122"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22"/>
    <w:bookmarkStart w:id="123"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23"/>
    <w:bookmarkStart w:id="124"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4"/>
    <w:bookmarkStart w:id="125" w:name="ref-Kumarathunge2019"/>
    <w:p>
      <w:pPr>
        <w:pStyle w:val="Bibliography"/>
      </w:pPr>
      <w:r>
        <w:t xml:space="preserve">72.</w:t>
      </w:r>
      <w:r>
        <w:t xml:space="preserve"> </w:t>
      </w:r>
      <w:r>
        <w:t xml:space="preserve">	</w:t>
      </w:r>
      <w:r>
        <w:t xml:space="preserve">Kumarathunge, D.P.</w:t>
      </w:r>
      <w:r>
        <w:t xml:space="preserve"> </w:t>
      </w:r>
      <w:r>
        <w:rPr>
          <w:i/>
          <w:iCs/>
        </w:rPr>
        <w:t xml:space="preserve">et al.</w:t>
      </w:r>
      <w:r>
        <w:t xml:space="preserve"> </w:t>
      </w:r>
      <w:r>
        <w:t xml:space="preserve">(2019) Acclimation and adaptation components of the temperature dependence of plant photosynthesis at the global scale.</w:t>
      </w:r>
      <w:r>
        <w:t xml:space="preserve"> </w:t>
      </w:r>
      <w:r>
        <w:rPr>
          <w:i/>
          <w:iCs/>
        </w:rPr>
        <w:t xml:space="preserve">New Phytol.</w:t>
      </w:r>
      <w:r>
        <w:t xml:space="preserve"> </w:t>
      </w:r>
      <w:r>
        <w:t xml:space="preserve">222, 768–784</w:t>
      </w:r>
    </w:p>
    <w:bookmarkEnd w:id="125"/>
    <w:bookmarkStart w:id="126" w:name="ref-De_Kauwe2020"/>
    <w:p>
      <w:pPr>
        <w:pStyle w:val="Bibliography"/>
      </w:pPr>
      <w:r>
        <w:t xml:space="preserve">73.</w:t>
      </w:r>
      <w:r>
        <w:t xml:space="preserve"> </w:t>
      </w:r>
      <w:r>
        <w:t xml:space="preserve">	</w:t>
      </w:r>
      <w:r>
        <w:t xml:space="preserve">De Kauwe, M.G.</w:t>
      </w:r>
      <w:r>
        <w:t xml:space="preserve"> </w:t>
      </w:r>
      <w:r>
        <w:rPr>
          <w:i/>
          <w:iCs/>
        </w:rPr>
        <w:t xml:space="preserve">et al.</w:t>
      </w:r>
      <w:r>
        <w:t xml:space="preserve"> </w:t>
      </w:r>
      <w:r>
        <w:t xml:space="preserve">(2020) Identifying areas at risk of drought-induced tree mortality across south-eastern australia.</w:t>
      </w:r>
      <w:r>
        <w:t xml:space="preserve"> </w:t>
      </w:r>
      <w:r>
        <w:rPr>
          <w:i/>
          <w:iCs/>
        </w:rPr>
        <w:t xml:space="preserve">Glob. Chang. Biol.</w:t>
      </w:r>
      <w:r>
        <w:t xml:space="preserve"> </w:t>
      </w:r>
      <w:r>
        <w:t xml:space="preserve">26, 5716–5733</w:t>
      </w:r>
    </w:p>
    <w:bookmarkEnd w:id="126"/>
    <w:bookmarkStart w:id="127"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27"/>
    <w:bookmarkStart w:id="128"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8"/>
    <w:bookmarkStart w:id="129"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9"/>
    <w:bookmarkStart w:id="130" w:name="ref-Mayfield2017"/>
    <w:p>
      <w:pPr>
        <w:pStyle w:val="Bibliography"/>
      </w:pPr>
      <w:r>
        <w:t xml:space="preserve">77.</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30"/>
    <w:bookmarkStart w:id="131" w:name="ref-Buche2025"/>
    <w:p>
      <w:pPr>
        <w:pStyle w:val="Bibliography"/>
      </w:pPr>
      <w:r>
        <w:t xml:space="preserve">78.</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31"/>
    <w:bookmarkStart w:id="132" w:name="ref-Bimler2024"/>
    <w:p>
      <w:pPr>
        <w:pStyle w:val="Bibliography"/>
      </w:pPr>
      <w:r>
        <w:t xml:space="preserve">79.</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32"/>
    <w:bookmarkStart w:id="133"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33"/>
    <w:bookmarkStart w:id="134"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34"/>
    <w:bookmarkStart w:id="135"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35"/>
    <w:bookmarkStart w:id="136" w:name="ref-Hoffmann2011"/>
    <w:p>
      <w:pPr>
        <w:pStyle w:val="Bibliography"/>
      </w:pPr>
      <w:r>
        <w:t xml:space="preserve">83.</w:t>
      </w:r>
      <w:r>
        <w:t xml:space="preserve"> </w:t>
      </w:r>
      <w:r>
        <w:t xml:space="preserve">	</w:t>
      </w:r>
      <w:r>
        <w:t xml:space="preserve">Hoffmann, A.A. and Sgrò, C.M. (2011) Climate change and evolutionary adaptation. 470, 479–485</w:t>
      </w:r>
    </w:p>
    <w:bookmarkEnd w:id="136"/>
    <w:bookmarkStart w:id="137"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37"/>
    <w:bookmarkStart w:id="138"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8"/>
    <w:bookmarkStart w:id="139"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9"/>
    <w:bookmarkStart w:id="140"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40"/>
    <w:bookmarkStart w:id="141"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41"/>
    <w:bookmarkStart w:id="142"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42"/>
    <w:bookmarkStart w:id="143"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43"/>
    <w:bookmarkStart w:id="144"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44"/>
    <w:bookmarkStart w:id="145"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5"/>
    <w:bookmarkStart w:id="146"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6"/>
    <w:bookmarkStart w:id="147"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7"/>
    <w:bookmarkStart w:id="148"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8"/>
    <w:bookmarkStart w:id="149"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9"/>
    <w:bookmarkStart w:id="150"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50"/>
    <w:bookmarkStart w:id="151"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51"/>
    <w:bookmarkStart w:id="152"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52"/>
    <w:bookmarkStart w:id="153" w:name="ref-Leviston2018"/>
    <w:p>
      <w:pPr>
        <w:pStyle w:val="Bibliography"/>
      </w:pPr>
      <w:r>
        <w:t xml:space="preserve">100.</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53"/>
    <w:bookmarkStart w:id="154" w:name="ref-Bai2016"/>
    <w:p>
      <w:pPr>
        <w:pStyle w:val="Bibliography"/>
      </w:pPr>
      <w:r>
        <w:t xml:space="preserve">101.</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54"/>
    <w:bookmarkStart w:id="155" w:name="ref-Grimm2008"/>
    <w:p>
      <w:pPr>
        <w:pStyle w:val="Bibliography"/>
      </w:pPr>
      <w:r>
        <w:t xml:space="preserve">102.</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55"/>
    <w:bookmarkStart w:id="156" w:name="ref-Shekhawat2022"/>
    <w:p>
      <w:pPr>
        <w:pStyle w:val="Bibliography"/>
      </w:pPr>
      <w:r>
        <w:t xml:space="preserve">103.</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56"/>
    <w:bookmarkStart w:id="157" w:name="ref-Black2011"/>
    <w:p>
      <w:pPr>
        <w:pStyle w:val="Bibliography"/>
      </w:pPr>
      <w:r>
        <w:t xml:space="preserve">104.</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7"/>
    <w:bookmarkStart w:id="158" w:name="ref-Neil_Adger1999"/>
    <w:p>
      <w:pPr>
        <w:pStyle w:val="Bibliography"/>
      </w:pPr>
      <w:r>
        <w:t xml:space="preserve">105.</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8"/>
    <w:bookmarkStart w:id="159" w:name="ref-Folke2016"/>
    <w:p>
      <w:pPr>
        <w:pStyle w:val="Bibliography"/>
      </w:pPr>
      <w:r>
        <w:t xml:space="preserve">106.</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9"/>
    <w:bookmarkStart w:id="160" w:name="ref-Schluter2012"/>
    <w:p>
      <w:pPr>
        <w:pStyle w:val="Bibliography"/>
      </w:pPr>
      <w:r>
        <w:t xml:space="preserve">107.</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60"/>
    <w:bookmarkStart w:id="161" w:name="ref-Biggs2021"/>
    <w:p>
      <w:pPr>
        <w:pStyle w:val="Bibliography"/>
      </w:pPr>
      <w:r>
        <w:t xml:space="preserve">108.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61"/>
    <w:bookmarkStart w:id="162" w:name="ref-Brown2021"/>
    <w:p>
      <w:pPr>
        <w:pStyle w:val="Bibliography"/>
      </w:pPr>
      <w:r>
        <w:t xml:space="preserve">109.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62"/>
    <w:bookmarkStart w:id="163" w:name="ref-Wise2014"/>
    <w:p>
      <w:pPr>
        <w:pStyle w:val="Bibliography"/>
      </w:pPr>
      <w:r>
        <w:t xml:space="preserve">110.</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63"/>
    <w:bookmarkEnd w:id="164"/>
    <w:p>
      <w:pPr>
        <w:pStyle w:val="BodyText"/>
      </w:pPr>
    </w:p>
    <w:bookmarkEnd w:id="165"/>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30"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30"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2025-07-17T10:56:00Z</dcterms:created>
  <dcterms:modified xsi:type="dcterms:W3CDTF">2025-07-17T10:56:00Z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