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4</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temperatures experienced by organisms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 in response to extreme heat.</w:t>
      </w:r>
    </w:p>
    <w:bookmarkEnd w:id="21"/>
    <w:bookmarkStart w:id="26" w:name="X2b97b971c201f11017c10c1d6e4dbfd69043166"/>
    <w:p>
      <w:pPr>
        <w:pStyle w:val="Heading1"/>
      </w:pPr>
      <w:r>
        <w:t xml:space="preserve">A systems-modelling approach to modelling biotic impacts of heatwaves</w:t>
      </w:r>
    </w:p>
    <w:p>
      <w:pPr>
        <w:pStyle w:val="FirstParagraph"/>
      </w:pPr>
      <w:hyperlink w:anchor="fig-sys">
        <w:r>
          <w:rPr>
            <w:rStyle w:val="Hyperlink"/>
          </w:rPr>
          <w:t xml:space="preserve">Figure 1</w:t>
        </w:r>
      </w:hyperlink>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characterise the proximal thermal environments – the</w:t>
      </w:r>
      <w:r>
        <w:t xml:space="preserve"> </w:t>
      </w:r>
      <w:r>
        <w:t xml:space="preserve">‘microclimates’</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behavioural responses, including the processes of thermal damage and repair, and how individuals mitigate their exposure to extreme heat through habitat selection and other avoidance strategies.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in our Opinion integrates climate/biophysical models to predict temperatures species experience in their respective microhabitats. Temperatures experienced by organisms provide inputs for damage-repair and dynamic energy budget models that integrate temperature exposure with explicit physiological models that simulate development, behaviour,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growth rate/ biomass accumulation, survival and reproduction) from physiological models of individual organisms can then be integrated into population and community ecology models to predict population growth and community interactions for a given system change. We show how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p>
      <w:pPr>
        <w:pStyle w:val="FirstParagraph"/>
      </w:pPr>
      <w:r>
        <w:t xml:space="preserve">An understanding of heatwave impacts on biology requires environmental inputs about weather conditions. These data may come from weather stations or models. Weather station observations of air temperature, radiation, wind speed, cloud cover and humidity are readily available as raw timeseries from the stations themselves, and as interpolated products such as WorldClim</w:t>
      </w:r>
      <w:r>
        <w:t xml:space="preserve"> </w:t>
      </w:r>
      <w:r>
        <w:t xml:space="preserve">[24]</w:t>
      </w:r>
      <w:r>
        <w:t xml:space="preserve">.</w:t>
      </w:r>
    </w:p>
    <w:p>
      <w:pPr>
        <w:pStyle w:val="BodyText"/>
      </w:pPr>
      <w:r>
        <w:t xml:space="preserve">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w:t>
      </w:r>
      <w:r>
        <w:rPr>
          <w:b/>
          <w:bCs/>
        </w:rPr>
        <w:t xml:space="preserve">Belinda – add something more here?</w:t>
      </w:r>
      <w:r>
        <w:t xml:space="preserve">). Historical analyses are facilitated by GCMs via</w:t>
      </w:r>
      <w:r>
        <w:t xml:space="preserve"> </w:t>
      </w:r>
      <w:r>
        <w:t xml:space="preserve">‘reanalysis’</w:t>
      </w:r>
      <w:r>
        <w:t xml:space="preserve"> </w:t>
      </w:r>
      <w:r>
        <w:t xml:space="preserve">datasets produced by calibrating GCMs with observations to produce continuous gridded weather data, including</w:t>
      </w:r>
      <w:r>
        <w:t xml:space="preserve"> </w:t>
      </w:r>
      <w:r>
        <w:t xml:space="preserve">‘surface’</w:t>
      </w:r>
      <w:r>
        <w:t xml:space="preserve"> </w:t>
      </w:r>
      <w:r>
        <w:t xml:space="preserve">temperatures, soil temperatures and profiles of temperature, pressure, wind speed and humidity at different levels in the atmosphere</w:t>
      </w:r>
      <w:r>
        <w:t xml:space="preserve"> </w:t>
      </w:r>
      <w:r>
        <w:t xml:space="preserve">[25–29]</w:t>
      </w:r>
      <w:r>
        <w:t xml:space="preserve">. The most state-of-the-art of these are ERA5 and ERA5-Land, hourly products at ~31km and ~9km resolutions, respectively.</w:t>
      </w:r>
    </w:p>
    <w:p>
      <w:pPr>
        <w:pStyle w:val="BodyText"/>
      </w:pPr>
      <w:r>
        <w:t xml:space="preserve">Historically, GCMs were – coded in fast but inflexible languages like Fortran and C. The emergence of the Julia language</w:t>
      </w:r>
      <w:r>
        <w:t xml:space="preserve"> </w:t>
      </w:r>
      <w:r>
        <w:t xml:space="preserve">[30]</w:t>
      </w:r>
      <w:r>
        <w:t xml:space="preserve"> </w:t>
      </w:r>
      <w:r>
        <w:t xml:space="preserve">for scientific computing has created an opportunity to rebuild climate models in a more modular manner, allowing easier interfacing between discipline-specific models and easier integration of the massive emerging power of AI for data assimilation and machine learning</w:t>
      </w:r>
      <w:r>
        <w:t xml:space="preserve"> </w:t>
      </w:r>
      <w:r>
        <w:t xml:space="preserve">[31]</w:t>
      </w:r>
      <w:r>
        <w:t xml:space="preserve">.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bookmarkEnd w:id="27"/>
    <w:bookmarkStart w:id="29" w:name="X4da05dea4acdb2054c1e59c2f12913febac8a0c"/>
    <w:p>
      <w:pPr>
        <w:pStyle w:val="Heading1"/>
      </w:pPr>
      <w:r>
        <w:t xml:space="preserve">From weather to microclimates: predicting community wide exposure to extreme heat</w:t>
      </w:r>
    </w:p>
    <w:p>
      <w:pPr>
        <w:pStyle w:val="FirstParagraph"/>
      </w:pPr>
      <w:r>
        <w:t xml:space="preserve">Ultimately, we need to know how an extreme weather event is experienced by different members of a community. This can vary widely; when the air temperature at a weather station is 50°C, an organism a metre below the surface may be 25 °C cooler, where soil temperatures are tracking the mean monthly air temperature (</w:t>
      </w:r>
      <w:hyperlink w:anchor="fig-sys">
        <w:r>
          <w:rPr>
            <w:rStyle w:val="Hyperlink"/>
          </w:rPr>
          <w:t xml:space="preserve">Figure 1</w:t>
        </w:r>
      </w:hyperlink>
      <w:r>
        <w:t xml:space="preserve">). Exactly how much the soil lags and damps the atmospheric dynamics depends intimately on the soil properties, especially its moisture level. Conditions above ground depend on the nature of the vegetation, especially through shading, changes in wind profiles and evaporative cooling. Vegetation and soil also interact strongly; past soil moisture regimes and heat wave events may have led to leaf loss and hence increased radiation exposure of the soil surface, while stomatal behaviour alters transpiration and hence soil moisture conditions. Thus, there are strong</w:t>
      </w:r>
      <w:r>
        <w:t xml:space="preserve"> </w:t>
      </w:r>
      <w:r>
        <w:t xml:space="preserve">‘memory’</w:t>
      </w:r>
      <w:r>
        <w:t xml:space="preserve"> </w:t>
      </w:r>
      <w:r>
        <w:t xml:space="preserve">effects of past weather conditions that determine how a given heat wave manifests through a habitat, so the same atmospheric heat wave conditions can have different implications for microclimate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pPr>
        <w:pStyle w:val="BodyText"/>
      </w:pPr>
      <w:r>
        <w:t xml:space="preserve">To some extent, the GCMs described in the previous section have these dynamics built into them via modules called</w:t>
      </w:r>
      <w:r>
        <w:t xml:space="preserve"> </w:t>
      </w:r>
      <w:r>
        <w:t xml:space="preserve">‘land-surface models’</w:t>
      </w:r>
      <w:r>
        <w:t xml:space="preserve"> </w:t>
      </w:r>
      <w:r>
        <w:t xml:space="preserve">(LSMs),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w:t>
      </w:r>
      <w:r>
        <w:t xml:space="preserve"> </w:t>
      </w:r>
      <w:r>
        <w:t xml:space="preserve">[e.g. 32]</w:t>
      </w:r>
      <w:r>
        <w:t xml:space="preserve">.</w:t>
      </w:r>
    </w:p>
    <w:p>
      <w:pPr>
        <w:pStyle w:val="BodyText"/>
      </w:pPr>
      <w:r>
        <w:t xml:space="preserve">The primary role of LSMs is to better understand the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w:t>
      </w:r>
      <w:r>
        <w:t xml:space="preserve"> </w:t>
      </w:r>
      <w:r>
        <w:t xml:space="preserve">[33–39]</w:t>
      </w:r>
      <w:r>
        <w:t xml:space="preserve">. Our</w:t>
      </w:r>
      <w:r>
        <w:t xml:space="preserve"> </w:t>
      </w:r>
      <w:hyperlink r:id="rId28">
        <w:r>
          <w:rPr>
            <w:rStyle w:val="Hyperlink"/>
            <w:i/>
            <w:iCs/>
          </w:rPr>
          <w:t xml:space="preserve">Supplementary Online Material</w:t>
        </w:r>
      </w:hyperlink>
      <w:r>
        <w:t xml:space="preserve"> </w:t>
      </w:r>
      <w:r>
        <w:t xml:space="preserve">provides a tutorial on how to use the</w:t>
      </w:r>
      <w:r>
        <w:t xml:space="preserve"> </w:t>
      </w:r>
      <w:r>
        <w:rPr>
          <w:i/>
          <w:iCs/>
        </w:rPr>
        <w:t xml:space="preserve">NicheMapR</w:t>
      </w:r>
      <w:r>
        <w:t xml:space="preserve"> </w:t>
      </w:r>
      <w:r>
        <w:t xml:space="preserve">model</w:t>
      </w:r>
      <w:r>
        <w:t xml:space="preserve"> </w:t>
      </w:r>
      <w:r>
        <w:t xml:space="preserve">[33,35]</w:t>
      </w:r>
      <w:r>
        <w:t xml:space="preserve"> </w:t>
      </w:r>
      <w:r>
        <w:t xml:space="preserve">to predict microclimates from climate data.</w:t>
      </w:r>
    </w:p>
    <w:p>
      <w:pPr>
        <w:pStyle w:val="BodyText"/>
      </w:pPr>
      <w:r>
        <w:t xml:space="preserve">Opportunities lie in more closely coupling the dynamics of the atmosphere and vegetation with microclimate models. In particular, responses of plant water use to heatwaves can amplify or reduce high temperatures via effects on photosynthetic capacity, stomatal decoupling, cuticular conductance, leaf damage and plant mortality. These impacts obviously are important for the plants themselves, but also for thermal regime within the plant canopy. Many LSMs use an LAI climatology, but it is very likely that LAI will change with climate change in the short term (and with vegetation composition in the longer term), with consequences for thermal regime. Thus, forecasting future thermal regimes also involves forecasting future vegetation dynamics, with interesting challenges that include interactions between high</w:t>
      </w:r>
      <w:r>
        <w:t xml:space="preserve"> </w:t>
      </w:r>
      <m:oMath>
        <m:r>
          <m:t>C</m:t>
        </m:r>
        <m:sSub>
          <m:e>
            <m:r>
              <m:t>O</m:t>
            </m:r>
          </m:e>
          <m:sub>
            <m:r>
              <m:t>2</m:t>
            </m:r>
          </m:sub>
        </m:sSub>
      </m:oMath>
      <w:r>
        <w:t xml:space="preserve">, LAI and canopy shading</w:t>
      </w:r>
      <w:r>
        <w:t xml:space="preserve"> </w:t>
      </w:r>
      <w:r>
        <w:t xml:space="preserve">[40]</w:t>
      </w:r>
      <w:r>
        <w:t xml:space="preserve">.</w:t>
      </w:r>
    </w:p>
    <w:bookmarkEnd w:id="29"/>
    <w:bookmarkStart w:id="30"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now straight-forward to compute heat-budgets of organisms as a function of their traits using the principles of biophysical ecology and thereby compute their temperature. Biophysical models have a long history</w:t>
      </w:r>
      <w:r>
        <w:t xml:space="preserve"> </w:t>
      </w:r>
      <w:r>
        <w:t xml:space="preserve">[e.g. 41,42]</w:t>
      </w:r>
      <w:r>
        <w:t xml:space="preserve">, but have become more widely applied in the past 20 years, facilitated by developments in environmental datasets, microclimate modelling, and the emergence of high-level programming languages such as R</w:t>
      </w:r>
      <w:r>
        <w:t xml:space="preserve"> </w:t>
      </w:r>
      <w:r>
        <w:t xml:space="preserve">[20]</w:t>
      </w:r>
      <w:r>
        <w:t xml:space="preserve">. Biophysical models of ectothermic animals can account for complex radiation settings and the role of evaporative water loss from the skin, breath and eyes</w:t>
      </w:r>
      <w:r>
        <w:t xml:space="preserve"> </w:t>
      </w:r>
      <w:r>
        <w:t xml:space="preserve">[33,</w:t>
      </w:r>
      <w:r>
        <w:rPr>
          <w:b/>
          <w:bCs/>
        </w:rPr>
        <w:t xml:space="preserve">Riddle?</w:t>
      </w:r>
      <w:r>
        <w:t xml:space="preserve">]</w:t>
      </w:r>
      <w:r>
        <w:t xml:space="preserve">. Equivalent models of leaves incorporate the dynamic role of stomata</w:t>
      </w:r>
      <w:r>
        <w:t xml:space="preserve"> </w:t>
      </w:r>
      <w:r>
        <w:t xml:space="preserve">[19,e.g., 43]</w:t>
      </w:r>
      <w:r>
        <w:t xml:space="preserve">, while models of endotherms can account for the role of insulation and metabolic heat production</w:t>
      </w:r>
      <w:r>
        <w:t xml:space="preserve"> </w:t>
      </w:r>
      <w:r>
        <w:t xml:space="preserve">[44]</w:t>
      </w:r>
      <w:r>
        <w:t xml:space="preserve">. Future development in biophysical modelling of organismal temperature under extreme heat involves understanding the nuances of physiological and behavioural responses. For example, lizards may pant when exposed to high temperatures</w:t>
      </w:r>
      <w:r>
        <w:t xml:space="preserve"> </w:t>
      </w:r>
      <w:r>
        <w:t xml:space="preserve">[45]</w:t>
      </w:r>
      <w:r>
        <w:t xml:space="preserve">, birds may</w:t>
      </w:r>
      <w:r>
        <w:t xml:space="preserve"> </w:t>
      </w:r>
      <w:r>
        <w:t xml:space="preserve">‘wind surf’</w:t>
      </w:r>
      <w:r>
        <w:t xml:space="preserve"> </w:t>
      </w:r>
      <w:r>
        <w:t xml:space="preserve">or seek unusual retreats</w:t>
      </w:r>
      <w:r>
        <w:t xml:space="preserve"> </w:t>
      </w:r>
      <w:r>
        <w:t xml:space="preserve">[46]</w:t>
      </w:r>
      <w:r>
        <w:t xml:space="preserve">, and stomatal behaviour may depart from the typical responses to vapour pressure and light intensity to allow emergency cooling</w:t>
      </w:r>
      <w:r>
        <w:t xml:space="preserve"> </w:t>
      </w:r>
      <w:r>
        <w:t xml:space="preserve">[47]</w:t>
      </w:r>
      <w:r>
        <w:t xml:space="preserve">, though this response may depend on prior soil moisture conditions</w:t>
      </w:r>
      <w:r>
        <w:t xml:space="preserve"> </w:t>
      </w:r>
      <w:r>
        <w:t xml:space="preserve">[48]</w:t>
      </w:r>
      <w:r>
        <w:t xml:space="preserve">.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bookmarkEnd w:id="30"/>
    <w:bookmarkStart w:id="32"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[21,49]</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w:t>
      </w:r>
      <w:r>
        <w:t xml:space="preserve"> </w:t>
      </w:r>
      <w:r>
        <w:t xml:space="preserve">[e.g. Table 1 in</w:t>
      </w:r>
      <w:r>
        <w:t xml:space="preserve"> </w:t>
      </w:r>
      <w:r>
        <w:rPr>
          <w:b/>
          <w:bCs/>
        </w:rPr>
        <w:t xml:space="preserve">Jagadish2021?</w:t>
      </w:r>
      <w:r>
        <w:t xml:space="preserve">]</w:t>
      </w:r>
      <w:r>
        <w:t xml:space="preserve">. Endpoints are predicted by assuming the effect of time at a given temperature decreases survival or fertility exponentially</w:t>
      </w:r>
      <w:r>
        <w:t xml:space="preserve"> </w:t>
      </w:r>
      <w:r>
        <w:t xml:space="preserve">[11,12,21,49]</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[50,@</w:t>
      </w:r>
      <w:r>
        <w:t xml:space="preserve"> </w:t>
      </w:r>
      <w:r>
        <w:rPr>
          <w:b/>
          <w:bCs/>
        </w:rPr>
        <w:t xml:space="preserve">Jagadish2021?</w:t>
      </w:r>
      <w:r>
        <w:t xml:space="preserve">]</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[51]</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[11,12,49]</w:t>
      </w:r>
      <w:r>
        <w:t xml:space="preserve">. Several approaches can be used to capture the accumulation of damage</w:t>
      </w:r>
      <w:r>
        <w:t xml:space="preserve"> </w:t>
      </w:r>
      <w:r>
        <w:t xml:space="preserve">[11,12,49]</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1"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1"/>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bookmarkEnd w:id="32"/>
    <w:bookmarkStart w:id="33" w:name="X26e2617c7557035eb826bdba0aa1bfc30f8def3"/>
    <w:p>
      <w:pPr>
        <w:pStyle w:val="Heading1"/>
      </w:pPr>
      <w:r>
        <w:t xml:space="preserve">Sensitivity to extreme heat is mediated by environmental feedbacks</w:t>
      </w:r>
    </w:p>
    <w:bookmarkEnd w:id="33"/>
    <w:bookmarkStart w:id="34"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[52]</w:t>
      </w:r>
      <w:r>
        <w:t xml:space="preserve">, which is thought to be associated with transcriptional buffering of hosts by the natural microbiome</w:t>
      </w:r>
      <w:r>
        <w:t xml:space="preserve"> </w:t>
      </w:r>
      <w:r>
        <w:t xml:space="preserve">[53]</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[54]</w:t>
      </w:r>
      <w:r>
        <w:t xml:space="preserve">. Moreover, this protective effect can influence the ability of the host to evolve further resistance to the heat shock and harboured more bacteria</w:t>
      </w:r>
      <w:r>
        <w:t xml:space="preserve"> </w:t>
      </w:r>
      <w:r>
        <w:t xml:space="preserve">[55]</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[56]</w:t>
      </w:r>
      <w:r>
        <w:t xml:space="preserve">, On the other hand, many endosymbionts including those providing host benefits appear particularly sensitive to heat</w:t>
      </w:r>
      <w:r>
        <w:t xml:space="preserve"> </w:t>
      </w:r>
      <w:r>
        <w:t xml:space="preserve">[57]</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[58]</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[59]</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[60–62]</w:t>
      </w:r>
      <w:r>
        <w:t xml:space="preserve">. These interactions are usually achieved by stimulating the production of essential phytohormones, secondary metabolites, organic acids, and amino acids that helps the plant to mitigate heat stress</w:t>
      </w:r>
      <w:r>
        <w:t xml:space="preserve"> </w:t>
      </w:r>
      <w:r>
        <w:t xml:space="preserve">[63,64]</w:t>
      </w:r>
      <w:r>
        <w:t xml:space="preserve">. Under the current global climate change scenarios, each degree Celsius increase in global mean temperature is estimated to reduce the global yield of wheat by 6.0% and soybean (Glycine max) by 3.1%</w:t>
      </w:r>
      <w:r>
        <w:t xml:space="preserve"> </w:t>
      </w:r>
      <w:r>
        <w:t xml:space="preserve">[65]</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[66,67]</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[68,69]</w:t>
      </w:r>
      <w:r>
        <w:t xml:space="preserve"> </w:t>
      </w:r>
      <w:r>
        <w:t xml:space="preserve">and microorganism</w:t>
      </w:r>
      <w:r>
        <w:t xml:space="preserve"> </w:t>
      </w:r>
      <w:r>
        <w:t xml:space="preserve">[70]</w:t>
      </w:r>
      <w:r>
        <w:t xml:space="preserve">. However, comprehensive models with high prediction powers for plant microbe interactions are still lacking, which hampers our understanding of the heat tolerance in plants and microorganisms.</w:t>
      </w:r>
    </w:p>
    <w:bookmarkEnd w:id="34"/>
    <w:bookmarkStart w:id="35"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[16,71]</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(hourly) variation in factors, such as temperature, toxins (e.g., toxicants,</w:t>
      </w:r>
      <w:r>
        <w:t xml:space="preserve"> </w:t>
      </w:r>
      <w:r>
        <w:t xml:space="preserve">[73]</w:t>
      </w:r>
      <w:r>
        <w:t xml:space="preserve">) and resource availability (nutrients)</w:t>
      </w:r>
      <w:r>
        <w:t xml:space="preserve"> </w:t>
      </w:r>
      <w:r>
        <w:t xml:space="preserve">[74,75]</w:t>
      </w:r>
      <w:r>
        <w:t xml:space="preserve"> </w:t>
      </w:r>
      <w:r>
        <w:t xml:space="preserve">into long-term (days, months, years) effects on development, growth, reproduction and survival</w:t>
      </w:r>
      <w:r>
        <w:t xml:space="preserve"> </w:t>
      </w:r>
      <w:r>
        <w:t xml:space="preserve">[17,20]</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[76,77]</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[78]</w:t>
      </w:r>
      <w:r>
        <w:t xml:space="preserve">). In addition, software packages such as</w:t>
      </w:r>
      <w:r>
        <w:t xml:space="preserve"> </w:t>
      </w:r>
      <w:r>
        <w:rPr>
          <w:i/>
          <w:iCs/>
        </w:rPr>
        <w:t xml:space="preserve">NicheMapR</w:t>
      </w:r>
      <w:r>
        <w:t xml:space="preserve"> </w:t>
      </w:r>
      <w:r>
        <w:t xml:space="preserve">[33,79]</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5"/>
    <w:bookmarkStart w:id="36" w:name="Xbdb3df2871e98d114a1e4e74a52caa28253dc0c"/>
    <w:p>
      <w:pPr>
        <w:pStyle w:val="Heading1"/>
      </w:pPr>
      <w:r>
        <w:t xml:space="preserve">Mechanistic approaches that</w:t>
      </w:r>
      <w:r>
        <w:t xml:space="preserve"> </w:t>
      </w:r>
      <w:r>
        <w:t xml:space="preserve">‘speak’</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[80]</w:t>
      </w:r>
      <w:r>
        <w:t xml:space="preserve"> </w:t>
      </w:r>
      <w:r>
        <w:t xml:space="preserve">and Beverton-Holt</w:t>
      </w:r>
      <w:r>
        <w:t xml:space="preserve"> </w:t>
      </w:r>
      <w:r>
        <w:t xml:space="preserve">[81]</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[82]</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[83]</w:t>
      </w:r>
      <w:r>
        <w:t xml:space="preserve">.</w:t>
      </w:r>
    </w:p>
    <w:bookmarkEnd w:id="36"/>
    <w:bookmarkStart w:id="38" w:name="X5f60cb5872271d873b61a7524ce9c4bd1e0d2b7"/>
    <w:p>
      <w:pPr>
        <w:pStyle w:val="Heading1"/>
      </w:pPr>
      <w:r>
        <w:t xml:space="preserve">Integrating eco-evolutionary feedbacks within a systems-modelling framework</w:t>
      </w:r>
    </w:p>
    <w:p>
      <w:pPr>
        <w:pStyle w:val="FirstParagraph"/>
      </w:pPr>
      <w:r>
        <w:t xml:space="preserve">Extreme environments both impact trait development and act as a potent selective force allowing populations to evolve</w:t>
      </w:r>
      <w:r>
        <w:t xml:space="preserve"> </w:t>
      </w:r>
      <w:r>
        <w:t xml:space="preserve">[84–86]</w:t>
      </w:r>
      <w:r>
        <w:t xml:space="preserve">. Phenotypic plasticity and adaptive evolutionary change are two processes that are expected to allow systems to respond and build resilience to extreme heat.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[84]</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[85,87–90]</w:t>
      </w:r>
      <w:r>
        <w:t xml:space="preserve">.</w:t>
      </w:r>
    </w:p>
    <w:p>
      <w:pPr>
        <w:pStyle w:val="BodyText"/>
      </w:pPr>
      <w:r>
        <w:t xml:space="preserve">Plasticity and evolution can be incorporated into a systems modelling framework by allowing environments to govern</w:t>
      </w:r>
      <w:r>
        <w:t xml:space="preserve"> </w:t>
      </w:r>
      <w:r>
        <w:t xml:space="preserve">‘trait’</w:t>
      </w:r>
      <w:r>
        <w:t xml:space="preserve"> </w:t>
      </w:r>
      <w:r>
        <w:t xml:space="preserve">development (plasticity) and by incorporating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that allow functional traits to emerge</w:t>
      </w:r>
      <w:r>
        <w:t xml:space="preserve"> </w:t>
      </w:r>
      <w:r>
        <w:t xml:space="preserve">[91]</w:t>
      </w:r>
      <w:r>
        <w:t xml:space="preserve"> </w:t>
      </w:r>
      <w:r>
        <w:t xml:space="preserve">or even function-valued traits</w:t>
      </w:r>
      <w:r>
        <w:t xml:space="preserve"> </w:t>
      </w:r>
      <w:r>
        <w:t xml:space="preserve">[92]</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w:t>
      </w:r>
      <w:r>
        <w:t xml:space="preserve"> </w:t>
      </w:r>
      <w:r>
        <w:t xml:space="preserve">[93]</w:t>
      </w:r>
      <w:r>
        <w:t xml:space="preserve">:</w:t>
      </w:r>
    </w:p>
    <w:p>
      <w:pPr>
        <w:pStyle w:val="BodyText"/>
      </w:pPr>
      <w:bookmarkStart w:id="37"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37"/>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[94]</w:t>
      </w:r>
      <w:r>
        <w:t xml:space="preserve">). While the multivariate breeders equation can be useful for predicting short term evolutionary responses (i.e., one or a few generations) it is likely limited in predictive power over longer timespans because of changes in heritability and selection through time</w:t>
      </w:r>
      <w:r>
        <w:t xml:space="preserve"> </w:t>
      </w:r>
      <w:r>
        <w:t xml:space="preserve">[86,94]</w:t>
      </w:r>
      <w:r>
        <w:t xml:space="preserve">.</w:t>
      </w:r>
    </w:p>
    <w:p>
      <w:pPr>
        <w:pStyle w:val="BodyText"/>
      </w:pPr>
      <w:r>
        <w:t xml:space="preserve">Measuring and incorporating both plasticity and evolution into our proposed systems modelling framework is still rare and usually focused on one or a few</w:t>
      </w:r>
      <w:r>
        <w:t xml:space="preserve"> </w:t>
      </w:r>
      <w:r>
        <w:t xml:space="preserve">‘traits’</w:t>
      </w:r>
      <w:r>
        <w:t xml:space="preserve">. Studies that have attempted to measure plasticity and evolutionary potential in traits demonstrate how such processes can shape outcomes in important ways</w:t>
      </w:r>
      <w:r>
        <w:t xml:space="preserve"> </w:t>
      </w:r>
      <w:r>
        <w:t xml:space="preserve">[95–100]</w:t>
      </w:r>
      <w:r>
        <w:t xml:space="preserve">. For example, using isogenic lines of</w:t>
      </w:r>
      <w:r>
        <w:t xml:space="preserve"> </w:t>
      </w:r>
      <w:r>
        <w:rPr>
          <w:i/>
          <w:iCs/>
        </w:rPr>
        <w:t xml:space="preserve">Drosophia melanogaster</w:t>
      </w:r>
      <w:r>
        <w:t xml:space="preserve">,</w:t>
      </w:r>
      <w:r>
        <w:t xml:space="preserve"> </w:t>
      </w:r>
      <w:r>
        <w:t xml:space="preserve">[100]</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[96]</w:t>
      </w:r>
      <w:r>
        <w:t xml:space="preserve">, and in locusts drought can also affect heat tolerance</w:t>
      </w:r>
      <w:r>
        <w:t xml:space="preserve"> </w:t>
      </w:r>
      <w:r>
        <w:t xml:space="preserve">[95]</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[101]</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[102]</w:t>
            </w:r>
            <w:r>
              <w:t xml:space="preserve">. Thermal stressors may even influence producers’ psychological beliefs about their level of control over land management, and perceived resources available for management practices</w:t>
            </w:r>
            <w:r>
              <w:t xml:space="preserve"> </w:t>
            </w:r>
            <w:r>
              <w:t xml:space="preserve">[103]</w:t>
            </w:r>
            <w:r>
              <w:t xml:space="preserve">. Thermal risks to ecosystems may also precipitate declines in individual wellbeing, and these consequences may accrue differently across regions and across peoples</w:t>
            </w:r>
            <w:r>
              <w:t xml:space="preserve"> </w:t>
            </w:r>
            <w:r>
              <w:t xml:space="preserve">[104]</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[105,106]</w:t>
            </w:r>
            <w:r>
              <w:t xml:space="preserve">. On the other hand, adapting thermal risks in upper stream producers may also be influenced by the perception and behaviour of downstream consumers</w:t>
            </w:r>
            <w:r>
              <w:t xml:space="preserve"> </w:t>
            </w:r>
            <w:r>
              <w:t xml:space="preserve">[107]</w:t>
            </w:r>
            <w:r>
              <w:t xml:space="preserve">. The cascading</w:t>
            </w:r>
            <w:r>
              <w:t xml:space="preserve"> </w:t>
            </w:r>
            <w:r>
              <w:t xml:space="preserve">[108]</w:t>
            </w:r>
            <w:r>
              <w:t xml:space="preserve"> </w:t>
            </w:r>
            <w:r>
              <w:t xml:space="preserve">and telecoupled</w:t>
            </w:r>
            <w:r>
              <w:t xml:space="preserve"> </w:t>
            </w:r>
            <w:r>
              <w:t xml:space="preserve">[109]</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[110]</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[111]</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[112]</w:t>
            </w:r>
            <w:r>
              <w:t xml:space="preserve">. Social-ecological models aim to capture the social systems, natural systems and their interactions</w:t>
            </w:r>
            <w:r>
              <w:t xml:space="preserve"> </w:t>
            </w:r>
            <w:r>
              <w:t xml:space="preserve">[113]</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[114]</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[115]</w:t>
            </w:r>
            <w:r>
              <w:t xml:space="preserve">. Process-based approaches are critical to understanding how emergent social-ecological phenomena develop</w:t>
            </w:r>
            <w:r>
              <w:t xml:space="preserve"> </w:t>
            </w:r>
            <w:r>
              <w:t xml:space="preserve">[116]</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behavioural theory and empirical data; and interactions between them in the system of interest. Since obtaining all these data can be challenging, social-ecological modelling is often performed in an exploratory mode</w:t>
            </w:r>
            <w:r>
              <w:t xml:space="preserve"> </w:t>
            </w:r>
            <w:r>
              <w:t xml:space="preserve">[117]</w:t>
            </w:r>
            <w:r>
              <w:t xml:space="preserve"> </w:t>
            </w:r>
            <w:r>
              <w:t xml:space="preserve">to anticipate possible future modes of behaviour, such as the direction of change of human behaviour and environmental state or the risk of emergent phenomena such as tipping points, rather than trying to predict specific outcomes.</w:t>
            </w:r>
          </w:p>
        </w:tc>
      </w:tr>
    </w:tbl>
    <w:bookmarkEnd w:id="38"/>
    <w:bookmarkStart w:id="39" w:name="X42ca7aa69937316dee7b1e100d4320aa777518f"/>
    <w:p>
      <w:pPr>
        <w:pStyle w:val="Heading1"/>
      </w:pPr>
      <w:r>
        <w:t xml:space="preserve">‘Hot’</w:t>
      </w:r>
      <w:r>
        <w:t xml:space="preserve"> </w:t>
      </w:r>
      <w:r>
        <w:t xml:space="preserve">solutions for a changing world (Alison, Owen and Belinda, Mike)</w:t>
      </w:r>
    </w:p>
    <w:p>
      <w:pPr>
        <w:pStyle w:val="Compact"/>
        <w:numPr>
          <w:ilvl w:val="0"/>
          <w:numId w:val="1001"/>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1"/>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2"/>
        </w:numPr>
      </w:pPr>
      <w:r>
        <w:t xml:space="preserve">Microbial recruitment (Braj)</w:t>
      </w:r>
    </w:p>
    <w:p>
      <w:pPr>
        <w:pStyle w:val="Compact"/>
        <w:numPr>
          <w:ilvl w:val="1"/>
          <w:numId w:val="1002"/>
        </w:numPr>
      </w:pPr>
      <w:r>
        <w:t xml:space="preserve">Pollinator services (James, Margie)</w:t>
      </w:r>
    </w:p>
    <w:p>
      <w:pPr>
        <w:pStyle w:val="Compact"/>
        <w:numPr>
          <w:ilvl w:val="0"/>
          <w:numId w:val="1001"/>
        </w:numPr>
      </w:pPr>
      <w:r>
        <w:t xml:space="preserve">Cooler landscapes</w:t>
      </w:r>
    </w:p>
    <w:p>
      <w:pPr>
        <w:pStyle w:val="Compact"/>
        <w:numPr>
          <w:ilvl w:val="1"/>
          <w:numId w:val="1003"/>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1"/>
        </w:numPr>
      </w:pPr>
      <w:r>
        <w:t xml:space="preserve">Pest and disease prediction and control. (Ary)</w:t>
      </w:r>
    </w:p>
    <w:p>
      <w:pPr>
        <w:pStyle w:val="Compact"/>
        <w:numPr>
          <w:ilvl w:val="0"/>
          <w:numId w:val="1001"/>
        </w:numPr>
      </w:pPr>
      <w:r>
        <w:t xml:space="preserve">Conservation (Adrienne?)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Outstanding Questions</w:t>
            </w:r>
          </w:p>
        </w:tc>
      </w:tr>
    </w:tbl>
    <w:bookmarkEnd w:id="39"/>
    <w:bookmarkStart w:id="40"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28">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in our understanding of the impacts of extreme heat on organisms and communities that need to be addressed. These include:</w:t>
      </w:r>
    </w:p>
    <w:p>
      <w:pPr>
        <w:pStyle w:val="Compact"/>
        <w:numPr>
          <w:ilvl w:val="0"/>
          <w:numId w:val="1004"/>
        </w:numPr>
      </w:pPr>
      <w:r>
        <w:rPr>
          <w:b/>
          <w:bCs/>
        </w:rPr>
        <w:t xml:space="preserve">Data limitations for applying DEB theory</w:t>
      </w:r>
      <w:r>
        <w:t xml:space="preserve">: DEB models require a lot of information on a given species to model life-cycles, and there are challenges in applying stage-structured populations (e.g., metamorphosis). We need to develop solutions to these challenges (Mike).</w:t>
      </w:r>
    </w:p>
    <w:p>
      <w:pPr>
        <w:pStyle w:val="Compact"/>
        <w:numPr>
          <w:ilvl w:val="0"/>
          <w:numId w:val="1004"/>
        </w:numPr>
      </w:pPr>
      <w:r>
        <w:rPr>
          <w:b/>
          <w:b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p>
      <w:pPr>
        <w:pStyle w:val="Compact"/>
        <w:numPr>
          <w:ilvl w:val="0"/>
          <w:numId w:val="1004"/>
        </w:numPr>
      </w:pPr>
      <w:r>
        <w:rPr>
          <w:b/>
          <w:bCs/>
        </w:rPr>
        <w:t xml:space="preserve">Behavioural responses to heat stress</w:t>
      </w:r>
      <w:r>
        <w:t xml:space="preserve">: Greater detail in the ways both plants and animals</w:t>
      </w:r>
      <w:r>
        <w:t xml:space="preserve"> </w:t>
      </w:r>
      <w:r>
        <w:t xml:space="preserve">‘behave’</w:t>
      </w:r>
      <w:r>
        <w:t xml:space="preserve"> </w:t>
      </w:r>
      <w:r>
        <w:t xml:space="preserve">to extreme heat is needed to better understand physiological and behavioural adjustments that might mitigate exposure to heat stress.</w:t>
      </w:r>
      <w:r>
        <w:br/>
      </w:r>
    </w:p>
    <w:p>
      <w:pPr>
        <w:pStyle w:val="Compact"/>
        <w:numPr>
          <w:ilvl w:val="0"/>
          <w:numId w:val="1004"/>
        </w:numPr>
      </w:pPr>
      <w:r>
        <w:rPr>
          <w:b/>
          <w:bCs/>
        </w:rPr>
        <w:t xml:space="preserve">Evolutionary dynamics leading to changes in thermal sensitivity and exposure</w:t>
      </w:r>
      <w:r>
        <w:t xml:space="preserve">: We need to understand how thermal sensitivity and exposure will evolve in response to climate change. This requires knowledge of heritability (not often known) and selection intensity (good idea of what’s driving selection). We could cite</w:t>
      </w:r>
      <w:r>
        <w:t xml:space="preserve"> </w:t>
      </w:r>
      <w:r>
        <w:t xml:space="preserve">[97]</w:t>
      </w:r>
      <w:r>
        <w:t xml:space="preserve"> </w:t>
      </w:r>
      <w:r>
        <w:t xml:space="preserve">(Ary).</w:t>
      </w:r>
    </w:p>
    <w:p>
      <w:pPr>
        <w:pStyle w:val="Compact"/>
        <w:numPr>
          <w:ilvl w:val="0"/>
          <w:numId w:val="1004"/>
        </w:numPr>
      </w:pPr>
      <w:r>
        <w:rPr>
          <w:b/>
          <w:b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p>
      <w:pPr>
        <w:pStyle w:val="Compact"/>
        <w:numPr>
          <w:ilvl w:val="0"/>
          <w:numId w:val="1004"/>
        </w:numPr>
      </w:pPr>
      <w:r>
        <w:rPr>
          <w:b/>
          <w:bCs/>
        </w:rPr>
        <w:t xml:space="preserve">Social-ecological systems</w:t>
      </w:r>
      <w:r>
        <w:t xml:space="preserve">: We need to understand how the impacts of extreme heat on ecosystems can affect the services those ecosystems provide to people and how people may respond to thermal risks to ecosystems. This requires a social-ecological systems perspective that captures the interactions between social and natural systems (Alison, Owen, Belinda, Mike).</w:t>
      </w:r>
    </w:p>
    <w:p>
      <w:pPr>
        <w:pStyle w:val="FirstParagraph"/>
      </w:pPr>
      <w:r>
        <w:t xml:space="preserve">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bookmarkEnd w:id="40"/>
    <w:bookmarkStart w:id="159" w:name="references"/>
    <w:p>
      <w:pPr>
        <w:pStyle w:val="Heading1"/>
      </w:pPr>
      <w:r>
        <w:t xml:space="preserve">References</w:t>
      </w:r>
    </w:p>
    <w:p>
      <w:pPr>
        <w:pStyle w:val="FirstParagraph"/>
      </w:pPr>
    </w:p>
    <w:bookmarkStart w:id="158" w:name="refs"/>
    <w:bookmarkStart w:id="41"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1"/>
    <w:bookmarkStart w:id="42"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2"/>
    <w:bookmarkStart w:id="43"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3"/>
    <w:bookmarkStart w:id="44"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4"/>
    <w:bookmarkStart w:id="45"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5"/>
    <w:bookmarkStart w:id="46"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6"/>
    <w:bookmarkStart w:id="47"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7"/>
    <w:bookmarkStart w:id="48"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8"/>
    <w:bookmarkStart w:id="49"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9"/>
    <w:bookmarkStart w:id="50"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0"/>
    <w:bookmarkStart w:id="51"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1"/>
    <w:bookmarkStart w:id="52"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2"/>
    <w:bookmarkStart w:id="53"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3"/>
    <w:bookmarkStart w:id="54"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4"/>
    <w:bookmarkStart w:id="55"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5"/>
    <w:bookmarkStart w:id="56"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6"/>
    <w:bookmarkStart w:id="57"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7"/>
    <w:bookmarkStart w:id="58"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8"/>
    <w:bookmarkStart w:id="59"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59"/>
    <w:bookmarkStart w:id="60"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0"/>
    <w:bookmarkStart w:id="61"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1"/>
    <w:bookmarkStart w:id="62"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2"/>
    <w:bookmarkStart w:id="63"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3"/>
    <w:bookmarkStart w:id="64" w:name="ref-Fick2017"/>
    <w:p>
      <w:pPr>
        <w:pStyle w:val="Bibliography"/>
      </w:pPr>
      <w:r>
        <w:t xml:space="preserve">24.</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64"/>
    <w:bookmarkStart w:id="65" w:name="ref-Kalnay2018"/>
    <w:p>
      <w:pPr>
        <w:pStyle w:val="Bibliography"/>
      </w:pPr>
      <w:r>
        <w:t xml:space="preserve">25.</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65"/>
    <w:bookmarkStart w:id="66" w:name="ref-Hersbach2020"/>
    <w:p>
      <w:pPr>
        <w:pStyle w:val="Bibliography"/>
      </w:pPr>
      <w:r>
        <w:t xml:space="preserve">26.</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66"/>
    <w:bookmarkStart w:id="67" w:name="ref-Klinges2022"/>
    <w:p>
      <w:pPr>
        <w:pStyle w:val="Bibliography"/>
      </w:pPr>
      <w:r>
        <w:t xml:space="preserve">27.</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67"/>
    <w:bookmarkStart w:id="68" w:name="ref-Meyer2023"/>
    <w:p>
      <w:pPr>
        <w:pStyle w:val="Bibliography"/>
      </w:pPr>
      <w:r>
        <w:t xml:space="preserve">28.</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68"/>
    <w:bookmarkStart w:id="69" w:name="ref-Munoz-Sabater2021"/>
    <w:p>
      <w:pPr>
        <w:pStyle w:val="Bibliography"/>
      </w:pPr>
      <w:r>
        <w:t xml:space="preserve">29.</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69"/>
    <w:bookmarkStart w:id="70" w:name="ref-Bezanson2012"/>
    <w:p>
      <w:pPr>
        <w:pStyle w:val="Bibliography"/>
      </w:pPr>
      <w:r>
        <w:t xml:space="preserve">30.</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70"/>
    <w:bookmarkStart w:id="71" w:name="ref-Yatunin2025"/>
    <w:p>
      <w:pPr>
        <w:pStyle w:val="Bibliography"/>
      </w:pPr>
      <w:r>
        <w:t xml:space="preserve">31.</w:t>
      </w:r>
      <w:r>
        <w:t xml:space="preserve"> </w:t>
      </w:r>
      <w:r>
        <w:t xml:space="preserve">	</w:t>
      </w:r>
      <w:r>
        <w:t xml:space="preserve">Yatunin, D.</w:t>
      </w:r>
      <w:r>
        <w:t xml:space="preserve"> </w:t>
      </w:r>
      <w:r>
        <w:rPr>
          <w:i/>
          <w:iCs/>
        </w:rPr>
        <w:t xml:space="preserve">et al.</w:t>
      </w:r>
      <w:r>
        <w:t xml:space="preserve"> </w:t>
      </w:r>
      <w:r>
        <w:t xml:space="preserve">(2025) The climate modeling alliance atmosphere dynamical core: Concepts, numerics, and scaling.</w:t>
      </w:r>
      <w:r>
        <w:t xml:space="preserve"> </w:t>
      </w:r>
      <w:r>
        <w:rPr>
          <w:i/>
          <w:iCs/>
        </w:rPr>
        <w:t xml:space="preserve">Authorea Preprints</w:t>
      </w:r>
    </w:p>
    <w:bookmarkEnd w:id="71"/>
    <w:bookmarkStart w:id="72" w:name="ref-Braziunas2025"/>
    <w:p>
      <w:pPr>
        <w:pStyle w:val="Bibliography"/>
      </w:pPr>
      <w:r>
        <w:t xml:space="preserve">32.</w:t>
      </w:r>
      <w:r>
        <w:t xml:space="preserve"> </w:t>
      </w:r>
      <w:r>
        <w:t xml:space="preserve">	</w:t>
      </w:r>
      <w:r>
        <w:t xml:space="preserve">Braziunas, K.H.</w:t>
      </w:r>
      <w:r>
        <w:t xml:space="preserve"> </w:t>
      </w:r>
      <w:r>
        <w:rPr>
          <w:i/>
          <w:iCs/>
        </w:rPr>
        <w:t xml:space="preserve">et al.</w:t>
      </w:r>
      <w:r>
        <w:t xml:space="preserve"> </w:t>
      </w:r>
      <w:r>
        <w:t xml:space="preserve">(2025) Microclimate temperature effects propagate across scales in forest ecosystems.</w:t>
      </w:r>
      <w:r>
        <w:t xml:space="preserve"> </w:t>
      </w:r>
      <w:r>
        <w:rPr>
          <w:i/>
          <w:iCs/>
        </w:rPr>
        <w:t xml:space="preserve">Landsc. Ecol.</w:t>
      </w:r>
      <w:r>
        <w:t xml:space="preserve"> </w:t>
      </w:r>
      <w:r>
        <w:t xml:space="preserve">40, 37</w:t>
      </w:r>
    </w:p>
    <w:bookmarkEnd w:id="72"/>
    <w:bookmarkStart w:id="73" w:name="ref-Kearney2017"/>
    <w:p>
      <w:pPr>
        <w:pStyle w:val="Bibliography"/>
      </w:pPr>
      <w:r>
        <w:t xml:space="preserve">33.</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3"/>
    <w:bookmarkStart w:id="74" w:name="ref-Maclean2019"/>
    <w:p>
      <w:pPr>
        <w:pStyle w:val="Bibliography"/>
      </w:pPr>
      <w:r>
        <w:t xml:space="preserve">34.</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74"/>
    <w:bookmarkStart w:id="75" w:name="ref-Kearney2020"/>
    <w:p>
      <w:pPr>
        <w:pStyle w:val="Bibliography"/>
      </w:pPr>
      <w:r>
        <w:t xml:space="preserve">35.</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75"/>
    <w:bookmarkStart w:id="76" w:name="ref-Maclean2021"/>
    <w:p>
      <w:pPr>
        <w:pStyle w:val="Bibliography"/>
      </w:pPr>
      <w:r>
        <w:t xml:space="preserve">36.</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76"/>
    <w:bookmarkStart w:id="77" w:name="ref-Buckley2023"/>
    <w:p>
      <w:pPr>
        <w:pStyle w:val="Bibliography"/>
      </w:pPr>
      <w:r>
        <w:t xml:space="preserve">37.</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77"/>
    <w:bookmarkStart w:id="78" w:name="ref-De_Frenne2024"/>
    <w:p>
      <w:pPr>
        <w:pStyle w:val="Bibliography"/>
      </w:pPr>
      <w:r>
        <w:t xml:space="preserve">38.</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78"/>
    <w:bookmarkStart w:id="79" w:name="ref-Levy2016"/>
    <w:p>
      <w:pPr>
        <w:pStyle w:val="Bibliography"/>
      </w:pPr>
      <w:r>
        <w:t xml:space="preserve">39.</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79"/>
    <w:bookmarkStart w:id="80" w:name="ref-Manzoni2022"/>
    <w:p>
      <w:pPr>
        <w:pStyle w:val="Bibliography"/>
      </w:pPr>
      <w:r>
        <w:t xml:space="preserve">40.</w:t>
      </w:r>
      <w:r>
        <w:t xml:space="preserve"> </w:t>
      </w:r>
      <w:r>
        <w:t xml:space="preserve">	</w:t>
      </w:r>
      <w:r>
        <w:t xml:space="preserve">Manzoni, S.</w:t>
      </w:r>
      <w:r>
        <w:t xml:space="preserve"> </w:t>
      </w:r>
      <w:r>
        <w:rPr>
          <w:i/>
          <w:iCs/>
        </w:rPr>
        <w:t xml:space="preserve">et al.</w:t>
      </w:r>
      <w:r>
        <w:t xml:space="preserve"> </w:t>
      </w:r>
      <w:r>
        <w:t xml:space="preserve">(2022) Consistent responses of vegetation gas exchange to elevated atmospheric</w:t>
      </w:r>
      <w:r>
        <w:t xml:space="preserve"> </w:t>
      </w:r>
      <w:r>
        <w:t xml:space="preserve">CO</w:t>
      </w:r>
      <w:r>
        <w:t xml:space="preserve"> </w:t>
      </w:r>
      <w:r>
        <w:t xml:space="preserve">2 emerge from heuristic and optimization models.</w:t>
      </w:r>
      <w:r>
        <w:t xml:space="preserve"> </w:t>
      </w:r>
      <w:r>
        <w:rPr>
          <w:i/>
          <w:iCs/>
        </w:rPr>
        <w:t xml:space="preserve">Biogeosciences</w:t>
      </w:r>
      <w:r>
        <w:t xml:space="preserve"> </w:t>
      </w:r>
      <w:r>
        <w:t xml:space="preserve">19, 4387–4414</w:t>
      </w:r>
    </w:p>
    <w:bookmarkEnd w:id="80"/>
    <w:bookmarkStart w:id="81" w:name="ref-Porter1973"/>
    <w:p>
      <w:pPr>
        <w:pStyle w:val="Bibliography"/>
      </w:pPr>
      <w:r>
        <w:t xml:space="preserve">41.</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81"/>
    <w:bookmarkStart w:id="82" w:name="ref-Porter1969"/>
    <w:p>
      <w:pPr>
        <w:pStyle w:val="Bibliography"/>
      </w:pPr>
      <w:r>
        <w:t xml:space="preserve">42.</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82"/>
    <w:bookmarkStart w:id="83" w:name="ref-Duursma2015"/>
    <w:p>
      <w:pPr>
        <w:pStyle w:val="Bibliography"/>
      </w:pPr>
      <w:r>
        <w:t xml:space="preserve">43.</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83"/>
    <w:bookmarkStart w:id="84" w:name="ref-Briscoe2022"/>
    <w:p>
      <w:pPr>
        <w:pStyle w:val="Bibliography"/>
      </w:pPr>
      <w:r>
        <w:t xml:space="preserve">44.</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84"/>
    <w:bookmarkStart w:id="85" w:name="ref-Loughran2020"/>
    <w:p>
      <w:pPr>
        <w:pStyle w:val="Bibliography"/>
      </w:pPr>
      <w:r>
        <w:t xml:space="preserve">45.</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85"/>
    <w:bookmarkStart w:id="86" w:name="ref-Sharpe2022"/>
    <w:p>
      <w:pPr>
        <w:pStyle w:val="Bibliography"/>
      </w:pPr>
      <w:r>
        <w:t xml:space="preserve">46.</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86"/>
    <w:bookmarkStart w:id="87" w:name="ref-Drake2018"/>
    <w:p>
      <w:pPr>
        <w:pStyle w:val="Bibliography"/>
      </w:pPr>
      <w:r>
        <w:t xml:space="preserve">47.</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87"/>
    <w:bookmarkStart w:id="88" w:name="ref-Posch2024"/>
    <w:p>
      <w:pPr>
        <w:pStyle w:val="Bibliography"/>
      </w:pPr>
      <w:r>
        <w:t xml:space="preserve">48.</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88"/>
    <w:bookmarkStart w:id="89" w:name="ref-Orsted2022"/>
    <w:p>
      <w:pPr>
        <w:pStyle w:val="Bibliography"/>
      </w:pPr>
      <w:r>
        <w:t xml:space="preserve">49.</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89"/>
    <w:bookmarkStart w:id="90" w:name="ref-Faber2024"/>
    <w:p>
      <w:pPr>
        <w:pStyle w:val="Bibliography"/>
      </w:pPr>
      <w:r>
        <w:t xml:space="preserve">50.</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90"/>
    <w:bookmarkStart w:id="91" w:name="ref-Martinez-De_Leon2024"/>
    <w:p>
      <w:pPr>
        <w:pStyle w:val="Bibliography"/>
      </w:pPr>
      <w:r>
        <w:t xml:space="preserve">51.</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91"/>
    <w:bookmarkStart w:id="92" w:name="ref-Fontaine2022"/>
    <w:p>
      <w:pPr>
        <w:pStyle w:val="Bibliography"/>
      </w:pPr>
      <w:r>
        <w:t xml:space="preserve">52.</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92"/>
    <w:bookmarkStart w:id="93" w:name="ref-Fontaine2023"/>
    <w:p>
      <w:pPr>
        <w:pStyle w:val="Bibliography"/>
      </w:pPr>
      <w:r>
        <w:t xml:space="preserve">53.</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93"/>
    <w:bookmarkStart w:id="94" w:name="ref-Hoang2019"/>
    <w:p>
      <w:pPr>
        <w:pStyle w:val="Bibliography"/>
      </w:pPr>
      <w:r>
        <w:t xml:space="preserve">54.</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94"/>
    <w:bookmarkStart w:id="95" w:name="ref-Gehman2019"/>
    <w:p>
      <w:pPr>
        <w:pStyle w:val="Bibliography"/>
      </w:pPr>
      <w:r>
        <w:t xml:space="preserve">55.</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95"/>
    <w:bookmarkStart w:id="96" w:name="ref-Hoang2021"/>
    <w:p>
      <w:pPr>
        <w:pStyle w:val="Bibliography"/>
      </w:pPr>
      <w:r>
        <w:t xml:space="preserve">56.</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96"/>
    <w:bookmarkStart w:id="97" w:name="ref-Corbin2016"/>
    <w:p>
      <w:pPr>
        <w:pStyle w:val="Bibliography"/>
      </w:pPr>
      <w:r>
        <w:t xml:space="preserve">57.</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97"/>
    <w:bookmarkStart w:id="98" w:name="ref-Zhang2019"/>
    <w:p>
      <w:pPr>
        <w:pStyle w:val="Bibliography"/>
      </w:pPr>
      <w:r>
        <w:t xml:space="preserve">58.</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98"/>
    <w:bookmarkStart w:id="99" w:name="ref-Dunbar2007"/>
    <w:p>
      <w:pPr>
        <w:pStyle w:val="Bibliography"/>
      </w:pPr>
      <w:r>
        <w:t xml:space="preserve">59.</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99"/>
    <w:bookmarkStart w:id="100" w:name="ref-Chouhan2023"/>
    <w:p>
      <w:pPr>
        <w:pStyle w:val="Bibliography"/>
      </w:pPr>
      <w:r>
        <w:t xml:space="preserve">60.</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0"/>
    <w:bookmarkStart w:id="101" w:name="ref-Liu2025"/>
    <w:p>
      <w:pPr>
        <w:pStyle w:val="Bibliography"/>
      </w:pPr>
      <w:r>
        <w:t xml:space="preserve">61.</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101"/>
    <w:bookmarkStart w:id="102" w:name="ref-Marquez2007"/>
    <w:p>
      <w:pPr>
        <w:pStyle w:val="Bibliography"/>
      </w:pPr>
      <w:r>
        <w:t xml:space="preserve">62.</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02"/>
    <w:bookmarkStart w:id="103" w:name="ref-Huang2019"/>
    <w:p>
      <w:pPr>
        <w:pStyle w:val="Bibliography"/>
      </w:pPr>
      <w:r>
        <w:t xml:space="preserve">63.</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103"/>
    <w:bookmarkStart w:id="104" w:name="ref-Dastogeer2022"/>
    <w:p>
      <w:pPr>
        <w:pStyle w:val="Bibliography"/>
      </w:pPr>
      <w:r>
        <w:t xml:space="preserve">64.</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4"/>
    <w:bookmarkStart w:id="105" w:name="ref-Shekhawat2022"/>
    <w:p>
      <w:pPr>
        <w:pStyle w:val="Bibliography"/>
      </w:pPr>
      <w:r>
        <w:t xml:space="preserve">65.</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05"/>
    <w:bookmarkStart w:id="106" w:name="ref-Lobell2012"/>
    <w:p>
      <w:pPr>
        <w:pStyle w:val="Bibliography"/>
      </w:pPr>
      <w:r>
        <w:t xml:space="preserve">66.</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106"/>
    <w:bookmarkStart w:id="107" w:name="ref-Farooq2011"/>
    <w:p>
      <w:pPr>
        <w:pStyle w:val="Bibliography"/>
      </w:pPr>
      <w:r>
        <w:t xml:space="preserve">67.</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107"/>
    <w:bookmarkStart w:id="108" w:name="ref-He2025"/>
    <w:p>
      <w:pPr>
        <w:pStyle w:val="Bibliography"/>
      </w:pPr>
      <w:r>
        <w:t xml:space="preserve">68.</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108"/>
    <w:bookmarkStart w:id="109" w:name="ref-Zhang2021"/>
    <w:p>
      <w:pPr>
        <w:pStyle w:val="Bibliography"/>
      </w:pPr>
      <w:r>
        <w:t xml:space="preserve">69.</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109"/>
    <w:bookmarkStart w:id="110" w:name="ref-Zhang2023a"/>
    <w:p>
      <w:pPr>
        <w:pStyle w:val="Bibliography"/>
      </w:pPr>
      <w:r>
        <w:t xml:space="preserve">70.</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110"/>
    <w:bookmarkStart w:id="111" w:name="ref-Nisbet2000"/>
    <w:p>
      <w:pPr>
        <w:pStyle w:val="Bibliography"/>
      </w:pPr>
      <w:r>
        <w:t xml:space="preserve">71.</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111"/>
    <w:bookmarkStart w:id="112" w:name="ref-Jager2020"/>
    <w:p>
      <w:pPr>
        <w:pStyle w:val="Bibliography"/>
      </w:pPr>
      <w:r>
        <w:t xml:space="preserve">72.</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12"/>
    <w:bookmarkStart w:id="113" w:name="ref-Haberle2025"/>
    <w:p>
      <w:pPr>
        <w:pStyle w:val="Bibliography"/>
      </w:pPr>
      <w:r>
        <w:t xml:space="preserve">73.</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113"/>
    <w:bookmarkStart w:id="114" w:name="ref-Kearney2013"/>
    <w:p>
      <w:pPr>
        <w:pStyle w:val="Bibliography"/>
      </w:pPr>
      <w:r>
        <w:t xml:space="preserve">74.</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14"/>
    <w:bookmarkStart w:id="115" w:name="ref-Kearney2010"/>
    <w:p>
      <w:pPr>
        <w:pStyle w:val="Bibliography"/>
      </w:pPr>
      <w:r>
        <w:t xml:space="preserve">75.</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15"/>
    <w:bookmarkStart w:id="116" w:name="ref-Marques2018"/>
    <w:p>
      <w:pPr>
        <w:pStyle w:val="Bibliography"/>
      </w:pPr>
      <w:r>
        <w:t xml:space="preserve">76.</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16"/>
    <w:bookmarkStart w:id="117" w:name="ref-Kooijman2021"/>
    <w:p>
      <w:pPr>
        <w:pStyle w:val="Bibliography"/>
      </w:pPr>
      <w:r>
        <w:t xml:space="preserve">77.</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17"/>
    <w:bookmarkStart w:id="118" w:name="ref-Bruggeman2009"/>
    <w:p>
      <w:pPr>
        <w:pStyle w:val="Bibliography"/>
      </w:pPr>
      <w:r>
        <w:t xml:space="preserve">78.</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18"/>
    <w:bookmarkStart w:id="119" w:name="ref-Kearney2020a"/>
    <w:p>
      <w:pPr>
        <w:pStyle w:val="Bibliography"/>
      </w:pPr>
      <w:r>
        <w:t xml:space="preserve">79.</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19"/>
    <w:bookmarkStart w:id="120" w:name="ref-Ricker1954a"/>
    <w:p>
      <w:pPr>
        <w:pStyle w:val="Bibliography"/>
      </w:pPr>
      <w:r>
        <w:t xml:space="preserve">80.</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20"/>
    <w:bookmarkStart w:id="121" w:name="ref-Beverton2012"/>
    <w:p>
      <w:pPr>
        <w:pStyle w:val="Bibliography"/>
      </w:pPr>
      <w:r>
        <w:t xml:space="preserve">81.</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21"/>
    <w:bookmarkStart w:id="122" w:name="ref-Bertness1994"/>
    <w:p>
      <w:pPr>
        <w:pStyle w:val="Bibliography"/>
      </w:pPr>
      <w:r>
        <w:t xml:space="preserve">82.</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122"/>
    <w:bookmarkStart w:id="123" w:name="ref-Weiss-Lehman2022"/>
    <w:p>
      <w:pPr>
        <w:pStyle w:val="Bibliography"/>
      </w:pPr>
      <w:r>
        <w:t xml:space="preserve">83.</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23"/>
    <w:bookmarkStart w:id="124" w:name="ref-Chevin2017"/>
    <w:p>
      <w:pPr>
        <w:pStyle w:val="Bibliography"/>
      </w:pPr>
      <w:r>
        <w:t xml:space="preserve">84.</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24"/>
    <w:bookmarkStart w:id="125" w:name="ref-Urban2024"/>
    <w:p>
      <w:pPr>
        <w:pStyle w:val="Bibliography"/>
      </w:pPr>
      <w:r>
        <w:t xml:space="preserve">85.</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25"/>
    <w:bookmarkStart w:id="126" w:name="ref-Hoffmann2011"/>
    <w:p>
      <w:pPr>
        <w:pStyle w:val="Bibliography"/>
      </w:pPr>
      <w:r>
        <w:t xml:space="preserve">86.</w:t>
      </w:r>
      <w:r>
        <w:t xml:space="preserve"> </w:t>
      </w:r>
      <w:r>
        <w:t xml:space="preserve">	</w:t>
      </w:r>
      <w:r>
        <w:t xml:space="preserve">Hoffmann, A.A. and Sgrò, C.M. (2011) Climate change and evolutionary adaptation. 470, 479–485</w:t>
      </w:r>
    </w:p>
    <w:bookmarkEnd w:id="126"/>
    <w:bookmarkStart w:id="127" w:name="ref-Hoffmann2022"/>
    <w:p>
      <w:pPr>
        <w:pStyle w:val="Bibliography"/>
      </w:pPr>
      <w:r>
        <w:t xml:space="preserve">87.</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27"/>
    <w:bookmarkStart w:id="128" w:name="ref-Ghalambor2015"/>
    <w:p>
      <w:pPr>
        <w:pStyle w:val="Bibliography"/>
      </w:pPr>
      <w:r>
        <w:t xml:space="preserve">88.</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28"/>
    <w:bookmarkStart w:id="129" w:name="ref-Oostra2018"/>
    <w:p>
      <w:pPr>
        <w:pStyle w:val="Bibliography"/>
      </w:pPr>
      <w:r>
        <w:t xml:space="preserve">89.</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29"/>
    <w:bookmarkStart w:id="130" w:name="ref-Noble2019"/>
    <w:p>
      <w:pPr>
        <w:pStyle w:val="Bibliography"/>
      </w:pPr>
      <w:r>
        <w:t xml:space="preserve">90.</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30"/>
    <w:bookmarkStart w:id="131" w:name="ref-Sousa2010"/>
    <w:p>
      <w:pPr>
        <w:pStyle w:val="Bibliography"/>
      </w:pPr>
      <w:r>
        <w:t xml:space="preserve">91.</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31"/>
    <w:bookmarkStart w:id="132" w:name="ref-Stinchcombe2012"/>
    <w:p>
      <w:pPr>
        <w:pStyle w:val="Bibliography"/>
      </w:pPr>
      <w:r>
        <w:t xml:space="preserve">92.</w:t>
      </w:r>
      <w:r>
        <w:t xml:space="preserve"> </w:t>
      </w:r>
      <w:r>
        <w:t xml:space="preserve">	</w:t>
      </w:r>
      <w:r>
        <w:t xml:space="preserve">Stinchcombe, J.R.</w:t>
      </w:r>
      <w:r>
        <w:t xml:space="preserve"> </w:t>
      </w:r>
      <w:r>
        <w:rPr>
          <w:i/>
          <w:iCs/>
        </w:rPr>
        <w:t xml:space="preserve">et al.</w:t>
      </w:r>
      <w:r>
        <w:t xml:space="preserve"> </w:t>
      </w:r>
      <w:r>
        <w:t xml:space="preserve">(2012) Genetics and evolution of function-valued traits: Understanding environmentally responsive phenotypes.</w:t>
      </w:r>
      <w:r>
        <w:t xml:space="preserve"> </w:t>
      </w:r>
      <w:r>
        <w:rPr>
          <w:i/>
          <w:iCs/>
        </w:rPr>
        <w:t xml:space="preserve">Trends Ecol. Evol.</w:t>
      </w:r>
      <w:r>
        <w:t xml:space="preserve"> </w:t>
      </w:r>
      <w:r>
        <w:t xml:space="preserve">27, 637–647</w:t>
      </w:r>
    </w:p>
    <w:bookmarkEnd w:id="132"/>
    <w:bookmarkStart w:id="133" w:name="ref-Lande1979"/>
    <w:p>
      <w:pPr>
        <w:pStyle w:val="Bibliography"/>
      </w:pPr>
      <w:r>
        <w:t xml:space="preserve">93.</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33"/>
    <w:bookmarkStart w:id="134" w:name="ref-Walsh2018"/>
    <w:p>
      <w:pPr>
        <w:pStyle w:val="Bibliography"/>
      </w:pPr>
      <w:r>
        <w:t xml:space="preserve">94.</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34"/>
    <w:bookmarkStart w:id="135" w:name="ref-Youngblood2025"/>
    <w:p>
      <w:pPr>
        <w:pStyle w:val="Bibliography"/>
      </w:pPr>
      <w:r>
        <w:t xml:space="preserve">95.</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35"/>
    <w:bookmarkStart w:id="136" w:name="ref-Baeza_Icaza2025"/>
    <w:p>
      <w:pPr>
        <w:pStyle w:val="Bibliography"/>
      </w:pPr>
      <w:r>
        <w:t xml:space="preserve">96.</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36"/>
    <w:bookmarkStart w:id="137" w:name="ref-Kearney2009a"/>
    <w:p>
      <w:pPr>
        <w:pStyle w:val="Bibliography"/>
      </w:pPr>
      <w:r>
        <w:t xml:space="preserve">97.</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7"/>
    <w:bookmarkStart w:id="138" w:name="ref-Ellner2011"/>
    <w:p>
      <w:pPr>
        <w:pStyle w:val="Bibliography"/>
      </w:pPr>
      <w:r>
        <w:t xml:space="preserve">98.</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38"/>
    <w:bookmarkStart w:id="139" w:name="ref-Pottier2022a"/>
    <w:p>
      <w:pPr>
        <w:pStyle w:val="Bibliography"/>
      </w:pPr>
      <w:r>
        <w:t xml:space="preserve">99.</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39"/>
    <w:bookmarkStart w:id="140" w:name="ref-Leiva2024b"/>
    <w:p>
      <w:pPr>
        <w:pStyle w:val="Bibliography"/>
      </w:pPr>
      <w:r>
        <w:t xml:space="preserve">100.</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40"/>
    <w:bookmarkStart w:id="141" w:name="ref-Assessment_undated-fv"/>
    <w:p>
      <w:pPr>
        <w:pStyle w:val="Bibliography"/>
      </w:pPr>
      <w:r>
        <w:t xml:space="preserve">101.</w:t>
      </w:r>
      <w:r>
        <w:t xml:space="preserve"> </w:t>
      </w:r>
      <w:r>
        <w:t xml:space="preserve">	</w:t>
      </w:r>
      <w:r>
        <w:t xml:space="preserve">Assessment, M.E. (2005) Opportunities and challenges for business and industryunioviedo.es</w:t>
      </w:r>
    </w:p>
    <w:bookmarkEnd w:id="141"/>
    <w:bookmarkStart w:id="142" w:name="ref-Dandy2019"/>
    <w:p>
      <w:pPr>
        <w:pStyle w:val="Bibliography"/>
      </w:pPr>
      <w:r>
        <w:t xml:space="preserve">102.</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42"/>
    <w:bookmarkStart w:id="143" w:name="ref-Price2014"/>
    <w:p>
      <w:pPr>
        <w:pStyle w:val="Bibliography"/>
      </w:pPr>
      <w:r>
        <w:t xml:space="preserve">103.</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43"/>
    <w:bookmarkStart w:id="144" w:name="ref-Leviston2018"/>
    <w:p>
      <w:pPr>
        <w:pStyle w:val="Bibliography"/>
      </w:pPr>
      <w:r>
        <w:t xml:space="preserve">104.</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44"/>
    <w:bookmarkStart w:id="145" w:name="ref-Bai2016"/>
    <w:p>
      <w:pPr>
        <w:pStyle w:val="Bibliography"/>
      </w:pPr>
      <w:r>
        <w:t xml:space="preserve">105.</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45"/>
    <w:bookmarkStart w:id="146" w:name="ref-Grimm2008"/>
    <w:p>
      <w:pPr>
        <w:pStyle w:val="Bibliography"/>
      </w:pPr>
      <w:r>
        <w:t xml:space="preserve">106.</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46"/>
    <w:bookmarkStart w:id="147" w:name="ref-Hendricks2022"/>
    <w:p>
      <w:pPr>
        <w:pStyle w:val="Bibliography"/>
      </w:pPr>
      <w:r>
        <w:t xml:space="preserve">107.</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47"/>
    <w:bookmarkStart w:id="148" w:name="ref-Sutanto2020"/>
    <w:p>
      <w:pPr>
        <w:pStyle w:val="Bibliography"/>
      </w:pPr>
      <w:r>
        <w:t xml:space="preserve">108.</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48"/>
    <w:bookmarkStart w:id="149" w:name="ref-Liu2007"/>
    <w:p>
      <w:pPr>
        <w:pStyle w:val="Bibliography"/>
      </w:pPr>
      <w:r>
        <w:t xml:space="preserve">109.</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49"/>
    <w:bookmarkStart w:id="150" w:name="ref-Black2011"/>
    <w:p>
      <w:pPr>
        <w:pStyle w:val="Bibliography"/>
      </w:pPr>
      <w:r>
        <w:t xml:space="preserve">110.</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50"/>
    <w:bookmarkStart w:id="151" w:name="ref-Neil_Adger1999"/>
    <w:p>
      <w:pPr>
        <w:pStyle w:val="Bibliography"/>
      </w:pPr>
      <w:r>
        <w:t xml:space="preserve">111.</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51"/>
    <w:bookmarkStart w:id="152" w:name="ref-Folke2016"/>
    <w:p>
      <w:pPr>
        <w:pStyle w:val="Bibliography"/>
      </w:pPr>
      <w:r>
        <w:t xml:space="preserve">112.</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52"/>
    <w:bookmarkStart w:id="153" w:name="ref-Schluter2012"/>
    <w:p>
      <w:pPr>
        <w:pStyle w:val="Bibliography"/>
      </w:pPr>
      <w:r>
        <w:t xml:space="preserve">113.</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53"/>
    <w:bookmarkStart w:id="154" w:name="ref-Wise2014"/>
    <w:p>
      <w:pPr>
        <w:pStyle w:val="Bibliography"/>
      </w:pPr>
      <w:r>
        <w:t xml:space="preserve">114.</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54"/>
    <w:bookmarkStart w:id="155" w:name="ref-Biggs2021"/>
    <w:p>
      <w:pPr>
        <w:pStyle w:val="Bibliography"/>
      </w:pPr>
      <w:r>
        <w:t xml:space="preserve">115.</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55"/>
    <w:bookmarkStart w:id="156" w:name="ref-Brown2021"/>
    <w:p>
      <w:pPr>
        <w:pStyle w:val="Bibliography"/>
      </w:pPr>
      <w:r>
        <w:t xml:space="preserve">116.</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56"/>
    <w:bookmarkStart w:id="157" w:name="ref-Kwakkel2013"/>
    <w:p>
      <w:pPr>
        <w:pStyle w:val="Bibliography"/>
      </w:pPr>
      <w:r>
        <w:t xml:space="preserve">117.</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57"/>
    <w:bookmarkEnd w:id="158"/>
    <w:p>
      <w:pPr>
        <w:pStyle w:val="BodyText"/>
      </w:pPr>
    </w:p>
    <w:bookmarkEnd w:id="159"/>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8"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28"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2025-05-15T04:16:19Z</dcterms:created>
  <dcterms:modified xsi:type="dcterms:W3CDTF">2025-05-15T04:16:19Z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