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avoidance strategies.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behaviour,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bookmarkEnd w:id="27"/>
    <w:bookmarkStart w:id="28" w:name="X4da05dea4acdb2054c1e59c2f12913febac8a0c"/>
    <w:p>
      <w:pPr>
        <w:pStyle w:val="Heading1"/>
      </w:pPr>
      <w:r>
        <w:t xml:space="preserve">From weather to microclimates: predicting community wide exposure to extreme heat</w:t>
      </w:r>
    </w:p>
    <w:bookmarkEnd w:id="28"/>
    <w:bookmarkStart w:id="29"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9"/>
    <w:bookmarkStart w:id="31"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0"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0"/>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31"/>
    <w:bookmarkStart w:id="32" w:name="X26e2617c7557035eb826bdba0aa1bfc30f8def3"/>
    <w:p>
      <w:pPr>
        <w:pStyle w:val="Heading1"/>
      </w:pPr>
      <w:r>
        <w:t xml:space="preserve">Sensitivity to extreme heat is mediated by environmental feedbacks</w:t>
      </w:r>
    </w:p>
    <w:bookmarkEnd w:id="32"/>
    <w:bookmarkStart w:id="33"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33"/>
    <w:bookmarkStart w:id="34"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4"/>
    <w:bookmarkStart w:id="35"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bookmarkEnd w:id="35"/>
    <w:bookmarkStart w:id="37"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[60–62]</w:t>
      </w:r>
      <w:r>
        <w:t xml:space="preserve">. Phenotypic plasticity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[60]</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[61,63–66]</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traits to emerge</w:t>
      </w:r>
      <w:r>
        <w:t xml:space="preserve"> </w:t>
      </w:r>
      <w:r>
        <w:t xml:space="preserve">[67]</w:t>
      </w:r>
      <w:r>
        <w:t xml:space="preserve"> </w:t>
      </w:r>
      <w:r>
        <w:t xml:space="preserve">or even function-valued traits</w:t>
      </w:r>
      <w:r>
        <w:t xml:space="preserve"> </w:t>
      </w:r>
      <w:r>
        <w:t xml:space="preserve">[68]</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[69]</w:t>
      </w:r>
      <w:r>
        <w:t xml:space="preserve">:</w:t>
      </w:r>
    </w:p>
    <w:p>
      <w:pPr>
        <w:pStyle w:val="BodyText"/>
      </w:pPr>
      <w:bookmarkStart w:id="36"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6"/>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[70]</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[62,70]</w:t>
      </w:r>
      <w:r>
        <w:t xml:space="preserve">.</w:t>
      </w:r>
    </w:p>
    <w:p>
      <w:pPr>
        <w:pStyle w:val="BodyText"/>
      </w:pPr>
      <w:r>
        <w:t xml:space="preserve">Measuring and incorporating both plasticity and evolution into our proposed systems modelling framework is still rare and usually focused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[71–76]</w:t>
      </w:r>
      <w:r>
        <w:t xml:space="preserve">. For example, using isogenic lines of</w:t>
      </w:r>
      <w:r>
        <w:t xml:space="preserve"> </w:t>
      </w:r>
      <w:r>
        <w:rPr>
          <w:i/>
          <w:iCs/>
        </w:rPr>
        <w:t xml:space="preserve">Drosophia melanogaster</w:t>
      </w:r>
      <w:r>
        <w:t xml:space="preserve">,</w:t>
      </w:r>
      <w:r>
        <w:t xml:space="preserve"> </w:t>
      </w:r>
      <w:r>
        <w:t xml:space="preserve">[76]</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[72]</w:t>
      </w:r>
      <w:r>
        <w:t xml:space="preserve">, and in locusts drought can also affect heat tolerance</w:t>
      </w:r>
      <w:r>
        <w:t xml:space="preserve"> </w:t>
      </w:r>
      <w:r>
        <w:t xml:space="preserve">[71]</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[77]</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[78]</w:t>
            </w:r>
            <w:r>
              <w:t xml:space="preserve">. Thermal stressors may even influence producers’ psychological beliefs about their level of control over land management, and perceived resources available for management practices</w:t>
            </w:r>
            <w:r>
              <w:t xml:space="preserve"> </w:t>
            </w:r>
            <w:r>
              <w:t xml:space="preserve">[79]</w:t>
            </w:r>
            <w:r>
              <w:t xml:space="preserve">. Thermal risks to ecosystems may also precipitate declines in individual wellbeing, and these consequences may accrue differently across regions and across peoples</w:t>
            </w:r>
            <w:r>
              <w:t xml:space="preserve"> </w:t>
            </w:r>
            <w:r>
              <w:t xml:space="preserve">[80]</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[81,82]</w:t>
            </w:r>
            <w:r>
              <w:t xml:space="preserve">. On the other hand, adapting thermal risks in upper stream producers may also be influenced by the perception and behaviour of downstream consumers</w:t>
            </w:r>
            <w:r>
              <w:t xml:space="preserve"> </w:t>
            </w:r>
            <w:r>
              <w:t xml:space="preserve">[83]</w:t>
            </w:r>
            <w:r>
              <w:t xml:space="preserve">. The cascading</w:t>
            </w:r>
            <w:r>
              <w:t xml:space="preserve"> </w:t>
            </w:r>
            <w:r>
              <w:t xml:space="preserve">[84]</w:t>
            </w:r>
            <w:r>
              <w:t xml:space="preserve"> </w:t>
            </w:r>
            <w:r>
              <w:t xml:space="preserve">and telecoupled</w:t>
            </w:r>
            <w:r>
              <w:t xml:space="preserve"> </w:t>
            </w:r>
            <w:r>
              <w:t xml:space="preserve">[85]</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[86]</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[87]</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[88]</w:t>
            </w:r>
            <w:r>
              <w:t xml:space="preserve">. Social-ecological models aim to capture the social systems, natural systems and their interactions</w:t>
            </w:r>
            <w:r>
              <w:t xml:space="preserve"> </w:t>
            </w:r>
            <w:r>
              <w:t xml:space="preserve">[89]</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[90]</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[91]</w:t>
            </w:r>
            <w:r>
              <w:t xml:space="preserve">. Process-based approaches are critical to understanding how emergent social-ecological phenomena develop</w:t>
            </w:r>
            <w:r>
              <w:t xml:space="preserve"> </w:t>
            </w:r>
            <w:r>
              <w:t xml:space="preserve">[92]</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[93]</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7"/>
    <w:bookmarkStart w:id="38"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1"/>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1"/>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2"/>
        </w:numPr>
      </w:pPr>
      <w:r>
        <w:t xml:space="preserve">Microbial recruitment (Braj)</w:t>
      </w:r>
    </w:p>
    <w:p>
      <w:pPr>
        <w:pStyle w:val="Compact"/>
        <w:numPr>
          <w:ilvl w:val="1"/>
          <w:numId w:val="1002"/>
        </w:numPr>
      </w:pPr>
      <w:r>
        <w:t xml:space="preserve">Pollinator services (James, Margie)</w:t>
      </w:r>
    </w:p>
    <w:p>
      <w:pPr>
        <w:pStyle w:val="Compact"/>
        <w:numPr>
          <w:ilvl w:val="0"/>
          <w:numId w:val="1001"/>
        </w:numPr>
      </w:pPr>
      <w:r>
        <w:t xml:space="preserve">Cooler landscapes</w:t>
      </w:r>
    </w:p>
    <w:p>
      <w:pPr>
        <w:pStyle w:val="Compact"/>
        <w:numPr>
          <w:ilvl w:val="1"/>
          <w:numId w:val="1003"/>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1"/>
        </w:numPr>
      </w:pPr>
      <w:r>
        <w:t xml:space="preserve">Pest and disease prediction and control. (Ary)</w:t>
      </w:r>
    </w:p>
    <w:p>
      <w:pPr>
        <w:pStyle w:val="Compact"/>
        <w:numPr>
          <w:ilvl w:val="0"/>
          <w:numId w:val="1001"/>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tc>
      </w:tr>
    </w:tbl>
    <w:bookmarkEnd w:id="38"/>
    <w:bookmarkStart w:id="40"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39">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in our understanding of the impacts of extreme heat on organisms and communities that need to be addressed. These include:</w:t>
      </w:r>
    </w:p>
    <w:p>
      <w:pPr>
        <w:pStyle w:val="Compact"/>
        <w:numPr>
          <w:ilvl w:val="0"/>
          <w:numId w:val="1004"/>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4"/>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4"/>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4"/>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[73]</w:t>
      </w:r>
      <w:r>
        <w:t xml:space="preserve"> </w:t>
      </w:r>
      <w:r>
        <w:t xml:space="preserve">(Ary).</w:t>
      </w:r>
    </w:p>
    <w:p>
      <w:pPr>
        <w:pStyle w:val="Compact"/>
        <w:numPr>
          <w:ilvl w:val="0"/>
          <w:numId w:val="1004"/>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4"/>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0"/>
    <w:bookmarkStart w:id="151" w:name="references"/>
    <w:p>
      <w:pPr>
        <w:pStyle w:val="Heading1"/>
      </w:pPr>
      <w:r>
        <w:t xml:space="preserve">References</w:t>
      </w:r>
    </w:p>
    <w:p>
      <w:pPr>
        <w:pStyle w:val="FirstParagraph"/>
      </w:pPr>
    </w:p>
    <w:bookmarkStart w:id="150" w:name="refs"/>
    <w:bookmarkStart w:id="4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1"/>
    <w:bookmarkStart w:id="4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2"/>
    <w:bookmarkStart w:id="43"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3"/>
    <w:bookmarkStart w:id="44"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4"/>
    <w:bookmarkStart w:id="45"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5"/>
    <w:bookmarkStart w:id="46"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6"/>
    <w:bookmarkStart w:id="47"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7"/>
    <w:bookmarkStart w:id="48"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8"/>
    <w:bookmarkStart w:id="49"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9"/>
    <w:bookmarkStart w:id="50"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0"/>
    <w:bookmarkStart w:id="51"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1"/>
    <w:bookmarkStart w:id="52"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2"/>
    <w:bookmarkStart w:id="53"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3"/>
    <w:bookmarkStart w:id="54"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4"/>
    <w:bookmarkStart w:id="55"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5"/>
    <w:bookmarkStart w:id="56"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6"/>
    <w:bookmarkStart w:id="57"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7"/>
    <w:bookmarkStart w:id="58"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8"/>
    <w:bookmarkStart w:id="59"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9"/>
    <w:bookmarkStart w:id="60"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0"/>
    <w:bookmarkStart w:id="61"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1"/>
    <w:bookmarkStart w:id="62"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2"/>
    <w:bookmarkStart w:id="63"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3"/>
    <w:bookmarkStart w:id="64"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5"/>
    <w:bookmarkStart w:id="66"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6"/>
    <w:bookmarkStart w:id="67"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7"/>
    <w:bookmarkStart w:id="68"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68"/>
    <w:bookmarkStart w:id="69"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69"/>
    <w:bookmarkStart w:id="70"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0"/>
    <w:bookmarkStart w:id="71"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1"/>
    <w:bookmarkStart w:id="72"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2"/>
    <w:bookmarkStart w:id="73"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3"/>
    <w:bookmarkStart w:id="74"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4"/>
    <w:bookmarkStart w:id="75"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5"/>
    <w:bookmarkStart w:id="76"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6"/>
    <w:bookmarkStart w:id="77"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7"/>
    <w:bookmarkStart w:id="78"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78"/>
    <w:bookmarkStart w:id="79"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79"/>
    <w:bookmarkStart w:id="80"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0"/>
    <w:bookmarkStart w:id="81"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1"/>
    <w:bookmarkStart w:id="82"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2"/>
    <w:bookmarkStart w:id="83"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3"/>
    <w:bookmarkStart w:id="84"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4"/>
    <w:bookmarkStart w:id="85"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5"/>
    <w:bookmarkStart w:id="86"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6"/>
    <w:bookmarkStart w:id="87"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7"/>
    <w:bookmarkStart w:id="88"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88"/>
    <w:bookmarkStart w:id="89"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89"/>
    <w:bookmarkStart w:id="90"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0"/>
    <w:bookmarkStart w:id="91"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1"/>
    <w:bookmarkStart w:id="92"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2"/>
    <w:bookmarkStart w:id="93"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3"/>
    <w:bookmarkStart w:id="94"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4"/>
    <w:bookmarkStart w:id="95"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5"/>
    <w:bookmarkStart w:id="96"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6"/>
    <w:bookmarkStart w:id="97"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7"/>
    <w:bookmarkStart w:id="98"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98"/>
    <w:bookmarkStart w:id="99"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99"/>
    <w:bookmarkStart w:id="100" w:name="ref-Chevin2017"/>
    <w:p>
      <w:pPr>
        <w:pStyle w:val="Bibliography"/>
      </w:pPr>
      <w:r>
        <w:t xml:space="preserve">60.</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00"/>
    <w:bookmarkStart w:id="101" w:name="ref-Urban2024"/>
    <w:p>
      <w:pPr>
        <w:pStyle w:val="Bibliography"/>
      </w:pPr>
      <w:r>
        <w:t xml:space="preserve">61.</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01"/>
    <w:bookmarkStart w:id="102" w:name="ref-Hoffmann2011"/>
    <w:p>
      <w:pPr>
        <w:pStyle w:val="Bibliography"/>
      </w:pPr>
      <w:r>
        <w:t xml:space="preserve">62.</w:t>
      </w:r>
      <w:r>
        <w:t xml:space="preserve"> </w:t>
      </w:r>
      <w:r>
        <w:t xml:space="preserve">	</w:t>
      </w:r>
      <w:r>
        <w:t xml:space="preserve">Hoffmann, A.A. and Sgrò, C.M. (2011) Climate change and evolutionary adaptation. 470, 479–485</w:t>
      </w:r>
    </w:p>
    <w:bookmarkEnd w:id="102"/>
    <w:bookmarkStart w:id="103" w:name="ref-Hoffmann2022"/>
    <w:p>
      <w:pPr>
        <w:pStyle w:val="Bibliography"/>
      </w:pPr>
      <w:r>
        <w:t xml:space="preserve">63.</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03"/>
    <w:bookmarkStart w:id="104" w:name="ref-Ghalambor2015"/>
    <w:p>
      <w:pPr>
        <w:pStyle w:val="Bibliography"/>
      </w:pPr>
      <w:r>
        <w:t xml:space="preserve">64.</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04"/>
    <w:bookmarkStart w:id="105" w:name="ref-Oostra2018"/>
    <w:p>
      <w:pPr>
        <w:pStyle w:val="Bibliography"/>
      </w:pPr>
      <w:r>
        <w:t xml:space="preserve">65.</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05"/>
    <w:bookmarkStart w:id="106" w:name="ref-Noble2019"/>
    <w:p>
      <w:pPr>
        <w:pStyle w:val="Bibliography"/>
      </w:pPr>
      <w:r>
        <w:t xml:space="preserve">66.</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06"/>
    <w:bookmarkStart w:id="107" w:name="ref-Sousa2010"/>
    <w:p>
      <w:pPr>
        <w:pStyle w:val="Bibliography"/>
      </w:pPr>
      <w:r>
        <w:t xml:space="preserve">67.</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07"/>
    <w:bookmarkStart w:id="108" w:name="ref-Stinchcombe2012"/>
    <w:p>
      <w:pPr>
        <w:pStyle w:val="Bibliography"/>
      </w:pPr>
      <w:r>
        <w:t xml:space="preserve">68.</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08"/>
    <w:bookmarkStart w:id="109" w:name="ref-Lande1979"/>
    <w:p>
      <w:pPr>
        <w:pStyle w:val="Bibliography"/>
      </w:pPr>
      <w:r>
        <w:t xml:space="preserve">69.</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09"/>
    <w:bookmarkStart w:id="110" w:name="ref-Walsh2018"/>
    <w:p>
      <w:pPr>
        <w:pStyle w:val="Bibliography"/>
      </w:pPr>
      <w:r>
        <w:t xml:space="preserve">70.</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10"/>
    <w:bookmarkStart w:id="111" w:name="ref-Youngblood2025"/>
    <w:p>
      <w:pPr>
        <w:pStyle w:val="Bibliography"/>
      </w:pPr>
      <w:r>
        <w:t xml:space="preserve">71.</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11"/>
    <w:bookmarkStart w:id="112" w:name="ref-Baeza_Icaza2025"/>
    <w:p>
      <w:pPr>
        <w:pStyle w:val="Bibliography"/>
      </w:pPr>
      <w:r>
        <w:t xml:space="preserve">72.</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12"/>
    <w:bookmarkStart w:id="113" w:name="ref-Kearney2009a"/>
    <w:p>
      <w:pPr>
        <w:pStyle w:val="Bibliography"/>
      </w:pPr>
      <w:r>
        <w:t xml:space="preserve">73.</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13"/>
    <w:bookmarkStart w:id="114" w:name="ref-Ellner2011"/>
    <w:p>
      <w:pPr>
        <w:pStyle w:val="Bibliography"/>
      </w:pPr>
      <w:r>
        <w:t xml:space="preserve">74.</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14"/>
    <w:bookmarkStart w:id="115" w:name="ref-Pottier2022a"/>
    <w:p>
      <w:pPr>
        <w:pStyle w:val="Bibliography"/>
      </w:pPr>
      <w:r>
        <w:t xml:space="preserve">75.</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15"/>
    <w:bookmarkStart w:id="116" w:name="ref-Leiva2024b"/>
    <w:p>
      <w:pPr>
        <w:pStyle w:val="Bibliography"/>
      </w:pPr>
      <w:r>
        <w:t xml:space="preserve">76.</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16"/>
    <w:bookmarkStart w:id="117" w:name="ref-Assessment_undated-fv"/>
    <w:p>
      <w:pPr>
        <w:pStyle w:val="Bibliography"/>
      </w:pPr>
      <w:r>
        <w:t xml:space="preserve">77.</w:t>
      </w:r>
      <w:r>
        <w:t xml:space="preserve"> </w:t>
      </w:r>
      <w:r>
        <w:t xml:space="preserve">	</w:t>
      </w:r>
      <w:r>
        <w:t xml:space="preserve">Assessment, M.E. (2005) Opportunities and challenges for business and industryunioviedo.es</w:t>
      </w:r>
    </w:p>
    <w:bookmarkEnd w:id="117"/>
    <w:bookmarkStart w:id="118" w:name="ref-Dandy2019"/>
    <w:p>
      <w:pPr>
        <w:pStyle w:val="Bibliography"/>
      </w:pPr>
      <w:r>
        <w:t xml:space="preserve">78.</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18"/>
    <w:bookmarkStart w:id="119" w:name="ref-Price2014"/>
    <w:p>
      <w:pPr>
        <w:pStyle w:val="Bibliography"/>
      </w:pPr>
      <w:r>
        <w:t xml:space="preserve">79.</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19"/>
    <w:bookmarkStart w:id="120" w:name="ref-Leviston2018"/>
    <w:p>
      <w:pPr>
        <w:pStyle w:val="Bibliography"/>
      </w:pPr>
      <w:r>
        <w:t xml:space="preserve">80.</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0"/>
    <w:bookmarkStart w:id="121" w:name="ref-Bai2016"/>
    <w:p>
      <w:pPr>
        <w:pStyle w:val="Bibliography"/>
      </w:pPr>
      <w:r>
        <w:t xml:space="preserve">81.</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21"/>
    <w:bookmarkStart w:id="122" w:name="ref-Grimm2008"/>
    <w:p>
      <w:pPr>
        <w:pStyle w:val="Bibliography"/>
      </w:pPr>
      <w:r>
        <w:t xml:space="preserve">82.</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22"/>
    <w:bookmarkStart w:id="123" w:name="ref-Hendricks2022"/>
    <w:p>
      <w:pPr>
        <w:pStyle w:val="Bibliography"/>
      </w:pPr>
      <w:r>
        <w:t xml:space="preserve">83.</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23"/>
    <w:bookmarkStart w:id="124" w:name="ref-Sutanto2020"/>
    <w:p>
      <w:pPr>
        <w:pStyle w:val="Bibliography"/>
      </w:pPr>
      <w:r>
        <w:t xml:space="preserve">84.</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24"/>
    <w:bookmarkStart w:id="125" w:name="ref-Liu2007"/>
    <w:p>
      <w:pPr>
        <w:pStyle w:val="Bibliography"/>
      </w:pPr>
      <w:r>
        <w:t xml:space="preserve">85.</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25"/>
    <w:bookmarkStart w:id="126" w:name="ref-Black2011"/>
    <w:p>
      <w:pPr>
        <w:pStyle w:val="Bibliography"/>
      </w:pPr>
      <w:r>
        <w:t xml:space="preserve">86.</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26"/>
    <w:bookmarkStart w:id="127" w:name="ref-Neil_Adger1999"/>
    <w:p>
      <w:pPr>
        <w:pStyle w:val="Bibliography"/>
      </w:pPr>
      <w:r>
        <w:t xml:space="preserve">87.</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27"/>
    <w:bookmarkStart w:id="128" w:name="ref-Folke2016"/>
    <w:p>
      <w:pPr>
        <w:pStyle w:val="Bibliography"/>
      </w:pPr>
      <w:r>
        <w:t xml:space="preserve">88.</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28"/>
    <w:bookmarkStart w:id="129" w:name="ref-Schluter2012"/>
    <w:p>
      <w:pPr>
        <w:pStyle w:val="Bibliography"/>
      </w:pPr>
      <w:r>
        <w:t xml:space="preserve">89.</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29"/>
    <w:bookmarkStart w:id="130" w:name="ref-Wise2014"/>
    <w:p>
      <w:pPr>
        <w:pStyle w:val="Bibliography"/>
      </w:pPr>
      <w:r>
        <w:t xml:space="preserve">90.</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0"/>
    <w:bookmarkStart w:id="131" w:name="ref-Biggs2021"/>
    <w:p>
      <w:pPr>
        <w:pStyle w:val="Bibliography"/>
      </w:pPr>
      <w:r>
        <w:t xml:space="preserve">91.</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31"/>
    <w:bookmarkStart w:id="132" w:name="ref-Brown2021"/>
    <w:p>
      <w:pPr>
        <w:pStyle w:val="Bibliography"/>
      </w:pPr>
      <w:r>
        <w:t xml:space="preserve">92.</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32"/>
    <w:bookmarkStart w:id="133" w:name="ref-Kwakkel2013"/>
    <w:p>
      <w:pPr>
        <w:pStyle w:val="Bibliography"/>
      </w:pPr>
      <w:r>
        <w:t xml:space="preserve">93.</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33"/>
    <w:bookmarkStart w:id="134" w:name="ref-Delmas2019"/>
    <w:p>
      <w:pPr>
        <w:pStyle w:val="Bibliography"/>
      </w:pPr>
      <w:r>
        <w:t xml:space="preserve">94.</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34"/>
    <w:bookmarkStart w:id="135" w:name="ref-Godoy2019"/>
    <w:p>
      <w:pPr>
        <w:pStyle w:val="Bibliography"/>
      </w:pPr>
      <w:r>
        <w:t xml:space="preserve">95.</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35"/>
    <w:bookmarkStart w:id="136" w:name="ref-Poisot2021"/>
    <w:p>
      <w:pPr>
        <w:pStyle w:val="Bibliography"/>
      </w:pPr>
      <w:r>
        <w:t xml:space="preserve">96.</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36"/>
    <w:bookmarkStart w:id="137" w:name="ref-Hui2019"/>
    <w:p>
      <w:pPr>
        <w:pStyle w:val="Bibliography"/>
      </w:pPr>
      <w:r>
        <w:t xml:space="preserve">97.</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37"/>
    <w:bookmarkStart w:id="138" w:name="ref-Gomez2023"/>
    <w:p>
      <w:pPr>
        <w:pStyle w:val="Bibliography"/>
      </w:pPr>
      <w:r>
        <w:t xml:space="preserve">98.</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38"/>
    <w:bookmarkStart w:id="139" w:name="ref-Lytle2023"/>
    <w:p>
      <w:pPr>
        <w:pStyle w:val="Bibliography"/>
      </w:pPr>
      <w:r>
        <w:t xml:space="preserve">99.</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39"/>
    <w:bookmarkStart w:id="140" w:name="ref-Petsopoulos2021"/>
    <w:p>
      <w:pPr>
        <w:pStyle w:val="Bibliography"/>
      </w:pPr>
      <w:r>
        <w:t xml:space="preserve">100.</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40"/>
    <w:bookmarkStart w:id="141" w:name="ref-Dale2021"/>
    <w:p>
      <w:pPr>
        <w:pStyle w:val="Bibliography"/>
      </w:pPr>
      <w:r>
        <w:t xml:space="preserve">101.</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41"/>
    <w:bookmarkStart w:id="142" w:name="ref-Lu2023"/>
    <w:p>
      <w:pPr>
        <w:pStyle w:val="Bibliography"/>
      </w:pPr>
      <w:r>
        <w:t xml:space="preserve">102.</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42"/>
    <w:bookmarkStart w:id="143" w:name="ref-Carrara2015"/>
    <w:p>
      <w:pPr>
        <w:pStyle w:val="Bibliography"/>
      </w:pPr>
      <w:r>
        <w:t xml:space="preserve">103.</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43"/>
    <w:bookmarkStart w:id="144" w:name="ref-Vitali2022"/>
    <w:p>
      <w:pPr>
        <w:pStyle w:val="Bibliography"/>
      </w:pPr>
      <w:r>
        <w:t xml:space="preserve">104.</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44"/>
    <w:bookmarkStart w:id="145" w:name="ref-Riva2023"/>
    <w:p>
      <w:pPr>
        <w:pStyle w:val="Bibliography"/>
      </w:pPr>
      <w:r>
        <w:t xml:space="preserve">105.</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45"/>
    <w:bookmarkStart w:id="146" w:name="ref-Terry2020"/>
    <w:p>
      <w:pPr>
        <w:pStyle w:val="Bibliography"/>
      </w:pPr>
      <w:r>
        <w:t xml:space="preserve">106.</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46"/>
    <w:bookmarkStart w:id="147" w:name="ref-Zou2024"/>
    <w:p>
      <w:pPr>
        <w:pStyle w:val="Bibliography"/>
      </w:pPr>
      <w:r>
        <w:t xml:space="preserve">107.</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47"/>
    <w:bookmarkStart w:id="148" w:name="ref-Li2023"/>
    <w:p>
      <w:pPr>
        <w:pStyle w:val="Bibliography"/>
      </w:pPr>
      <w:r>
        <w:t xml:space="preserve">108.</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48"/>
    <w:bookmarkStart w:id="149" w:name="ref-Zhu2024"/>
    <w:p>
      <w:pPr>
        <w:pStyle w:val="Bibliography"/>
      </w:pPr>
      <w:r>
        <w:t xml:space="preserve">109.</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49"/>
    <w:bookmarkEnd w:id="150"/>
    <w:p>
      <w:pPr>
        <w:pStyle w:val="BodyText"/>
      </w:pPr>
    </w:p>
    <w:bookmarkEnd w:id="151"/>
    <w:bookmarkStart w:id="153" w:name="endnotes-to-keep-track-off"/>
    <w:p>
      <w:pPr>
        <w:pStyle w:val="Heading1"/>
      </w:pPr>
      <w:r>
        <w:t xml:space="preserve">Endnotes To Keep Track off</w:t>
      </w:r>
    </w:p>
    <w:bookmarkStart w:id="152" w:name="pop-ecology-section"/>
    <w:p>
      <w:pPr>
        <w:pStyle w:val="Heading2"/>
      </w:pPr>
      <w:r>
        <w:t xml:space="preserve">Pop ecology section</w:t>
      </w:r>
    </w:p>
    <w:p>
      <w:pPr>
        <w:pStyle w:val="Compact"/>
        <w:numPr>
          <w:ilvl w:val="0"/>
          <w:numId w:val="1005"/>
        </w:numPr>
      </w:pPr>
      <w:r>
        <w:t xml:space="preserve">How can we link mechanistic physiological models with population and community ecology theory?</w:t>
      </w:r>
    </w:p>
    <w:p>
      <w:pPr>
        <w:pStyle w:val="Compact"/>
        <w:numPr>
          <w:ilvl w:val="0"/>
          <w:numId w:val="1005"/>
        </w:numPr>
      </w:pPr>
      <w:r>
        <w:t xml:space="preserve">Introducing population and network models to link outputs from DEB (survival, reproduction, abundance) to population growth.</w:t>
      </w:r>
    </w:p>
    <w:p>
      <w:pPr>
        <w:pStyle w:val="Compact"/>
        <w:numPr>
          <w:ilvl w:val="0"/>
          <w:numId w:val="1005"/>
        </w:numPr>
      </w:pPr>
      <w:r>
        <w:t xml:space="preserve">How people are analysing communities with network theory. Some important papers</w:t>
      </w:r>
      <w:r>
        <w:t xml:space="preserve"> </w:t>
      </w:r>
      <w:r>
        <w:t xml:space="preserve">[94]</w:t>
      </w:r>
      <w:r>
        <w:t xml:space="preserve"> </w:t>
      </w:r>
      <w:r>
        <w:t xml:space="preserve">[95]</w:t>
      </w:r>
      <w:r>
        <w:t xml:space="preserve"> </w:t>
      </w:r>
      <w:r>
        <w:t xml:space="preserve">[96]</w:t>
      </w:r>
      <w:r>
        <w:t xml:space="preserve"> </w:t>
      </w:r>
      <w:r>
        <w:t xml:space="preserve">[97]</w:t>
      </w:r>
      <w:r>
        <w:t xml:space="preserve"> </w:t>
      </w:r>
      <w:r>
        <w:t xml:space="preserve">[98]</w:t>
      </w:r>
      <w:r>
        <w:t xml:space="preserve"> </w:t>
      </w:r>
      <w:r>
        <w:t xml:space="preserve">[99]</w:t>
      </w:r>
      <w:r>
        <w:t xml:space="preserve"> </w:t>
      </w:r>
      <w:r>
        <w:t xml:space="preserve">[100]</w:t>
      </w:r>
      <w:r>
        <w:t xml:space="preserve"> </w:t>
      </w:r>
      <w:r>
        <w:t xml:space="preserve">Should also look at this book</w:t>
      </w:r>
      <w:r>
        <w:t xml:space="preserve"> </w:t>
      </w:r>
      <w:r>
        <w:t xml:space="preserve">[101]</w:t>
      </w:r>
    </w:p>
    <w:p>
      <w:pPr>
        <w:pStyle w:val="Compact"/>
        <w:numPr>
          <w:ilvl w:val="0"/>
          <w:numId w:val="1005"/>
        </w:numPr>
      </w:pPr>
      <w:r>
        <w:t xml:space="preserve">How can we capture interactions among species within the community to predict how heat stress will affect community structure?</w:t>
      </w:r>
    </w:p>
    <w:p>
      <w:pPr>
        <w:pStyle w:val="Compact"/>
        <w:numPr>
          <w:ilvl w:val="0"/>
          <w:numId w:val="1005"/>
        </w:numPr>
      </w:pPr>
      <w:r>
        <w:t xml:space="preserve">Figure 2: demonstrating how TLS, biophysical and DEB models can be used to predict heat stress impacts on plants and animals, growth, reproduction, survival. (Dan, Margie)</w:t>
      </w:r>
    </w:p>
    <w:p>
      <w:pPr>
        <w:pStyle w:val="Compact"/>
        <w:numPr>
          <w:ilvl w:val="0"/>
          <w:numId w:val="1005"/>
        </w:numPr>
      </w:pPr>
      <w:r>
        <w:t xml:space="preserve">Also this is a cool paper</w:t>
      </w:r>
      <w:r>
        <w:t xml:space="preserve"> </w:t>
      </w:r>
      <w:r>
        <w:t xml:space="preserve">[102]</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[103]</w:t>
      </w:r>
      <w:r>
        <w:t xml:space="preserve">. We can here model the actual abundance of a given species and it would seem more flexible to incorporate thermal tolerance infor into these models.</w:t>
      </w:r>
    </w:p>
    <w:p>
      <w:pPr>
        <w:pStyle w:val="Compact"/>
        <w:numPr>
          <w:ilvl w:val="0"/>
          <w:numId w:val="1005"/>
        </w:numPr>
      </w:pPr>
      <w:r>
        <w:t xml:space="preserve">have a close look at</w:t>
      </w:r>
      <w:r>
        <w:t xml:space="preserve"> </w:t>
      </w:r>
      <w:r>
        <w:t xml:space="preserve">[104]</w:t>
      </w:r>
      <w:r>
        <w:t xml:space="preserve"> </w:t>
      </w:r>
      <w:r>
        <w:t xml:space="preserve">and</w:t>
      </w:r>
      <w:r>
        <w:t xml:space="preserve"> </w:t>
      </w:r>
      <w:r>
        <w:t xml:space="preserve">[105]</w:t>
      </w:r>
      <w:r>
        <w:t xml:space="preserve">, limitations</w:t>
      </w:r>
      <w:r>
        <w:t xml:space="preserve"> </w:t>
      </w:r>
      <w:r>
        <w:t xml:space="preserve">[106]</w:t>
      </w:r>
    </w:p>
    <w:bookmarkEnd w:id="152"/>
    <w:bookmarkEnd w:id="153"/>
    <w:bookmarkStart w:id="159"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6"/>
        </w:numPr>
      </w:pPr>
      <w:r>
        <w:t xml:space="preserve">Goal of this section is to briefly focus on the BIOLOGY that will shift thermal exposure and sensitivity in plants and animals.</w:t>
      </w:r>
    </w:p>
    <w:p>
      <w:pPr>
        <w:pStyle w:val="Compact"/>
        <w:numPr>
          <w:ilvl w:val="0"/>
          <w:numId w:val="1006"/>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6"/>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6"/>
        </w:numPr>
      </w:pPr>
      <w:r>
        <w:t xml:space="preserve">If uncertain about adding a sentence to the link to the models above, that’s ok, Dan, Mike, Margie and Belinda can add.</w:t>
      </w:r>
    </w:p>
    <w:bookmarkStart w:id="154" w:name="X1b136e3eae891c477bc728d2597e572ca649eaa"/>
    <w:p>
      <w:pPr>
        <w:pStyle w:val="Heading3"/>
      </w:pPr>
      <w:r>
        <w:t xml:space="preserve">Microbial communities can impact thermal sensitivity in plants and animals (Brajesh)</w:t>
      </w:r>
    </w:p>
    <w:p>
      <w:pPr>
        <w:pStyle w:val="Compact"/>
        <w:numPr>
          <w:ilvl w:val="0"/>
          <w:numId w:val="1007"/>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7"/>
        </w:numPr>
      </w:pPr>
      <w:r>
        <w:t xml:space="preserve">See</w:t>
      </w:r>
      <w:r>
        <w:t xml:space="preserve"> </w:t>
      </w:r>
      <w:r>
        <w:t xml:space="preserve">[107]</w:t>
      </w:r>
      <w:r>
        <w:t xml:space="preserve">. The paper provides a framework for modelling soil plant interactions</w:t>
      </w:r>
    </w:p>
    <w:bookmarkEnd w:id="154"/>
    <w:bookmarkStart w:id="155" w:name="X24738ef4513767bb724ce8804ac017259eaf2ee"/>
    <w:p>
      <w:pPr>
        <w:pStyle w:val="Heading3"/>
      </w:pPr>
      <w:r>
        <w:t xml:space="preserve">Water availability can impact thermal sensitivity of plants and animals (Brendan)</w:t>
      </w:r>
    </w:p>
    <w:bookmarkEnd w:id="155"/>
    <w:bookmarkStart w:id="156"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8"/>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[108]</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[108]</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156"/>
    <w:bookmarkStart w:id="157"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[109]</w:t>
      </w:r>
      <w:r>
        <w:t xml:space="preserve">. Connects heat tolerance to population matrix models. And, shows acclimation responses (heat hardening).</w:t>
      </w:r>
    </w:p>
    <w:bookmarkEnd w:id="157"/>
    <w:bookmarkStart w:id="158" w:name="X1f820984f57b727edc20965138ee13069f96c01"/>
    <w:p>
      <w:pPr>
        <w:pStyle w:val="Heading3"/>
      </w:pPr>
      <w:r>
        <w:t xml:space="preserve">Phenology and activity pattern shifts mediating interactions (James?)</w:t>
      </w:r>
    </w:p>
    <w:bookmarkEnd w:id="158"/>
    <w:bookmarkEnd w:id="159"/>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9"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39"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2025-05-15T02:26:11Z</dcterms:created>
  <dcterms:modified xsi:type="dcterms:W3CDTF">2025-05-15T02:26:11Z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