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t xml:space="preserve">Daniel W.A. Noble</w:t>
      </w:r>
      <w:r>
        <w:rPr>
          <w:vertAlign w:val="superscript"/>
        </w:rPr>
        <w:t xml:space="preserve">1</w:t>
      </w:r>
      <w:r>
        <w:t xml:space="preserve"> </w:t>
      </w:r>
      <m:oMath>
        <m:r>
          <m:rPr>
            <m:sty m:val="p"/>
          </m:rPr>
          <m:t>†</m:t>
        </m:r>
        <m:r>
          <m:rPr>
            <m:sty m:val="p"/>
          </m:rPr>
          <m:t>,</m:t>
        </m:r>
        <m:r>
          <m:rPr>
            <m:sty m:val="p"/>
          </m:rPr>
          <m:t>‡</m:t>
        </m:r>
      </m:oMath>
      <w:r>
        <w:t xml:space="preserve">, Micheal R. Kearney</w:t>
      </w:r>
      <w:r>
        <w:rPr>
          <w:vertAlign w:val="superscript"/>
        </w:rPr>
        <w:t xml:space="preserve">2</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Danielle Way</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Zhong-Hua Chen</w:t>
      </w:r>
      <w:r>
        <w:rPr>
          <w:vertAlign w:val="superscript"/>
        </w:rPr>
        <w:t xml:space="preserve">3</w:t>
      </w:r>
      <w:r>
        <w:t xml:space="preserve">, Steven Lade</w:t>
      </w:r>
      <w:r>
        <w:rPr>
          <w:vertAlign w:val="superscript"/>
        </w:rPr>
        <w:t xml:space="preserve">5</w:t>
      </w:r>
      <w:r>
        <w:t xml:space="preserve">, Xuemei Bai</w:t>
      </w:r>
      <w:r>
        <w:rPr>
          <w:vertAlign w:val="superscript"/>
        </w:rPr>
        <w:t xml:space="preserve">5</w:t>
      </w:r>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Key to developing this predictive capacity is the formulation of a modelling framework that captures species-specific responses. This includes knowledge of habitat-mediated changes in microclimates, biophysical controls on body temperature, temperature sensitivity of organismal physiology and fitness, and how the effects of heatwaves vary depending on thermal history. We show how existing models in disparate fields can be linked to achieve this level of understanding to allow for calculated responses to extreme heat now and into the future with implications for socioecological systems more generally.  </w:t>
      </w:r>
    </w:p>
    <w:bookmarkEnd w:id="20"/>
    <w:bookmarkStart w:id="21" w:name="Xebe326ccf6438bb59b06b215a72d468ba832b0f"/>
    <w:p>
      <w:pPr>
        <w:pStyle w:val="Heading1"/>
      </w:pPr>
      <w:r>
        <w:t xml:space="preserve">A need for a mechanistically informed modelling framework for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physiological, biophysical, population and community ecology models. We argue that such a feat is becoming increasingly more tangible and will provide powerful new ways of predicting how extreme heat shapes community dynamics. Physiological models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w:t>
      </w:r>
      <w:r>
        <w:t xml:space="preserve">extreme heat</w:t>
      </w:r>
      <w:r>
        <w:t xml:space="preserve">’</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w:t>
      </w:r>
      <w:r>
        <w:t xml:space="preserve">extreme</w:t>
      </w:r>
      <w:r>
        <w:t xml:space="preserve">’</w:t>
      </w:r>
      <w:r>
        <w:t xml:space="preserve"> </w:t>
      </w:r>
      <w:r>
        <w:t xml:space="preserve">will be relative to the biology of the organism in question. Nonetheless,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moving forward and how it can be extended to include other critical features that capture evolutionary change and plasticity in response to extreme heat.</w:t>
      </w:r>
    </w:p>
    <w:bookmarkEnd w:id="21"/>
    <w:bookmarkStart w:id="22" w:name="X4209415c0137b038f4a3ce52e60f7db062b8bff"/>
    <w:p>
      <w:pPr>
        <w:pStyle w:val="Heading1"/>
      </w:pPr>
      <w:r>
        <w:t xml:space="preserve">Models for predicting community wide</w:t>
      </w:r>
      <w:r>
        <w:t xml:space="preserve"> </w:t>
      </w:r>
      <w:r>
        <w:rPr>
          <w:i/>
          <w:iCs/>
        </w:rPr>
        <w:t xml:space="preserve">exposure</w:t>
      </w:r>
      <w:r>
        <w:t xml:space="preserve"> </w:t>
      </w:r>
      <w:r>
        <w:t xml:space="preserve">to extreme heat: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2"/>
    <w:bookmarkStart w:id="23" w:name="Xd22b977f88f0add426f49399196084251b1e16e"/>
    <w:p>
      <w:pPr>
        <w:pStyle w:val="Heading1"/>
      </w:pPr>
      <w:r>
        <w:t xml:space="preserve">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w:t>
      </w:r>
      <w:r>
        <w:t xml:space="preserve"> </w:t>
      </w:r>
      <w:r>
        <w:rPr>
          <w:i/>
          <w:iCs/>
        </w:rPr>
        <w:t xml:space="preserve">sensitivity</w:t>
      </w:r>
      <w:r>
        <w:t xml:space="preserve"> </w:t>
      </w:r>
      <w:r>
        <w:t xml:space="preserve">(Dan,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[21,24]</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[11,12,21,24]</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was higher than mortality with heat injury accumulating faster to impact productivity earlier than survival. TLS theory has also been shown to apply well to photosynthetic function in plants</w:t>
      </w:r>
      <w:r>
        <w:t xml:space="preserve"> </w:t>
      </w:r>
      <w:r>
        <w:t xml:space="preserve">[25]</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 The concept of damage/repair is critically important for understanding how heat waves affect organisms because such a mechanism can result in lagged responses to heat stress – a common feature of extreme heat events</w:t>
      </w:r>
      <w:r>
        <w:t xml:space="preserve"> </w:t>
      </w:r>
      <w:r>
        <w:t xml:space="preserve">[26]</w:t>
      </w:r>
      <w:r>
        <w:t xml:space="preserve">. In addition,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bookmarkEnd w:id="23"/>
    <w:bookmarkStart w:id="24" w:name="X709d9ec1b3c8fb9d05ea9ded451dca156568e07"/>
    <w:p>
      <w:pPr>
        <w:pStyle w:val="Heading1"/>
      </w:pPr>
      <w:r>
        <w:t xml:space="preserve">Community interactions that can shape thermal sensitivity in plants and animals</w:t>
      </w:r>
    </w:p>
    <w:p>
      <w:pPr>
        <w:pStyle w:val="FirstParagraph"/>
      </w:pPr>
      <w:r>
        <w:t xml:space="preserve">When modelling the heat sensitivity of plants and animals it can be important to consider interactions with microbial communities and how these communities might also change in response to extreme heat. For example, 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[27]</w:t>
      </w:r>
      <w:r>
        <w:t xml:space="preserve">, which is thought to be associated with transcriptional buffering of hosts by the natural microbiome</w:t>
      </w:r>
      <w:r>
        <w:t xml:space="preserve"> </w:t>
      </w:r>
      <w:r>
        <w:t xml:space="preserve">[28]</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[29]</w:t>
      </w:r>
      <w:r>
        <w:t xml:space="preserve">. Moreover, this protective effect can influence the ability of the host to evolve further resistance to the heat shock and harboured more bacteria</w:t>
      </w:r>
      <w:r>
        <w:t xml:space="preserve"> </w:t>
      </w:r>
      <w:r>
        <w:t xml:space="preserve">[30]</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[31]</w:t>
      </w:r>
      <w:r>
        <w:t xml:space="preserve">, On the other hand, many endosymbionts including those providing host benefits appear particularly sensitive to heat</w:t>
      </w:r>
      <w:r>
        <w:t xml:space="preserve"> </w:t>
      </w:r>
      <w:r>
        <w:t xml:space="preserve">[32]</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[33]</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[34]</w:t>
      </w:r>
      <w:r>
        <w:t xml:space="preserve">.</w:t>
      </w:r>
    </w:p>
    <w:p>
      <w:pPr>
        <w:pStyle w:val="BodyText"/>
      </w:pPr>
      <w:r>
        <w:t xml:space="preserve">Interactions between plants and microorganisms, such as plant growth-promoting rhizobacteria (PGPR), arbuscular mycorrhizal fungi (AMF), and bacterial or fungal endophytes have also been shown to impact growth, defense, and heat tolerance in plants</w:t>
      </w:r>
      <w:r>
        <w:t xml:space="preserve"> </w:t>
      </w:r>
      <w:r>
        <w:t xml:space="preserve">[35–37]</w:t>
      </w:r>
      <w:r>
        <w:t xml:space="preserve">. These interactions are usually achieved by stimulating the production of essential phytohormones, secondary metabolites, organic acids, and amino acids that helps the plant to mitigate heat stress</w:t>
      </w:r>
      <w:r>
        <w:t xml:space="preserve"> </w:t>
      </w:r>
      <w:r>
        <w:t xml:space="preserve">[38,39]</w:t>
      </w:r>
      <w:r>
        <w:t xml:space="preserve">. Under the current global climate change scenarios, each degree Celsius increase in global mean temperature is estimated to reduce the global yield of wheat by 6.0% and soybean (Glycine max) by 3.1%</w:t>
      </w:r>
      <w:r>
        <w:t xml:space="preserve"> </w:t>
      </w:r>
      <w:r>
        <w:t xml:space="preserve">[40]</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[41,42]</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[43,44]</w:t>
      </w:r>
      <w:r>
        <w:t xml:space="preserve"> </w:t>
      </w:r>
      <w:r>
        <w:t xml:space="preserve">and microorganism</w:t>
      </w:r>
      <w:r>
        <w:t xml:space="preserve"> </w:t>
      </w:r>
      <w:r>
        <w:t xml:space="preserve">[45]</w:t>
      </w:r>
      <w:r>
        <w:t xml:space="preserve">. However, comprehensive models with high prediction powers for plant microbe interactions are still lacking, which hampers our understanding of the heat tolerance in plants and microorganisms.</w:t>
      </w:r>
    </w:p>
    <w:bookmarkEnd w:id="24"/>
    <w:bookmarkStart w:id="25"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(energetically) explicit life-cycle models that predict key life-history transitions, growth, reproduction and survival through time for diverse species</w:t>
      </w:r>
      <w:r>
        <w:t xml:space="preserve"> </w:t>
      </w:r>
      <w:r>
        <w:t xml:space="preserve">[16,46]</w:t>
      </w:r>
      <w:r>
        <w:t xml:space="preserve">. DEB models consider organisms as a thermodynamic system (adhering to energy-mass balance) capturing the exchange of food, water, respiratory gases and metabolic waste from egg to adult</w:t>
      </w:r>
      <w:r>
        <w:t xml:space="preserve"> </w:t>
      </w:r>
      <w:r>
        <w:t xml:space="preserve">[20]</w:t>
      </w:r>
      <w:r>
        <w:t xml:space="preserve">. DEB models can translate short-term variation in factors, such as temperature, toxins (e.g., toxicants,</w:t>
      </w:r>
      <w:r>
        <w:t xml:space="preserve"> </w:t>
      </w:r>
      <w:r>
        <w:t xml:space="preserve">[48]</w:t>
      </w:r>
      <w:r>
        <w:t xml:space="preserve">) and resource availability (nutrients)</w:t>
      </w:r>
      <w:r>
        <w:t xml:space="preserve"> </w:t>
      </w:r>
      <w:r>
        <w:t xml:space="preserve">[49,50]</w:t>
      </w:r>
      <w:r>
        <w:t xml:space="preserve"> </w:t>
      </w:r>
      <w:r>
        <w:t xml:space="preserve">to understand how they affect development, growth, reproduction and survival</w:t>
      </w:r>
      <w:r>
        <w:t xml:space="preserve"> </w:t>
      </w:r>
      <w:r>
        <w:t xml:space="preserve">[17,20]</w:t>
      </w:r>
      <w:r>
        <w:t xml:space="preserve">. DEB theory, combined with biophysical models more generally, also allow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3000 species already</w:t>
      </w:r>
      <w:r>
        <w:t xml:space="preserve"> </w:t>
      </w:r>
      <w:r>
        <w:t xml:space="preserve">[51,52]</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[53]</w:t>
      </w:r>
      <w:r>
        <w:t xml:space="preserve">). In addition, software packages such as</w:t>
      </w:r>
      <w:r>
        <w:t xml:space="preserve"> </w:t>
      </w:r>
      <w:r>
        <w:rPr>
          <w:i/>
          <w:iCs/>
        </w:rPr>
        <w:t xml:space="preserve">NicheMapR</w:t>
      </w:r>
      <w:r>
        <w:t xml:space="preserve"> </w:t>
      </w:r>
      <w:r>
        <w:t xml:space="preserve">[54,55]</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25"/>
    <w:bookmarkStart w:id="26"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[56]</w:t>
      </w:r>
      <w:r>
        <w:t xml:space="preserve"> </w:t>
      </w:r>
      <w:r>
        <w:t xml:space="preserve">and Beverton-Holt</w:t>
      </w:r>
      <w:r>
        <w:t xml:space="preserve"> </w:t>
      </w:r>
      <w:r>
        <w:t xml:space="preserve">[57]</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[58]</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[59]</w:t>
      </w:r>
      <w:r>
        <w:t xml:space="preserve">.</w:t>
      </w:r>
    </w:p>
    <w:p>
      <w:pPr>
        <w:pStyle w:val="Compact"/>
        <w:numPr>
          <w:ilvl w:val="0"/>
          <w:numId w:val="1001"/>
        </w:numPr>
      </w:pPr>
      <w:r>
        <w:t xml:space="preserve">How can we link mechanistic physiological models with population and community ecology theory?</w:t>
      </w:r>
    </w:p>
    <w:p>
      <w:pPr>
        <w:pStyle w:val="Compact"/>
        <w:numPr>
          <w:ilvl w:val="0"/>
          <w:numId w:val="1001"/>
        </w:numPr>
      </w:pPr>
      <w:r>
        <w:t xml:space="preserve">Introducing population and network models to link outputs from DEB (survival, reproduction, abundance) to population growth.</w:t>
      </w:r>
    </w:p>
    <w:p>
      <w:pPr>
        <w:pStyle w:val="Compact"/>
        <w:numPr>
          <w:ilvl w:val="0"/>
          <w:numId w:val="1001"/>
        </w:numPr>
      </w:pPr>
      <w:r>
        <w:t xml:space="preserve">How people are analysing communities with network theory. Some important papers</w:t>
      </w:r>
      <w:r>
        <w:t xml:space="preserve"> </w:t>
      </w:r>
      <w:r>
        <w:t xml:space="preserve">[60]</w:t>
      </w:r>
      <w:r>
        <w:t xml:space="preserve"> </w:t>
      </w:r>
      <w:r>
        <w:t xml:space="preserve">[61]</w:t>
      </w:r>
      <w:r>
        <w:t xml:space="preserve"> </w:t>
      </w:r>
      <w:r>
        <w:t xml:space="preserve">[62]</w:t>
      </w:r>
      <w:r>
        <w:t xml:space="preserve"> </w:t>
      </w:r>
      <w:r>
        <w:t xml:space="preserve">[63]</w:t>
      </w:r>
      <w:r>
        <w:t xml:space="preserve"> </w:t>
      </w:r>
      <w:r>
        <w:t xml:space="preserve">[64]</w:t>
      </w:r>
      <w:r>
        <w:t xml:space="preserve"> </w:t>
      </w:r>
      <w:r>
        <w:t xml:space="preserve">[65]</w:t>
      </w:r>
      <w:r>
        <w:t xml:space="preserve"> </w:t>
      </w:r>
      <w:r>
        <w:t xml:space="preserve">[66]</w:t>
      </w:r>
      <w:r>
        <w:t xml:space="preserve"> </w:t>
      </w:r>
      <w:r>
        <w:t xml:space="preserve">Should also look at this book</w:t>
      </w:r>
      <w:r>
        <w:t xml:space="preserve"> </w:t>
      </w:r>
      <w:r>
        <w:t xml:space="preserve">[67]</w:t>
      </w:r>
    </w:p>
    <w:p>
      <w:pPr>
        <w:pStyle w:val="Compact"/>
        <w:numPr>
          <w:ilvl w:val="0"/>
          <w:numId w:val="1001"/>
        </w:numPr>
      </w:pPr>
      <w:r>
        <w:t xml:space="preserve">How can we capture interactions among species within the community to predict how heat stress will affect community structure?</w:t>
      </w:r>
    </w:p>
    <w:p>
      <w:pPr>
        <w:pStyle w:val="Compact"/>
        <w:numPr>
          <w:ilvl w:val="0"/>
          <w:numId w:val="1001"/>
        </w:numPr>
      </w:pPr>
      <w:r>
        <w:t xml:space="preserve">Figure 2: demonstrating how TLS, biophysical and DEB models can be used to predict heat stress impacts on plants and animals, growth, reproduction, survival. (Dan, Margie)</w:t>
      </w:r>
    </w:p>
    <w:p>
      <w:pPr>
        <w:pStyle w:val="Compact"/>
        <w:numPr>
          <w:ilvl w:val="0"/>
          <w:numId w:val="1001"/>
        </w:numPr>
      </w:pPr>
      <w:r>
        <w:t xml:space="preserve">Also this is a cool paper</w:t>
      </w:r>
      <w:r>
        <w:t xml:space="preserve"> </w:t>
      </w:r>
      <w:r>
        <w:t xml:space="preserve">[68]</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[69]</w:t>
      </w:r>
      <w:r>
        <w:t xml:space="preserve">. We can here model the actual abundance of a given species and it would seem more flexible to incorporate thermal tolerance infor into these models.</w:t>
      </w:r>
    </w:p>
    <w:p>
      <w:pPr>
        <w:pStyle w:val="Compact"/>
        <w:numPr>
          <w:ilvl w:val="0"/>
          <w:numId w:val="1001"/>
        </w:numPr>
      </w:pPr>
      <w:r>
        <w:t xml:space="preserve">have a close look at</w:t>
      </w:r>
      <w:r>
        <w:t xml:space="preserve"> </w:t>
      </w:r>
      <w:r>
        <w:t xml:space="preserve">[70]</w:t>
      </w:r>
      <w:r>
        <w:t xml:space="preserve"> </w:t>
      </w:r>
      <w:r>
        <w:t xml:space="preserve">and</w:t>
      </w:r>
      <w:r>
        <w:t xml:space="preserve"> </w:t>
      </w:r>
      <w:r>
        <w:t xml:space="preserve">[71]</w:t>
      </w:r>
      <w:r>
        <w:t xml:space="preserve">, limitations</w:t>
      </w:r>
      <w:r>
        <w:t xml:space="preserve"> </w:t>
      </w:r>
      <w:r>
        <w:t xml:space="preserve">[72]</w:t>
      </w:r>
    </w:p>
    <w:bookmarkEnd w:id="26"/>
    <w:bookmarkStart w:id="32"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2"/>
        </w:numPr>
      </w:pPr>
      <w:r>
        <w:t xml:space="preserve">Goal of this section is to briefly focus on the BIOLOGY that will shift thermal exposure and sensitivity in plants and animals.</w:t>
      </w:r>
    </w:p>
    <w:p>
      <w:pPr>
        <w:pStyle w:val="Compact"/>
        <w:numPr>
          <w:ilvl w:val="0"/>
          <w:numId w:val="1002"/>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[26]</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2"/>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2"/>
        </w:numPr>
      </w:pPr>
      <w:r>
        <w:t xml:space="preserve">If uncertain about adding a sentence to the link to the models above, that’s ok, Dan, Mike, Margie and Belinda can add.</w:t>
      </w:r>
    </w:p>
    <w:bookmarkStart w:id="27" w:name="X1b136e3eae891c477bc728d2597e572ca649eaa"/>
    <w:p>
      <w:pPr>
        <w:pStyle w:val="Heading3"/>
      </w:pPr>
      <w:r>
        <w:t xml:space="preserve">Microbial communities can impact thermal sensitivity in plants and animals (Brajesh)</w:t>
      </w:r>
    </w:p>
    <w:p>
      <w:pPr>
        <w:pStyle w:val="Compact"/>
        <w:numPr>
          <w:ilvl w:val="0"/>
          <w:numId w:val="1003"/>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3"/>
        </w:numPr>
      </w:pPr>
      <w:r>
        <w:t xml:space="preserve">See</w:t>
      </w:r>
      <w:r>
        <w:t xml:space="preserve"> </w:t>
      </w:r>
      <w:r>
        <w:t xml:space="preserve">[73]</w:t>
      </w:r>
      <w:r>
        <w:t xml:space="preserve">. The paper provides a framework for modelling soil plant interactions</w:t>
      </w:r>
    </w:p>
    <w:bookmarkEnd w:id="27"/>
    <w:bookmarkStart w:id="28" w:name="X24738ef4513767bb724ce8804ac017259eaf2ee"/>
    <w:p>
      <w:pPr>
        <w:pStyle w:val="Heading3"/>
      </w:pPr>
      <w:r>
        <w:t xml:space="preserve">Water availability can impact thermal sensitivity of plants and animals (Brendan)</w:t>
      </w:r>
    </w:p>
    <w:bookmarkEnd w:id="28"/>
    <w:bookmarkStart w:id="29"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4"/>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[74]</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[74]</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29"/>
    <w:bookmarkStart w:id="30"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[75]</w:t>
      </w:r>
      <w:r>
        <w:t xml:space="preserve">. Connects heat tolerance to population matrix models. And, shows acclimation responses (heat hardening).</w:t>
      </w:r>
    </w:p>
    <w:bookmarkEnd w:id="30"/>
    <w:bookmarkStart w:id="31" w:name="X1f820984f57b727edc20965138ee13069f96c01"/>
    <w:p>
      <w:pPr>
        <w:pStyle w:val="Heading3"/>
      </w:pPr>
      <w:r>
        <w:t xml:space="preserve">Phenology and activity pattern shifts mediating interactions (James?)</w:t>
      </w:r>
    </w:p>
    <w:bookmarkEnd w:id="31"/>
    <w:bookmarkEnd w:id="32"/>
    <w:bookmarkStart w:id="33" w:name="Xf9650dc0ea0b351fc010b34968d2cf3bde51c90"/>
    <w:p>
      <w:pPr>
        <w:pStyle w:val="Heading1"/>
      </w:pPr>
      <w:r>
        <w:t xml:space="preserve">Interacting species interacting with people: social-ecological systems (Steven and Xuemei) (~300-500 words)</w:t>
      </w:r>
    </w:p>
    <w:p>
      <w:pPr>
        <w:pStyle w:val="FirstParagraph"/>
      </w:pPr>
      <w:r>
        <w:t xml:space="preserve">Thermal stress to ecosystems may threaten the services those ecosystems provide to people</w:t>
      </w:r>
      <w:r>
        <w:t xml:space="preserve"> </w:t>
      </w:r>
      <w:r>
        <w:t xml:space="preserve">[76]</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[77]</w:t>
      </w:r>
      <w:r>
        <w:t xml:space="preserve">. Thermal stressors may even influence producers’ psychological beliefs about their level of control over land management, and perceived resources available for management practices</w:t>
      </w:r>
      <w:r>
        <w:t xml:space="preserve"> </w:t>
      </w:r>
      <w:r>
        <w:t xml:space="preserve">[78]</w:t>
      </w:r>
      <w:r>
        <w:t xml:space="preserve">. Thermal risks to ecosystems may also precipitate declines in individual wellbeing, and these consequences may accrue differently across regions and across peoples</w:t>
      </w:r>
      <w:r>
        <w:t xml:space="preserve"> </w:t>
      </w:r>
      <w:r>
        <w:t xml:space="preserve">[79]</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[80,81]</w:t>
      </w:r>
      <w:r>
        <w:t xml:space="preserve">. On the other hand, adapting thermal risks in upper stream producers may also be influenced by the perception and behaviour of downstream consumers</w:t>
      </w:r>
      <w:r>
        <w:t xml:space="preserve"> </w:t>
      </w:r>
      <w:r>
        <w:t xml:space="preserve">[82]</w:t>
      </w:r>
      <w:r>
        <w:t xml:space="preserve">. The cascading</w:t>
      </w:r>
      <w:r>
        <w:t xml:space="preserve"> </w:t>
      </w:r>
      <w:r>
        <w:t xml:space="preserve">[83]</w:t>
      </w:r>
      <w:r>
        <w:t xml:space="preserve"> </w:t>
      </w:r>
      <w:r>
        <w:t xml:space="preserve">and telecoupled</w:t>
      </w:r>
      <w:r>
        <w:t xml:space="preserve"> </w:t>
      </w:r>
      <w:r>
        <w:t xml:space="preserve">[84]</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[85]</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[86]</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[87]</w:t>
      </w:r>
      <w:r>
        <w:t xml:space="preserve">. Social-ecological models aim to capture the social systems, natural systems and their interactions</w:t>
      </w:r>
      <w:r>
        <w:t xml:space="preserve"> </w:t>
      </w:r>
      <w:r>
        <w:t xml:space="preserve">[88]</w:t>
      </w:r>
      <w:r>
        <w:t xml:space="preserve">. Such models can display non-trivial emergent behaviour resulting from complex interactions within the social-ecological systems. For example, responding to decreased productivity from thermal stress by farming more intensively could lead to a maladaptation or</w:t>
      </w:r>
      <w:r>
        <w:t xml:space="preserve"> </w:t>
      </w:r>
      <w:r>
        <w:t xml:space="preserve">‘</w:t>
      </w:r>
      <w:r>
        <w:t xml:space="preserve">lock-in</w:t>
      </w:r>
      <w:r>
        <w:t xml:space="preserve">’</w:t>
      </w:r>
      <w:r>
        <w:t xml:space="preserve"> </w:t>
      </w:r>
      <w:r>
        <w:t xml:space="preserve">from which it is difficult to escape</w:t>
      </w:r>
      <w:r>
        <w:t xml:space="preserve"> </w:t>
      </w:r>
      <w:r>
        <w:t xml:space="preserve">[89]</w:t>
      </w:r>
      <w:r>
        <w:t xml:space="preserve">.</w:t>
      </w:r>
    </w:p>
    <w:bookmarkEnd w:id="33"/>
    <w:bookmarkStart w:id="34"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05"/>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5"/>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6"/>
        </w:numPr>
      </w:pPr>
      <w:r>
        <w:t xml:space="preserve">Microbial recruitment (Braj)</w:t>
      </w:r>
    </w:p>
    <w:p>
      <w:pPr>
        <w:pStyle w:val="Compact"/>
        <w:numPr>
          <w:ilvl w:val="1"/>
          <w:numId w:val="1006"/>
        </w:numPr>
      </w:pPr>
      <w:r>
        <w:t xml:space="preserve">Pollinator services (James, Margie)</w:t>
      </w:r>
    </w:p>
    <w:p>
      <w:pPr>
        <w:pStyle w:val="Compact"/>
        <w:numPr>
          <w:ilvl w:val="0"/>
          <w:numId w:val="1005"/>
        </w:numPr>
      </w:pPr>
      <w:r>
        <w:t xml:space="preserve">Cooler landscapes</w:t>
      </w:r>
    </w:p>
    <w:p>
      <w:pPr>
        <w:pStyle w:val="Compact"/>
        <w:numPr>
          <w:ilvl w:val="1"/>
          <w:numId w:val="1007"/>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5"/>
        </w:numPr>
      </w:pPr>
      <w:r>
        <w:t xml:space="preserve">Pest and disease prediction and control. (Ary)</w:t>
      </w:r>
    </w:p>
    <w:p>
      <w:pPr>
        <w:pStyle w:val="Compact"/>
        <w:numPr>
          <w:ilvl w:val="0"/>
          <w:numId w:val="1005"/>
        </w:numPr>
      </w:pPr>
      <w:r>
        <w:t xml:space="preserve">Conservation (Adrienne?)</w:t>
      </w:r>
    </w:p>
    <w:bookmarkEnd w:id="34"/>
    <w:bookmarkStart w:id="40" w:name="X78b08fde953bb9dcb9bb22555137d822070b4a9"/>
    <w:p>
      <w:pPr>
        <w:pStyle w:val="Heading1"/>
      </w:pPr>
      <w:r>
        <w:t xml:space="preserve">Future directions: modelling challenges, gaps and possible solutions</w:t>
      </w:r>
    </w:p>
    <w:bookmarkStart w:id="35"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5"/>
    <w:bookmarkStart w:id="36"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6"/>
    <w:bookmarkStart w:id="37"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7"/>
    <w:bookmarkStart w:id="38" w:name="Xebf598c8d62402443261428456b1d908a4618f8"/>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Probably could cite</w:t>
      </w:r>
      <w:r>
        <w:t xml:space="preserve"> </w:t>
      </w:r>
      <w:r>
        <w:t xml:space="preserve">[90]</w:t>
      </w:r>
      <w:r>
        <w:t xml:space="preserve"> </w:t>
      </w:r>
      <w:r>
        <w:t xml:space="preserve">(Ary)</w:t>
      </w:r>
    </w:p>
    <w:bookmarkEnd w:id="38"/>
    <w:bookmarkStart w:id="39"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39"/>
    <w:bookmarkEnd w:id="40"/>
    <w:bookmarkStart w:id="132" w:name="references"/>
    <w:p>
      <w:pPr>
        <w:pStyle w:val="Heading1"/>
      </w:pPr>
      <w:r>
        <w:t xml:space="preserve">References</w:t>
      </w:r>
    </w:p>
    <w:bookmarkStart w:id="131" w:name="refs"/>
    <w:bookmarkStart w:id="41"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1"/>
    <w:bookmarkStart w:id="42"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2"/>
    <w:bookmarkStart w:id="43"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3"/>
    <w:bookmarkStart w:id="44"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4"/>
    <w:bookmarkStart w:id="45"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5"/>
    <w:bookmarkStart w:id="46"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6"/>
    <w:bookmarkStart w:id="47"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7"/>
    <w:bookmarkStart w:id="48"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8"/>
    <w:bookmarkStart w:id="49"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49"/>
    <w:bookmarkStart w:id="50"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0"/>
    <w:bookmarkStart w:id="51"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1"/>
    <w:bookmarkStart w:id="52"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2"/>
    <w:bookmarkStart w:id="53"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3"/>
    <w:bookmarkStart w:id="54"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4"/>
    <w:bookmarkStart w:id="55"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5"/>
    <w:bookmarkStart w:id="56"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6"/>
    <w:bookmarkStart w:id="57"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7"/>
    <w:bookmarkStart w:id="58"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58"/>
    <w:bookmarkStart w:id="59"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59"/>
    <w:bookmarkStart w:id="60"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0"/>
    <w:bookmarkStart w:id="61"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1"/>
    <w:bookmarkStart w:id="62"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2"/>
    <w:bookmarkStart w:id="63"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3"/>
    <w:bookmarkStart w:id="64" w:name="ref-Orsted2022"/>
    <w:p>
      <w:pPr>
        <w:pStyle w:val="Bibliography"/>
      </w:pPr>
      <w:r>
        <w:t xml:space="preserve">24.</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4"/>
    <w:bookmarkStart w:id="65" w:name="ref-Faber2024"/>
    <w:p>
      <w:pPr>
        <w:pStyle w:val="Bibliography"/>
      </w:pPr>
      <w:r>
        <w:t xml:space="preserve">25.</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65"/>
    <w:bookmarkStart w:id="66" w:name="ref-Martinez-De_Leon2024"/>
    <w:p>
      <w:pPr>
        <w:pStyle w:val="Bibliography"/>
      </w:pPr>
      <w:r>
        <w:t xml:space="preserve">26.</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66"/>
    <w:bookmarkStart w:id="67" w:name="ref-Fontaine2022"/>
    <w:p>
      <w:pPr>
        <w:pStyle w:val="Bibliography"/>
      </w:pPr>
      <w:r>
        <w:t xml:space="preserve">27.</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67"/>
    <w:bookmarkStart w:id="68" w:name="ref-Fontaine2023"/>
    <w:p>
      <w:pPr>
        <w:pStyle w:val="Bibliography"/>
      </w:pPr>
      <w:r>
        <w:t xml:space="preserve">28.</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68"/>
    <w:bookmarkStart w:id="69" w:name="ref-Hoang2019"/>
    <w:p>
      <w:pPr>
        <w:pStyle w:val="Bibliography"/>
      </w:pPr>
      <w:r>
        <w:t xml:space="preserve">29.</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69"/>
    <w:bookmarkStart w:id="70" w:name="ref-Gehman2019"/>
    <w:p>
      <w:pPr>
        <w:pStyle w:val="Bibliography"/>
      </w:pPr>
      <w:r>
        <w:t xml:space="preserve">30.</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70"/>
    <w:bookmarkStart w:id="71" w:name="ref-Hoang2021"/>
    <w:p>
      <w:pPr>
        <w:pStyle w:val="Bibliography"/>
      </w:pPr>
      <w:r>
        <w:t xml:space="preserve">31.</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71"/>
    <w:bookmarkStart w:id="72" w:name="ref-Corbin2016"/>
    <w:p>
      <w:pPr>
        <w:pStyle w:val="Bibliography"/>
      </w:pPr>
      <w:r>
        <w:t xml:space="preserve">32.</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72"/>
    <w:bookmarkStart w:id="73" w:name="ref-Zhang2019"/>
    <w:p>
      <w:pPr>
        <w:pStyle w:val="Bibliography"/>
      </w:pPr>
      <w:r>
        <w:t xml:space="preserve">33.</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73"/>
    <w:bookmarkStart w:id="74" w:name="ref-Dunbar2007"/>
    <w:p>
      <w:pPr>
        <w:pStyle w:val="Bibliography"/>
      </w:pPr>
      <w:r>
        <w:t xml:space="preserve">34.</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74"/>
    <w:bookmarkStart w:id="75" w:name="ref-Chouhan2023"/>
    <w:p>
      <w:pPr>
        <w:pStyle w:val="Bibliography"/>
      </w:pPr>
      <w:r>
        <w:t xml:space="preserve">35.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75"/>
    <w:bookmarkStart w:id="76" w:name="ref-Liu2025"/>
    <w:p>
      <w:pPr>
        <w:pStyle w:val="Bibliography"/>
      </w:pPr>
      <w:r>
        <w:t xml:space="preserve">36.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76"/>
    <w:bookmarkStart w:id="77" w:name="ref-Marquez2007"/>
    <w:p>
      <w:pPr>
        <w:pStyle w:val="Bibliography"/>
      </w:pPr>
      <w:r>
        <w:t xml:space="preserve">37.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77"/>
    <w:bookmarkStart w:id="78" w:name="ref-Huang2019"/>
    <w:p>
      <w:pPr>
        <w:pStyle w:val="Bibliography"/>
      </w:pPr>
      <w:r>
        <w:t xml:space="preserve">38.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78"/>
    <w:bookmarkStart w:id="79" w:name="ref-Dastogeer2022"/>
    <w:p>
      <w:pPr>
        <w:pStyle w:val="Bibliography"/>
      </w:pPr>
      <w:r>
        <w:t xml:space="preserve">39.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79"/>
    <w:bookmarkStart w:id="80" w:name="ref-Shekhawat2022"/>
    <w:p>
      <w:pPr>
        <w:pStyle w:val="Bibliography"/>
      </w:pPr>
      <w:r>
        <w:t xml:space="preserve">40.</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80"/>
    <w:bookmarkStart w:id="81" w:name="ref-Lobell2012"/>
    <w:p>
      <w:pPr>
        <w:pStyle w:val="Bibliography"/>
      </w:pPr>
      <w:r>
        <w:t xml:space="preserve">41.</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81"/>
    <w:bookmarkStart w:id="82" w:name="ref-Farooq2011"/>
    <w:p>
      <w:pPr>
        <w:pStyle w:val="Bibliography"/>
      </w:pPr>
      <w:r>
        <w:t xml:space="preserve">42.</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82"/>
    <w:bookmarkStart w:id="83" w:name="ref-He2025"/>
    <w:p>
      <w:pPr>
        <w:pStyle w:val="Bibliography"/>
      </w:pPr>
      <w:r>
        <w:t xml:space="preserve">43.</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83"/>
    <w:bookmarkStart w:id="84" w:name="ref-Zhang2021"/>
    <w:p>
      <w:pPr>
        <w:pStyle w:val="Bibliography"/>
      </w:pPr>
      <w:r>
        <w:t xml:space="preserve">44.</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84"/>
    <w:bookmarkStart w:id="85" w:name="ref-Zhang2023a"/>
    <w:p>
      <w:pPr>
        <w:pStyle w:val="Bibliography"/>
      </w:pPr>
      <w:r>
        <w:t xml:space="preserve">45.</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85"/>
    <w:bookmarkStart w:id="86" w:name="ref-Nisbet2000"/>
    <w:p>
      <w:pPr>
        <w:pStyle w:val="Bibliography"/>
      </w:pPr>
      <w:r>
        <w:t xml:space="preserve">46.</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86"/>
    <w:bookmarkStart w:id="87" w:name="ref-Jager2020"/>
    <w:p>
      <w:pPr>
        <w:pStyle w:val="Bibliography"/>
      </w:pPr>
      <w:r>
        <w:t xml:space="preserve">47.</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87"/>
    <w:bookmarkStart w:id="88" w:name="ref-Haberle2025"/>
    <w:p>
      <w:pPr>
        <w:pStyle w:val="Bibliography"/>
      </w:pPr>
      <w:r>
        <w:t xml:space="preserve">48.</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88"/>
    <w:bookmarkStart w:id="89" w:name="ref-Kearney2013"/>
    <w:p>
      <w:pPr>
        <w:pStyle w:val="Bibliography"/>
      </w:pPr>
      <w:r>
        <w:t xml:space="preserve">49.</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89"/>
    <w:bookmarkStart w:id="90" w:name="ref-Kearney2010"/>
    <w:p>
      <w:pPr>
        <w:pStyle w:val="Bibliography"/>
      </w:pPr>
      <w:r>
        <w:t xml:space="preserve">50.</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90"/>
    <w:bookmarkStart w:id="91" w:name="ref-Marques2018"/>
    <w:p>
      <w:pPr>
        <w:pStyle w:val="Bibliography"/>
      </w:pPr>
      <w:r>
        <w:t xml:space="preserve">51.</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91"/>
    <w:bookmarkStart w:id="92" w:name="ref-Kooijman2021"/>
    <w:p>
      <w:pPr>
        <w:pStyle w:val="Bibliography"/>
      </w:pPr>
      <w:r>
        <w:t xml:space="preserve">52.</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92"/>
    <w:bookmarkStart w:id="93" w:name="ref-Bruggeman2009"/>
    <w:p>
      <w:pPr>
        <w:pStyle w:val="Bibliography"/>
      </w:pPr>
      <w:r>
        <w:t xml:space="preserve">53.</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93"/>
    <w:bookmarkStart w:id="94" w:name="ref-Kearney2017"/>
    <w:p>
      <w:pPr>
        <w:pStyle w:val="Bibliography"/>
      </w:pPr>
      <w:r>
        <w:t xml:space="preserve">54.</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94"/>
    <w:bookmarkStart w:id="95" w:name="ref-Kearney2020a"/>
    <w:p>
      <w:pPr>
        <w:pStyle w:val="Bibliography"/>
      </w:pPr>
      <w:r>
        <w:t xml:space="preserve">55.</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95"/>
    <w:bookmarkStart w:id="96" w:name="ref-Ricker1954a"/>
    <w:p>
      <w:pPr>
        <w:pStyle w:val="Bibliography"/>
      </w:pPr>
      <w:r>
        <w:t xml:space="preserve">56.</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96"/>
    <w:bookmarkStart w:id="97" w:name="ref-Beverton2012"/>
    <w:p>
      <w:pPr>
        <w:pStyle w:val="Bibliography"/>
      </w:pPr>
      <w:r>
        <w:t xml:space="preserve">57.</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97"/>
    <w:bookmarkStart w:id="98" w:name="ref-Bertness1994"/>
    <w:p>
      <w:pPr>
        <w:pStyle w:val="Bibliography"/>
      </w:pPr>
      <w:r>
        <w:t xml:space="preserve">58.</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98"/>
    <w:bookmarkStart w:id="99" w:name="ref-Weiss-Lehman2022"/>
    <w:p>
      <w:pPr>
        <w:pStyle w:val="Bibliography"/>
      </w:pPr>
      <w:r>
        <w:t xml:space="preserve">59.</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99"/>
    <w:bookmarkStart w:id="100" w:name="ref-Delmas2019"/>
    <w:p>
      <w:pPr>
        <w:pStyle w:val="Bibliography"/>
      </w:pPr>
      <w:r>
        <w:t xml:space="preserve">60.</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100"/>
    <w:bookmarkStart w:id="101" w:name="ref-Godoy2019"/>
    <w:p>
      <w:pPr>
        <w:pStyle w:val="Bibliography"/>
      </w:pPr>
      <w:r>
        <w:t xml:space="preserve">61.</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101"/>
    <w:bookmarkStart w:id="102" w:name="ref-Poisot2021"/>
    <w:p>
      <w:pPr>
        <w:pStyle w:val="Bibliography"/>
      </w:pPr>
      <w:r>
        <w:t xml:space="preserve">62.</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102"/>
    <w:bookmarkStart w:id="103" w:name="ref-Hui2019"/>
    <w:p>
      <w:pPr>
        <w:pStyle w:val="Bibliography"/>
      </w:pPr>
      <w:r>
        <w:t xml:space="preserve">63.</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103"/>
    <w:bookmarkStart w:id="104" w:name="ref-Gomez2023"/>
    <w:p>
      <w:pPr>
        <w:pStyle w:val="Bibliography"/>
      </w:pPr>
      <w:r>
        <w:t xml:space="preserve">64.</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104"/>
    <w:bookmarkStart w:id="105" w:name="ref-Lytle2023"/>
    <w:p>
      <w:pPr>
        <w:pStyle w:val="Bibliography"/>
      </w:pPr>
      <w:r>
        <w:t xml:space="preserve">65.</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105"/>
    <w:bookmarkStart w:id="106" w:name="ref-Petsopoulos2021"/>
    <w:p>
      <w:pPr>
        <w:pStyle w:val="Bibliography"/>
      </w:pPr>
      <w:r>
        <w:t xml:space="preserve">66.</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106"/>
    <w:bookmarkStart w:id="107" w:name="ref-Dale2021"/>
    <w:p>
      <w:pPr>
        <w:pStyle w:val="Bibliography"/>
      </w:pPr>
      <w:r>
        <w:t xml:space="preserve">67.</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107"/>
    <w:bookmarkStart w:id="108" w:name="ref-Lu2023"/>
    <w:p>
      <w:pPr>
        <w:pStyle w:val="Bibliography"/>
      </w:pPr>
      <w:r>
        <w:t xml:space="preserve">68.</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108"/>
    <w:bookmarkStart w:id="109" w:name="ref-Carrara2015"/>
    <w:p>
      <w:pPr>
        <w:pStyle w:val="Bibliography"/>
      </w:pPr>
      <w:r>
        <w:t xml:space="preserve">69.</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109"/>
    <w:bookmarkStart w:id="110" w:name="ref-Vitali2022"/>
    <w:p>
      <w:pPr>
        <w:pStyle w:val="Bibliography"/>
      </w:pPr>
      <w:r>
        <w:t xml:space="preserve">70.</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110"/>
    <w:bookmarkStart w:id="111" w:name="ref-Riva2023"/>
    <w:p>
      <w:pPr>
        <w:pStyle w:val="Bibliography"/>
      </w:pPr>
      <w:r>
        <w:t xml:space="preserve">71.</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111"/>
    <w:bookmarkStart w:id="112" w:name="ref-Terry2020"/>
    <w:p>
      <w:pPr>
        <w:pStyle w:val="Bibliography"/>
      </w:pPr>
      <w:r>
        <w:t xml:space="preserve">72.</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112"/>
    <w:bookmarkStart w:id="113" w:name="ref-Zou2024"/>
    <w:p>
      <w:pPr>
        <w:pStyle w:val="Bibliography"/>
      </w:pPr>
      <w:r>
        <w:t xml:space="preserve">73.</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113"/>
    <w:bookmarkStart w:id="114" w:name="ref-Li2023"/>
    <w:p>
      <w:pPr>
        <w:pStyle w:val="Bibliography"/>
      </w:pPr>
      <w:r>
        <w:t xml:space="preserve">74.</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114"/>
    <w:bookmarkStart w:id="115" w:name="ref-Zhu2024"/>
    <w:p>
      <w:pPr>
        <w:pStyle w:val="Bibliography"/>
      </w:pPr>
      <w:r>
        <w:t xml:space="preserve">75.</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15"/>
    <w:bookmarkStart w:id="116" w:name="ref-Assessment_undated-fv"/>
    <w:p>
      <w:pPr>
        <w:pStyle w:val="Bibliography"/>
      </w:pPr>
      <w:r>
        <w:t xml:space="preserve">76.</w:t>
      </w:r>
      <w:r>
        <w:t xml:space="preserve"> </w:t>
      </w:r>
      <w:r>
        <w:t xml:space="preserve">	</w:t>
      </w:r>
      <w:r>
        <w:t xml:space="preserve">Assessment, M.E. (2005) Opportunities and challenges for business and industryunioviedo.es</w:t>
      </w:r>
    </w:p>
    <w:bookmarkEnd w:id="116"/>
    <w:bookmarkStart w:id="117" w:name="ref-Dandy2019"/>
    <w:p>
      <w:pPr>
        <w:pStyle w:val="Bibliography"/>
      </w:pPr>
      <w:r>
        <w:t xml:space="preserve">77.</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17"/>
    <w:bookmarkStart w:id="118" w:name="ref-Price2014"/>
    <w:p>
      <w:pPr>
        <w:pStyle w:val="Bibliography"/>
      </w:pPr>
      <w:r>
        <w:t xml:space="preserve">78.</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18"/>
    <w:bookmarkStart w:id="119" w:name="ref-Leviston2018"/>
    <w:p>
      <w:pPr>
        <w:pStyle w:val="Bibliography"/>
      </w:pPr>
      <w:r>
        <w:t xml:space="preserve">79.</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19"/>
    <w:bookmarkStart w:id="120" w:name="ref-Bai2016"/>
    <w:p>
      <w:pPr>
        <w:pStyle w:val="Bibliography"/>
      </w:pPr>
      <w:r>
        <w:t xml:space="preserve">80.</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20"/>
    <w:bookmarkStart w:id="121" w:name="ref-Grimm2008"/>
    <w:p>
      <w:pPr>
        <w:pStyle w:val="Bibliography"/>
      </w:pPr>
      <w:r>
        <w:t xml:space="preserve">81.</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21"/>
    <w:bookmarkStart w:id="122" w:name="ref-Hendricks2022"/>
    <w:p>
      <w:pPr>
        <w:pStyle w:val="Bibliography"/>
      </w:pPr>
      <w:r>
        <w:t xml:space="preserve">82.</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22"/>
    <w:bookmarkStart w:id="123" w:name="ref-Sutanto2020"/>
    <w:p>
      <w:pPr>
        <w:pStyle w:val="Bibliography"/>
      </w:pPr>
      <w:r>
        <w:t xml:space="preserve">83.</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23"/>
    <w:bookmarkStart w:id="124" w:name="ref-Liu2007"/>
    <w:p>
      <w:pPr>
        <w:pStyle w:val="Bibliography"/>
      </w:pPr>
      <w:r>
        <w:t xml:space="preserve">84.</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24"/>
    <w:bookmarkStart w:id="125" w:name="ref-Black2011"/>
    <w:p>
      <w:pPr>
        <w:pStyle w:val="Bibliography"/>
      </w:pPr>
      <w:r>
        <w:t xml:space="preserve">85.</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25"/>
    <w:bookmarkStart w:id="126" w:name="ref-Neil_Adger1999"/>
    <w:p>
      <w:pPr>
        <w:pStyle w:val="Bibliography"/>
      </w:pPr>
      <w:r>
        <w:t xml:space="preserve">86.</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26"/>
    <w:bookmarkStart w:id="127" w:name="ref-Folke2016"/>
    <w:p>
      <w:pPr>
        <w:pStyle w:val="Bibliography"/>
      </w:pPr>
      <w:r>
        <w:t xml:space="preserve">87.</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27"/>
    <w:bookmarkStart w:id="128" w:name="ref-Schluter2012"/>
    <w:p>
      <w:pPr>
        <w:pStyle w:val="Bibliography"/>
      </w:pPr>
      <w:r>
        <w:t xml:space="preserve">88.</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28"/>
    <w:bookmarkStart w:id="129" w:name="ref-Wise2014"/>
    <w:p>
      <w:pPr>
        <w:pStyle w:val="Bibliography"/>
      </w:pPr>
      <w:r>
        <w:t xml:space="preserve">89.</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29"/>
    <w:bookmarkStart w:id="130" w:name="ref-Kearney2009a"/>
    <w:p>
      <w:pPr>
        <w:pStyle w:val="Bibliography"/>
      </w:pPr>
      <w:r>
        <w:t xml:space="preserve">90.</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30"/>
    <w:bookmarkEnd w:id="131"/>
    <w:bookmarkEnd w:id="132"/>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2025-04-16T00:49:13Z</dcterms:created>
  <dcterms:modified xsi:type="dcterms:W3CDTF">2025-04-16T00:49:13Z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