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w:t>
      </w:r>
      <w:r>
        <w:t xml:space="preserve">microclimates</w:t>
      </w:r>
      <w:r>
        <w:t xml:space="preserve">’</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avoidance strategies.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behaviour,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w:t>
      </w:r>
      <w:r>
        <w:rPr>
          <w:b/>
          <w:bCs/>
        </w:rPr>
        <w:t xml:space="preserve">Belinda – add something more here?</w:t>
      </w:r>
      <w:r>
        <w:t xml:space="preserve">). Historical analyses are facilitated by GCMs via</w:t>
      </w:r>
      <w:r>
        <w:t xml:space="preserve"> </w:t>
      </w:r>
      <w:r>
        <w:t xml:space="preserve">‘</w:t>
      </w:r>
      <w:r>
        <w:t xml:space="preserve">reanalysis</w:t>
      </w:r>
      <w:r>
        <w:t xml:space="preserve">’</w:t>
      </w:r>
      <w:r>
        <w:t xml:space="preserve"> </w:t>
      </w:r>
      <w:r>
        <w:t xml:space="preserve">datasets produced by calibrating GCMs with observations to produce continuous gridded weather data, including</w:t>
      </w:r>
      <w:r>
        <w:t xml:space="preserve"> </w:t>
      </w:r>
      <w:r>
        <w:t xml:space="preserve">‘</w:t>
      </w:r>
      <w:r>
        <w:t xml:space="preserve">surface</w:t>
      </w:r>
      <w:r>
        <w:t xml:space="preserv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Ultimately, we need to know how an extreme weather event is experienced by different species in a community. This can vary widely; when the air temperature at a weather station is 50°C, an organism a metre below the surface may be 25°C cooler, where soil temperatures are tracking the mean monthly air temperature (</w:t>
      </w:r>
      <w:hyperlink w:anchor="fig-sys">
        <w:r>
          <w:rPr>
            <w:rStyle w:val="Hyperlink"/>
          </w:rPr>
          <w:t xml:space="preserve">Figure 1</w:t>
        </w:r>
      </w:hyperlink>
      <w:r>
        <w:t xml:space="preserve">). Exactly how much the soil lags and damps the atmospheric dynamics depends intimately on the soil properties, especially its moisture level. Conditions above ground depend on the nature of the vegetation, especially through shading, changes in wind profiles and evaporative cooling. Vegetation and soil also interact strongly; past soil moisture regimes and heat wave events may have led to leaf loss and hence increased radiation exposure of the soil surface, while stomatal behaviour alters transpiration and hence soil moisture conditions. Thus, there are strong</w:t>
      </w:r>
      <w:r>
        <w:t xml:space="preserve"> </w:t>
      </w:r>
      <w:r>
        <w:t xml:space="preserve">‘</w:t>
      </w:r>
      <w:r>
        <w:t xml:space="preserve">memory</w:t>
      </w:r>
      <w:r>
        <w:t xml:space="preserve">’</w:t>
      </w:r>
      <w:r>
        <w:t xml:space="preserve"> </w:t>
      </w:r>
      <w:r>
        <w:t xml:space="preserve">effects of past weather conditions that determine how a given heat wave manifests through a habitat, so the same atmospheric heat wave conditions can have different implications for microclimate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w:t>
      </w:r>
      <w:r>
        <w:t xml:space="preserve">land-surface models</w:t>
      </w:r>
      <w:r>
        <w:t xml:space="preserve">’</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the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Opportunities lie in more closely coupling the dynamics of the atmosphere and vegetation with microclimate models. In particular, responses of plant water use to heatwaves can amplify or reduce high temperatures via effects on photosynthetic capacity, stomatal decoupling, cuticular conductance, leaf damage and plant mortality. These impacts obviously are important for the plants themselves, but also for thermal regime within the plant canopy. Many LSMs use an LAI climatology, but it is very likely that LAI will change with climate change in the short term (and with vegetation composition in the longer term), with consequences for thermal regime. Thus, forecasting future thermal regimes also involves forecasting future vegetation dynamics, with interesting challenges that include interactions between high</w:t>
      </w:r>
      <w:r>
        <w:t xml:space="preserve"> </w:t>
      </w:r>
      <m:oMath>
        <m:r>
          <m:t>C</m:t>
        </m:r>
        <m:sSub>
          <m:e>
            <m:r>
              <m:t>O</m:t>
            </m:r>
          </m:e>
          <m:sub>
            <m:r>
              <m:t>2</m:t>
            </m:r>
          </m:sub>
        </m:sSub>
      </m:oMath>
      <w:r>
        <w:t xml:space="preserve">,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and thereby compute their temperature. Biophysical models have a long history</w:t>
      </w:r>
      <w:r>
        <w:t xml:space="preserve"> </w:t>
      </w:r>
      <w:r>
        <w:t xml:space="preserve">[e.g. 41,42]</w:t>
      </w:r>
      <w:r>
        <w:t xml:space="preserve">, but have become more widely applied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radiation settings and the role of evaporative water loss from the skin, breath and eyes</w:t>
      </w:r>
      <w:r>
        <w:t xml:space="preserve"> </w:t>
      </w:r>
      <w:r>
        <w:t xml:space="preserve">[33,43]</w:t>
      </w:r>
      <w:r>
        <w:t xml:space="preserve">. Equivalent models of leaves incorporate the dynamic role of stomata</w:t>
      </w:r>
      <w:r>
        <w:t xml:space="preserve"> </w:t>
      </w:r>
      <w:r>
        <w:t xml:space="preserve">[19,e.g., 44]</w:t>
      </w:r>
      <w:r>
        <w:t xml:space="preserve">, while models of endotherms can account for the role of insulation and metabolic heat production</w:t>
      </w:r>
      <w:r>
        <w:t xml:space="preserve"> </w:t>
      </w:r>
      <w:r>
        <w:t xml:space="preserve">[45]</w:t>
      </w:r>
      <w:r>
        <w:t xml:space="preserve">. Future development in biophysical modelling of organismal temperature under extreme heat involves understanding the nuances of physiological and behavioural responses. For example, lizards may pant when exposed to high temperatures</w:t>
      </w:r>
      <w:r>
        <w:t xml:space="preserve"> </w:t>
      </w:r>
      <w:r>
        <w:t xml:space="preserve">[46]</w:t>
      </w:r>
      <w:r>
        <w:t xml:space="preserve">, birds may</w:t>
      </w:r>
      <w:r>
        <w:t xml:space="preserve"> </w:t>
      </w:r>
      <w:r>
        <w:t xml:space="preserve">‘</w:t>
      </w:r>
      <w:r>
        <w:t xml:space="preserve">wind surf</w:t>
      </w:r>
      <w:r>
        <w:t xml:space="preserve">’</w:t>
      </w:r>
      <w:r>
        <w:t xml:space="preserve"> </w:t>
      </w:r>
      <w:r>
        <w:t xml:space="preserve">or seek unusual retreats</w:t>
      </w:r>
      <w:r>
        <w:t xml:space="preserve"> </w:t>
      </w:r>
      <w:r>
        <w:t xml:space="preserve">[47]</w:t>
      </w:r>
      <w:r>
        <w:t xml:space="preserve">, and stomatal behaviour may depart from the typical responses to vapour pressure and light intensity to allow emergency cooling</w:t>
      </w:r>
      <w:r>
        <w:t xml:space="preserve"> </w:t>
      </w:r>
      <w:r>
        <w:t xml:space="preserve">[48]</w:t>
      </w:r>
      <w:r>
        <w:t xml:space="preserve">, though this response may depend on prior soil moisture conditions</w:t>
      </w:r>
      <w:r>
        <w:t xml:space="preserve"> </w:t>
      </w:r>
      <w:r>
        <w:t xml:space="preserve">[49]</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2"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[21,50]</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[e.g. Table 1 in 51]</w:t>
      </w:r>
      <w:r>
        <w:t xml:space="preserve">. Endpoints are predicted by assuming the effect of time at a given temperature decreases survival or fertility exponentially</w:t>
      </w:r>
      <w:r>
        <w:t xml:space="preserve"> </w:t>
      </w:r>
      <w:r>
        <w:t xml:space="preserve">[11,12,21,50]</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[51,52]</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[53]</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[11,12,50]</w:t>
      </w:r>
      <w:r>
        <w:t xml:space="preserve">. Several approaches can be used to capture the accumulation of damage</w:t>
      </w:r>
      <w:r>
        <w:t xml:space="preserve"> </w:t>
      </w:r>
      <w:r>
        <w:t xml:space="preserve">[11,12,50]</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bookmarkEnd w:id="32"/>
    <w:bookmarkStart w:id="33" w:name="X26e2617c7557035eb826bdba0aa1bfc30f8def3"/>
    <w:p>
      <w:pPr>
        <w:pStyle w:val="Heading1"/>
      </w:pPr>
      <w:r>
        <w:t xml:space="preserve">Sensitivity to extreme heat is mediated by environmental feedbacks</w:t>
      </w:r>
    </w:p>
    <w:bookmarkEnd w:id="33"/>
    <w:bookmarkStart w:id="34"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[54]</w:t>
      </w:r>
      <w:r>
        <w:t xml:space="preserve">, which is thought to be associated with transcriptional buffering of hosts by the natural microbiome</w:t>
      </w:r>
      <w:r>
        <w:t xml:space="preserve"> </w:t>
      </w:r>
      <w:r>
        <w:t xml:space="preserve">[55]</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[56]</w:t>
      </w:r>
      <w:r>
        <w:t xml:space="preserve">. Moreover, this protective effect can influence the ability of the host to evolve further resistance to the heat shock and harboured more bacteria</w:t>
      </w:r>
      <w:r>
        <w:t xml:space="preserve"> </w:t>
      </w:r>
      <w:r>
        <w:t xml:space="preserve">[57]</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[58]</w:t>
      </w:r>
      <w:r>
        <w:t xml:space="preserve">, On the other hand, many endosymbionts including those providing host benefits appear particularly sensitive to heat</w:t>
      </w:r>
      <w:r>
        <w:t xml:space="preserve"> </w:t>
      </w:r>
      <w:r>
        <w:t xml:space="preserve">[59]</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[60]</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[61]</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[62–64]</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[65,66]</w:t>
      </w:r>
      <w:r>
        <w:t xml:space="preserve">. Under the current global climate change scenarios, each degree Celsius increase in global mean temperature is estimated to reduce the global yield of wheat by 6.0% and soybean (Glycine max) by 3.1%</w:t>
      </w:r>
      <w:r>
        <w:t xml:space="preserve"> </w:t>
      </w:r>
      <w:r>
        <w:t xml:space="preserve">[67]</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[68,69]</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[70,71]</w:t>
      </w:r>
      <w:r>
        <w:t xml:space="preserve"> </w:t>
      </w:r>
      <w:r>
        <w:t xml:space="preserve">and microorganism</w:t>
      </w:r>
      <w:r>
        <w:t xml:space="preserve"> </w:t>
      </w:r>
      <w:r>
        <w:t xml:space="preserve">[72]</w:t>
      </w:r>
      <w:r>
        <w:t xml:space="preserve">. However, comprehensive models with high prediction powers for plant microbe interactions are still lacking, which hampers our understanding of the heat tolerance in plants and microorganisms.</w:t>
      </w:r>
    </w:p>
    <w:bookmarkEnd w:id="34"/>
    <w:bookmarkStart w:id="35"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[16,73]</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[75]</w:t>
      </w:r>
      <w:r>
        <w:t xml:space="preserve">) and resource availability (nutrients)</w:t>
      </w:r>
      <w:r>
        <w:t xml:space="preserve"> </w:t>
      </w:r>
      <w:r>
        <w:t xml:space="preserve">[76,77]</w:t>
      </w:r>
      <w:r>
        <w:t xml:space="preserve"> </w:t>
      </w:r>
      <w:r>
        <w:t xml:space="preserve">into long-term (days, months, years) effects on development, growth, reproduction and survival</w:t>
      </w:r>
      <w:r>
        <w:t xml:space="preserve"> </w:t>
      </w:r>
      <w:r>
        <w:t xml:space="preserve">[17,20]</w:t>
      </w:r>
      <w:r>
        <w:t xml:space="preserve">, though their application to plants is considerably less developed that for animal and microbial systems</w:t>
      </w:r>
      <w:r>
        <w:t xml:space="preserve"> </w:t>
      </w:r>
      <w:r>
        <w:t xml:space="preserve">[78]</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[79,80]</w:t>
      </w:r>
      <w:r>
        <w:t xml:space="preserve"> </w:t>
      </w:r>
      <w:r>
        <w:t xml:space="preserve">and approaches for using DEB theory to model plant growth and performance are being developed</w:t>
      </w:r>
      <w:r>
        <w:t xml:space="preserve"> </w:t>
      </w:r>
      <w:r>
        <w:t xml:space="preserve">[78]</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[81]</w:t>
      </w:r>
      <w:r>
        <w:t xml:space="preserve">). In addition, software packages such as</w:t>
      </w:r>
      <w:r>
        <w:t xml:space="preserve"> </w:t>
      </w:r>
      <w:r>
        <w:rPr>
          <w:i/>
          <w:iCs/>
        </w:rPr>
        <w:t xml:space="preserve">NicheMapR</w:t>
      </w:r>
      <w:r>
        <w:t xml:space="preserve"> </w:t>
      </w:r>
      <w:r>
        <w:t xml:space="preserve">[33,82]</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5"/>
    <w:bookmarkStart w:id="37"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[83]</w:t>
      </w:r>
      <w:r>
        <w:t xml:space="preserve"> </w:t>
      </w:r>
      <w:r>
        <w:t xml:space="preserve">and Beverton-Holt</w:t>
      </w:r>
      <w:r>
        <w:t xml:space="preserve"> </w:t>
      </w:r>
      <w:r>
        <w:t xml:space="preserve">[84]</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[85]</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[86]</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allowing populations to evolve</w:t>
            </w:r>
            <w:r>
              <w:t xml:space="preserve"> </w:t>
            </w:r>
            <w:r>
              <w:t xml:space="preserve">[87–89]</w:t>
            </w:r>
            <w:r>
              <w:t xml:space="preserve">. Phenotypic plasticity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[87]</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[88,90–93]</w:t>
            </w:r>
            <w:r>
              <w:t xml:space="preserve">.</w:t>
            </w:r>
          </w:p>
          <w:p>
            <w:pPr>
              <w:pStyle w:val="BodyText"/>
            </w:pPr>
            <w:r>
              <w:t xml:space="preserve">Plasticity and evolution can be incorporated into a systems modelling framework by allowing environments to govern</w:t>
            </w:r>
            <w:r>
              <w:t xml:space="preserve"> </w:t>
            </w:r>
            <w:r>
              <w:t xml:space="preserve">‘</w:t>
            </w:r>
            <w:r>
              <w:t xml:space="preserve">trait</w:t>
            </w:r>
            <w:r>
              <w:t xml:space="preserve">’</w:t>
            </w:r>
            <w:r>
              <w:t xml:space="preserve"> </w:t>
            </w:r>
            <w:r>
              <w:t xml:space="preserve">development (plasticity) and by incorporating selection and genetic (co)variance estimates for</w:t>
            </w:r>
            <w:r>
              <w:t xml:space="preserve"> </w:t>
            </w:r>
            <w:r>
              <w:t xml:space="preserve">‘</w:t>
            </w:r>
            <w:r>
              <w:t xml:space="preserve">traits</w:t>
            </w:r>
            <w:r>
              <w:t xml:space="preserve">’</w:t>
            </w:r>
            <w:r>
              <w:t xml:space="preserve"> </w:t>
            </w:r>
            <w:r>
              <w:t xml:space="preserve">within these models (evolution). We speak of</w:t>
            </w:r>
            <w:r>
              <w:t xml:space="preserve"> </w:t>
            </w:r>
            <w:r>
              <w:t xml:space="preserve">‘</w:t>
            </w:r>
            <w:r>
              <w:t xml:space="preserve">traits</w:t>
            </w:r>
            <w:r>
              <w:t xml:space="preserve">’</w:t>
            </w:r>
            <w:r>
              <w:t xml:space="preserve"> </w:t>
            </w:r>
            <w:r>
              <w:t xml:space="preserve">broadly here because these need not be traits typically thought of by evolutionary ecologists (e.g., body mass, morphology). Rather,</w:t>
            </w:r>
            <w:r>
              <w:t xml:space="preserve"> </w:t>
            </w:r>
            <w:r>
              <w:t xml:space="preserve">‘</w:t>
            </w:r>
            <w:r>
              <w:t xml:space="preserve">traits</w:t>
            </w:r>
            <w:r>
              <w:t xml:space="preserve">’</w:t>
            </w:r>
            <w:r>
              <w:t xml:space="preserve"> </w:t>
            </w:r>
            <w:r>
              <w:t xml:space="preserve">can also include the parameters within models that allow functional traits to emerge</w:t>
            </w:r>
            <w:r>
              <w:t xml:space="preserve"> </w:t>
            </w:r>
            <w:r>
              <w:t xml:space="preserve">[94]</w:t>
            </w:r>
            <w:r>
              <w:t xml:space="preserve"> </w:t>
            </w:r>
            <w:r>
              <w:t xml:space="preserve">or even function-valued traits</w:t>
            </w:r>
            <w:r>
              <w:t xml:space="preserve"> </w:t>
            </w:r>
            <w:r>
              <w:t xml:space="preserve">[95]</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[96]</w:t>
            </w:r>
            <w:r>
              <w:t xml:space="preserve">:</w:t>
            </w:r>
          </w:p>
          <w:p>
            <w:pPr>
              <w:pStyle w:val="BodyText"/>
            </w:pPr>
            <w:bookmarkStart w:id="36"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endChr m:val=")"/>
                    <m:sepChr m:val=""/>
                    <m:grow/>
                  </m:dPr>
                  <m:e>
                    <m:r>
                      <m:t>2</m:t>
                    </m:r>
                  </m:e>
                </m:d>
              </m:oMath>
            </m:oMathPara>
            <w:bookmarkEnd w:id="36"/>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[97]</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[89,97]</w:t>
            </w:r>
            <w:r>
              <w:t xml:space="preserve">.</w:t>
            </w:r>
          </w:p>
          <w:p>
            <w:pPr>
              <w:pStyle w:val="BodyText"/>
            </w:pPr>
            <w:pPr>
              <w:spacing w:after="16"/>
            </w:pPr>
            <w:r>
              <w:t xml:space="preserve">Measuring and incorporating both plasticity and evolution into our proposed systems modelling framework is still rare and usually focused on one or a few</w:t>
            </w:r>
            <w:r>
              <w:t xml:space="preserve"> </w:t>
            </w:r>
            <w:r>
              <w:t xml:space="preserve">‘</w:t>
            </w:r>
            <w:r>
              <w:t xml:space="preserve">traits</w:t>
            </w:r>
            <w:r>
              <w:t xml:space="preserve">’</w:t>
            </w:r>
            <w:r>
              <w:t xml:space="preserve">. Studies that have attempted to measure plasticity and evolutionary potential in traits demonstrate how such processes can shape outcomes in important ways</w:t>
            </w:r>
            <w:r>
              <w:t xml:space="preserve"> </w:t>
            </w:r>
            <w:r>
              <w:t xml:space="preserve">[98–103]</w:t>
            </w:r>
            <w:r>
              <w:t xml:space="preserve">. For example, using isogenic lines of</w:t>
            </w:r>
            <w:r>
              <w:t xml:space="preserve"> </w:t>
            </w:r>
            <w:r>
              <w:rPr>
                <w:i/>
                <w:iCs/>
              </w:rPr>
              <w:t xml:space="preserve">Drosophia melanogaster</w:t>
            </w:r>
            <w:r>
              <w:t xml:space="preserve">,</w:t>
            </w:r>
            <w:r>
              <w:t xml:space="preserve"> </w:t>
            </w:r>
            <w:r>
              <w:t xml:space="preserve">[103]</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[99]</w:t>
            </w:r>
            <w:r>
              <w:t xml:space="preserve">, and in locusts drought can also affect heat tolerance</w:t>
            </w:r>
            <w:r>
              <w:t xml:space="preserve"> </w:t>
            </w:r>
            <w:r>
              <w:t xml:space="preserve">[98]</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[104]</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[105]</w:t>
            </w:r>
            <w:r>
              <w:t xml:space="preserve">. Thermal stressors may even influence producers’ psychological beliefs about their level of control over land management, and perceived resources available for management practices</w:t>
            </w:r>
            <w:r>
              <w:t xml:space="preserve"> </w:t>
            </w:r>
            <w:r>
              <w:t xml:space="preserve">[106]</w:t>
            </w:r>
            <w:r>
              <w:t xml:space="preserve">. Thermal risks to ecosystems may also precipitate declines in individual wellbeing, and these consequences may accrue differently across regions and across peoples</w:t>
            </w:r>
            <w:r>
              <w:t xml:space="preserve"> </w:t>
            </w:r>
            <w:r>
              <w:t xml:space="preserve">[107]</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[108,109]</w:t>
            </w:r>
            <w:r>
              <w:t xml:space="preserve">. On the other hand, adapting thermal risks in upper stream producers may also be influenced by the perception and behaviour of downstream consumers</w:t>
            </w:r>
            <w:r>
              <w:t xml:space="preserve"> </w:t>
            </w:r>
            <w:r>
              <w:t xml:space="preserve">[110]</w:t>
            </w:r>
            <w:r>
              <w:t xml:space="preserve">. The cascading</w:t>
            </w:r>
            <w:r>
              <w:t xml:space="preserve"> </w:t>
            </w:r>
            <w:r>
              <w:t xml:space="preserve">[111]</w:t>
            </w:r>
            <w:r>
              <w:t xml:space="preserve"> </w:t>
            </w:r>
            <w:r>
              <w:t xml:space="preserve">and telecoupled</w:t>
            </w:r>
            <w:r>
              <w:t xml:space="preserve"> </w:t>
            </w:r>
            <w:r>
              <w:t xml:space="preserve">[112]</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[113]</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[114]</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[115]</w:t>
            </w:r>
            <w:r>
              <w:t xml:space="preserve">. Social-ecological models aim to capture the social systems, natural systems and their interactions</w:t>
            </w:r>
            <w:r>
              <w:t xml:space="preserve"> </w:t>
            </w:r>
            <w:r>
              <w:t xml:space="preserve">[116]</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[117]</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[118]</w:t>
            </w:r>
            <w:r>
              <w:t xml:space="preserve">. Process-based approaches are critical to understanding how emergent social-ecological phenomena develop</w:t>
            </w:r>
            <w:r>
              <w:t xml:space="preserve"> </w:t>
            </w:r>
            <w:r>
              <w:t xml:space="preserve">[119]</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[120]</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7"/>
    <w:bookmarkStart w:id="38"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1"/>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1"/>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2"/>
        </w:numPr>
      </w:pPr>
      <w:r>
        <w:t xml:space="preserve">Microbial recruitment (Braj)</w:t>
      </w:r>
    </w:p>
    <w:p>
      <w:pPr>
        <w:pStyle w:val="Compact"/>
        <w:numPr>
          <w:ilvl w:val="1"/>
          <w:numId w:val="1002"/>
        </w:numPr>
      </w:pPr>
      <w:r>
        <w:t xml:space="preserve">Pollinator services (James, Margie)</w:t>
      </w:r>
    </w:p>
    <w:p>
      <w:pPr>
        <w:pStyle w:val="Compact"/>
        <w:numPr>
          <w:ilvl w:val="0"/>
          <w:numId w:val="1001"/>
        </w:numPr>
      </w:pPr>
      <w:r>
        <w:t xml:space="preserve">Cooler landscapes</w:t>
      </w:r>
    </w:p>
    <w:p>
      <w:pPr>
        <w:pStyle w:val="Compact"/>
        <w:numPr>
          <w:ilvl w:val="1"/>
          <w:numId w:val="1003"/>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1"/>
        </w:numPr>
      </w:pPr>
      <w:r>
        <w:t xml:space="preserve">Pest and disease prediction and control. (Ary)</w:t>
      </w:r>
    </w:p>
    <w:p>
      <w:pPr>
        <w:pStyle w:val="Compact"/>
        <w:numPr>
          <w:ilvl w:val="0"/>
          <w:numId w:val="1001"/>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p>
            <w:pPr>
              <w:pStyle w:val="Compact"/>
              <w:numPr>
                <w:ilvl w:val="0"/>
                <w:numId w:val="1004"/>
              </w:numPr>
            </w:pPr>
            <w:r>
              <w:t xml:space="preserve">How effective are models relying on parameters for closely related species applied species without much data at predicting the impacts of extreme heat on species and communities?</w:t>
            </w:r>
          </w:p>
          <w:p>
            <w:pPr>
              <w:pStyle w:val="Compact"/>
              <w:numPr>
                <w:ilvl w:val="0"/>
                <w:numId w:val="1004"/>
              </w:numPr>
            </w:pPr>
            <w:r>
              <w:t xml:space="preserve">How can we capture longer-term evolutionary responses to extreme heat in a systems modelling framework?</w:t>
            </w:r>
          </w:p>
          <w:p>
            <w:pPr>
              <w:pStyle w:val="Compact"/>
              <w:numPr>
                <w:ilvl w:val="0"/>
                <w:numId w:val="1004"/>
              </w:numPr>
            </w:pPr>
            <w:r>
              <w:t xml:space="preserve">For modular plant species, can we build and couple dynamic energy budget models to predict how extreme heat will impact tissue and life cycle dynamics?</w:t>
            </w:r>
          </w:p>
        </w:tc>
      </w:tr>
    </w:tbl>
    <w:bookmarkEnd w:id="38"/>
    <w:bookmarkStart w:id="39"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39"/>
    <w:bookmarkStart w:id="161" w:name="references"/>
    <w:p>
      <w:pPr>
        <w:pStyle w:val="Heading1"/>
      </w:pPr>
      <w:r>
        <w:t xml:space="preserve">References</w:t>
      </w:r>
    </w:p>
    <w:p>
      <w:pPr>
        <w:pStyle w:val="FirstParagraph"/>
      </w:pPr>
    </w:p>
    <w:bookmarkStart w:id="160" w:name="refs"/>
    <w:bookmarkStart w:id="40"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0"/>
    <w:bookmarkStart w:id="41"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1"/>
    <w:bookmarkStart w:id="42"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2"/>
    <w:bookmarkStart w:id="43"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3"/>
    <w:bookmarkStart w:id="44"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4"/>
    <w:bookmarkStart w:id="45"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5"/>
    <w:bookmarkStart w:id="46"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6"/>
    <w:bookmarkStart w:id="47"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7"/>
    <w:bookmarkStart w:id="48"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8"/>
    <w:bookmarkStart w:id="49"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9"/>
    <w:bookmarkStart w:id="50"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0"/>
    <w:bookmarkStart w:id="51"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1"/>
    <w:bookmarkStart w:id="52"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2"/>
    <w:bookmarkStart w:id="53"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3"/>
    <w:bookmarkStart w:id="54"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4"/>
    <w:bookmarkStart w:id="55"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5"/>
    <w:bookmarkStart w:id="56"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6"/>
    <w:bookmarkStart w:id="57"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7"/>
    <w:bookmarkStart w:id="58"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8"/>
    <w:bookmarkStart w:id="59"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9"/>
    <w:bookmarkStart w:id="60"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0"/>
    <w:bookmarkStart w:id="61"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1"/>
    <w:bookmarkStart w:id="62"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2"/>
    <w:bookmarkStart w:id="63"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3"/>
    <w:bookmarkStart w:id="64"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64"/>
    <w:bookmarkStart w:id="65"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65"/>
    <w:bookmarkStart w:id="66"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66"/>
    <w:bookmarkStart w:id="67"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67"/>
    <w:bookmarkStart w:id="68"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68"/>
    <w:bookmarkStart w:id="69"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69"/>
    <w:bookmarkStart w:id="70"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0"/>
    <w:bookmarkStart w:id="71"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1"/>
    <w:bookmarkStart w:id="72"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2"/>
    <w:bookmarkStart w:id="73"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3"/>
    <w:bookmarkStart w:id="74"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74"/>
    <w:bookmarkStart w:id="75"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75"/>
    <w:bookmarkStart w:id="76"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76"/>
    <w:bookmarkStart w:id="77"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77"/>
    <w:bookmarkStart w:id="78"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78"/>
    <w:bookmarkStart w:id="79"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79"/>
    <w:bookmarkStart w:id="80"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0"/>
    <w:bookmarkStart w:id="81"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1"/>
    <w:bookmarkStart w:id="82" w:name="ref-Riddell2017"/>
    <w:p>
      <w:pPr>
        <w:pStyle w:val="Bibliography"/>
      </w:pPr>
      <w:r>
        <w:t xml:space="preserve">43.</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2"/>
    <w:bookmarkStart w:id="83" w:name="ref-Duursma2015"/>
    <w:p>
      <w:pPr>
        <w:pStyle w:val="Bibliography"/>
      </w:pPr>
      <w:r>
        <w:t xml:space="preserve">44.</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3"/>
    <w:bookmarkStart w:id="84" w:name="ref-Briscoe2022"/>
    <w:p>
      <w:pPr>
        <w:pStyle w:val="Bibliography"/>
      </w:pPr>
      <w:r>
        <w:t xml:space="preserve">45.</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84"/>
    <w:bookmarkStart w:id="85" w:name="ref-Loughran2020"/>
    <w:p>
      <w:pPr>
        <w:pStyle w:val="Bibliography"/>
      </w:pPr>
      <w:r>
        <w:t xml:space="preserve">46.</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85"/>
    <w:bookmarkStart w:id="86" w:name="ref-Sharpe2022"/>
    <w:p>
      <w:pPr>
        <w:pStyle w:val="Bibliography"/>
      </w:pPr>
      <w:r>
        <w:t xml:space="preserve">47.</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86"/>
    <w:bookmarkStart w:id="87" w:name="ref-Drake2018"/>
    <w:p>
      <w:pPr>
        <w:pStyle w:val="Bibliography"/>
      </w:pPr>
      <w:r>
        <w:t xml:space="preserve">48.</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87"/>
    <w:bookmarkStart w:id="88" w:name="ref-Posch2024"/>
    <w:p>
      <w:pPr>
        <w:pStyle w:val="Bibliography"/>
      </w:pPr>
      <w:r>
        <w:t xml:space="preserve">49.</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88"/>
    <w:bookmarkStart w:id="89" w:name="ref-Orsted2022"/>
    <w:p>
      <w:pPr>
        <w:pStyle w:val="Bibliography"/>
      </w:pPr>
      <w:r>
        <w:t xml:space="preserve">50.</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89"/>
    <w:bookmarkStart w:id="90" w:name="ref-Jagadish2021"/>
    <w:p>
      <w:pPr>
        <w:pStyle w:val="Bibliography"/>
      </w:pPr>
      <w:r>
        <w:t xml:space="preserve">51.</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0"/>
    <w:bookmarkStart w:id="91" w:name="ref-Faber2024"/>
    <w:p>
      <w:pPr>
        <w:pStyle w:val="Bibliography"/>
      </w:pPr>
      <w:r>
        <w:t xml:space="preserve">52.</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1"/>
    <w:bookmarkStart w:id="92" w:name="ref-Martinez-De_Leon2024"/>
    <w:p>
      <w:pPr>
        <w:pStyle w:val="Bibliography"/>
      </w:pPr>
      <w:r>
        <w:t xml:space="preserve">53.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2"/>
    <w:bookmarkStart w:id="93" w:name="ref-Fontaine2022"/>
    <w:p>
      <w:pPr>
        <w:pStyle w:val="Bibliography"/>
      </w:pPr>
      <w:r>
        <w:t xml:space="preserve">54.</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3"/>
    <w:bookmarkStart w:id="94" w:name="ref-Fontaine2023"/>
    <w:p>
      <w:pPr>
        <w:pStyle w:val="Bibliography"/>
      </w:pPr>
      <w:r>
        <w:t xml:space="preserve">55.</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4"/>
    <w:bookmarkStart w:id="95" w:name="ref-Hoang2019"/>
    <w:p>
      <w:pPr>
        <w:pStyle w:val="Bibliography"/>
      </w:pPr>
      <w:r>
        <w:t xml:space="preserve">56.</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5"/>
    <w:bookmarkStart w:id="96" w:name="ref-Gehman2019"/>
    <w:p>
      <w:pPr>
        <w:pStyle w:val="Bibliography"/>
      </w:pPr>
      <w:r>
        <w:t xml:space="preserve">57.</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6"/>
    <w:bookmarkStart w:id="97" w:name="ref-Hoang2021"/>
    <w:p>
      <w:pPr>
        <w:pStyle w:val="Bibliography"/>
      </w:pPr>
      <w:r>
        <w:t xml:space="preserve">58.</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7"/>
    <w:bookmarkStart w:id="98" w:name="ref-Corbin2016"/>
    <w:p>
      <w:pPr>
        <w:pStyle w:val="Bibliography"/>
      </w:pPr>
      <w:r>
        <w:t xml:space="preserve">59.</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8"/>
    <w:bookmarkStart w:id="99" w:name="ref-Zhang2019"/>
    <w:p>
      <w:pPr>
        <w:pStyle w:val="Bibliography"/>
      </w:pPr>
      <w:r>
        <w:t xml:space="preserve">60.</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9"/>
    <w:bookmarkStart w:id="100" w:name="ref-Dunbar2007"/>
    <w:p>
      <w:pPr>
        <w:pStyle w:val="Bibliography"/>
      </w:pPr>
      <w:r>
        <w:t xml:space="preserve">61.</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100"/>
    <w:bookmarkStart w:id="101" w:name="ref-Chouhan2023"/>
    <w:p>
      <w:pPr>
        <w:pStyle w:val="Bibliography"/>
      </w:pPr>
      <w:r>
        <w:t xml:space="preserve">62.</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1"/>
    <w:bookmarkStart w:id="102" w:name="ref-Liu2025"/>
    <w:p>
      <w:pPr>
        <w:pStyle w:val="Bibliography"/>
      </w:pPr>
      <w:r>
        <w:t xml:space="preserve">63.</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2"/>
    <w:bookmarkStart w:id="103" w:name="ref-Marquez2007"/>
    <w:p>
      <w:pPr>
        <w:pStyle w:val="Bibliography"/>
      </w:pPr>
      <w:r>
        <w:t xml:space="preserve">64.</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3"/>
    <w:bookmarkStart w:id="104" w:name="ref-Huang2019"/>
    <w:p>
      <w:pPr>
        <w:pStyle w:val="Bibliography"/>
      </w:pPr>
      <w:r>
        <w:t xml:space="preserve">65.</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4"/>
    <w:bookmarkStart w:id="105" w:name="ref-Dastogeer2022"/>
    <w:p>
      <w:pPr>
        <w:pStyle w:val="Bibliography"/>
      </w:pPr>
      <w:r>
        <w:t xml:space="preserve">66.</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5"/>
    <w:bookmarkStart w:id="106" w:name="ref-Shekhawat2022"/>
    <w:p>
      <w:pPr>
        <w:pStyle w:val="Bibliography"/>
      </w:pPr>
      <w:r>
        <w:t xml:space="preserve">67.</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06"/>
    <w:bookmarkStart w:id="107" w:name="ref-Lobell2012"/>
    <w:p>
      <w:pPr>
        <w:pStyle w:val="Bibliography"/>
      </w:pPr>
      <w:r>
        <w:t xml:space="preserve">68.</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107"/>
    <w:bookmarkStart w:id="108" w:name="ref-Farooq2011"/>
    <w:p>
      <w:pPr>
        <w:pStyle w:val="Bibliography"/>
      </w:pPr>
      <w:r>
        <w:t xml:space="preserve">69.</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108"/>
    <w:bookmarkStart w:id="109" w:name="ref-He2025"/>
    <w:p>
      <w:pPr>
        <w:pStyle w:val="Bibliography"/>
      </w:pPr>
      <w:r>
        <w:t xml:space="preserve">70.</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109"/>
    <w:bookmarkStart w:id="110" w:name="ref-Zhang2021"/>
    <w:p>
      <w:pPr>
        <w:pStyle w:val="Bibliography"/>
      </w:pPr>
      <w:r>
        <w:t xml:space="preserve">71.</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110"/>
    <w:bookmarkStart w:id="111" w:name="ref-Zhang2023a"/>
    <w:p>
      <w:pPr>
        <w:pStyle w:val="Bibliography"/>
      </w:pPr>
      <w:r>
        <w:t xml:space="preserve">72.</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111"/>
    <w:bookmarkStart w:id="112" w:name="ref-Nisbet2000"/>
    <w:p>
      <w:pPr>
        <w:pStyle w:val="Bibliography"/>
      </w:pPr>
      <w:r>
        <w:t xml:space="preserve">73.</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2"/>
    <w:bookmarkStart w:id="113" w:name="ref-Jager2020"/>
    <w:p>
      <w:pPr>
        <w:pStyle w:val="Bibliography"/>
      </w:pPr>
      <w:r>
        <w:t xml:space="preserve">74.</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3"/>
    <w:bookmarkStart w:id="114" w:name="ref-Haberle2025"/>
    <w:p>
      <w:pPr>
        <w:pStyle w:val="Bibliography"/>
      </w:pPr>
      <w:r>
        <w:t xml:space="preserve">75.</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4"/>
    <w:bookmarkStart w:id="115" w:name="ref-Kearney2013"/>
    <w:p>
      <w:pPr>
        <w:pStyle w:val="Bibliography"/>
      </w:pPr>
      <w:r>
        <w:t xml:space="preserve">76.</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5"/>
    <w:bookmarkStart w:id="116" w:name="ref-Kearney2010"/>
    <w:p>
      <w:pPr>
        <w:pStyle w:val="Bibliography"/>
      </w:pPr>
      <w:r>
        <w:t xml:space="preserve">77.</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6"/>
    <w:bookmarkStart w:id="117" w:name="ref-Russo2022"/>
    <w:p>
      <w:pPr>
        <w:pStyle w:val="Bibliography"/>
      </w:pPr>
      <w:r>
        <w:t xml:space="preserve">78.</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7"/>
    <w:bookmarkStart w:id="118" w:name="ref-Marques2018"/>
    <w:p>
      <w:pPr>
        <w:pStyle w:val="Bibliography"/>
      </w:pPr>
      <w:r>
        <w:t xml:space="preserve">79.</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8"/>
    <w:bookmarkStart w:id="119" w:name="ref-Kooijman2021"/>
    <w:p>
      <w:pPr>
        <w:pStyle w:val="Bibliography"/>
      </w:pPr>
      <w:r>
        <w:t xml:space="preserve">80.</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9"/>
    <w:bookmarkStart w:id="120" w:name="ref-Bruggeman2009"/>
    <w:p>
      <w:pPr>
        <w:pStyle w:val="Bibliography"/>
      </w:pPr>
      <w:r>
        <w:t xml:space="preserve">81.</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20"/>
    <w:bookmarkStart w:id="121" w:name="ref-Kearney2020a"/>
    <w:p>
      <w:pPr>
        <w:pStyle w:val="Bibliography"/>
      </w:pPr>
      <w:r>
        <w:t xml:space="preserve">82.</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21"/>
    <w:bookmarkStart w:id="122" w:name="ref-Ricker1954a"/>
    <w:p>
      <w:pPr>
        <w:pStyle w:val="Bibliography"/>
      </w:pPr>
      <w:r>
        <w:t xml:space="preserve">83.</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2"/>
    <w:bookmarkStart w:id="123" w:name="ref-Beverton2012"/>
    <w:p>
      <w:pPr>
        <w:pStyle w:val="Bibliography"/>
      </w:pPr>
      <w:r>
        <w:t xml:space="preserve">84.</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3"/>
    <w:bookmarkStart w:id="124" w:name="ref-Bertness1994"/>
    <w:p>
      <w:pPr>
        <w:pStyle w:val="Bibliography"/>
      </w:pPr>
      <w:r>
        <w:t xml:space="preserve">85.</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24"/>
    <w:bookmarkStart w:id="125" w:name="ref-Weiss-Lehman2022"/>
    <w:p>
      <w:pPr>
        <w:pStyle w:val="Bibliography"/>
      </w:pPr>
      <w:r>
        <w:t xml:space="preserve">86.</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25"/>
    <w:bookmarkStart w:id="126" w:name="ref-Chevin2017"/>
    <w:p>
      <w:pPr>
        <w:pStyle w:val="Bibliography"/>
      </w:pPr>
      <w:r>
        <w:t xml:space="preserve">87.</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6"/>
    <w:bookmarkStart w:id="127" w:name="ref-Urban2024"/>
    <w:p>
      <w:pPr>
        <w:pStyle w:val="Bibliography"/>
      </w:pPr>
      <w:r>
        <w:t xml:space="preserve">88.</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7"/>
    <w:bookmarkStart w:id="128" w:name="ref-Hoffmann2011"/>
    <w:p>
      <w:pPr>
        <w:pStyle w:val="Bibliography"/>
      </w:pPr>
      <w:r>
        <w:t xml:space="preserve">89.</w:t>
      </w:r>
      <w:r>
        <w:t xml:space="preserve"> </w:t>
      </w:r>
      <w:r>
        <w:t xml:space="preserve">	</w:t>
      </w:r>
      <w:r>
        <w:t xml:space="preserve">Hoffmann, A.A. and Sgrò, C.M. (2011) Climate change and evolutionary adaptation. 470, 479–485</w:t>
      </w:r>
    </w:p>
    <w:bookmarkEnd w:id="128"/>
    <w:bookmarkStart w:id="129" w:name="ref-Hoffmann2022"/>
    <w:p>
      <w:pPr>
        <w:pStyle w:val="Bibliography"/>
      </w:pPr>
      <w:r>
        <w:t xml:space="preserve">90.</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9"/>
    <w:bookmarkStart w:id="130" w:name="ref-Ghalambor2015"/>
    <w:p>
      <w:pPr>
        <w:pStyle w:val="Bibliography"/>
      </w:pPr>
      <w:r>
        <w:t xml:space="preserve">91.</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0"/>
    <w:bookmarkStart w:id="131" w:name="ref-Oostra2018"/>
    <w:p>
      <w:pPr>
        <w:pStyle w:val="Bibliography"/>
      </w:pPr>
      <w:r>
        <w:t xml:space="preserve">92.</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1"/>
    <w:bookmarkStart w:id="132" w:name="ref-Noble2019"/>
    <w:p>
      <w:pPr>
        <w:pStyle w:val="Bibliography"/>
      </w:pPr>
      <w:r>
        <w:t xml:space="preserve">93.</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2"/>
    <w:bookmarkStart w:id="133" w:name="ref-Sousa2010"/>
    <w:p>
      <w:pPr>
        <w:pStyle w:val="Bibliography"/>
      </w:pPr>
      <w:r>
        <w:t xml:space="preserve">94.</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3"/>
    <w:bookmarkStart w:id="134" w:name="ref-Stinchcombe2012"/>
    <w:p>
      <w:pPr>
        <w:pStyle w:val="Bibliography"/>
      </w:pPr>
      <w:r>
        <w:t xml:space="preserve">95.</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34"/>
    <w:bookmarkStart w:id="135" w:name="ref-Lande1979"/>
    <w:p>
      <w:pPr>
        <w:pStyle w:val="Bibliography"/>
      </w:pPr>
      <w:r>
        <w:t xml:space="preserve">96.</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5"/>
    <w:bookmarkStart w:id="136" w:name="ref-Walsh2018"/>
    <w:p>
      <w:pPr>
        <w:pStyle w:val="Bibliography"/>
      </w:pPr>
      <w:r>
        <w:t xml:space="preserve">97.</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6"/>
    <w:bookmarkStart w:id="137" w:name="ref-Youngblood2025"/>
    <w:p>
      <w:pPr>
        <w:pStyle w:val="Bibliography"/>
      </w:pPr>
      <w:r>
        <w:t xml:space="preserve">98.</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37"/>
    <w:bookmarkStart w:id="138" w:name="ref-Baeza_Icaza2025"/>
    <w:p>
      <w:pPr>
        <w:pStyle w:val="Bibliography"/>
      </w:pPr>
      <w:r>
        <w:t xml:space="preserve">99.</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8"/>
    <w:bookmarkStart w:id="139" w:name="ref-Kearney2009a"/>
    <w:p>
      <w:pPr>
        <w:pStyle w:val="Bibliography"/>
      </w:pPr>
      <w:r>
        <w:t xml:space="preserve">100.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9"/>
    <w:bookmarkStart w:id="140" w:name="ref-Ellner2011"/>
    <w:p>
      <w:pPr>
        <w:pStyle w:val="Bibliography"/>
      </w:pPr>
      <w:r>
        <w:t xml:space="preserve">101.</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40"/>
    <w:bookmarkStart w:id="141" w:name="ref-Pottier2022a"/>
    <w:p>
      <w:pPr>
        <w:pStyle w:val="Bibliography"/>
      </w:pPr>
      <w:r>
        <w:t xml:space="preserve">102.</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41"/>
    <w:bookmarkStart w:id="142" w:name="ref-Leiva2024b"/>
    <w:p>
      <w:pPr>
        <w:pStyle w:val="Bibliography"/>
      </w:pPr>
      <w:r>
        <w:t xml:space="preserve">103.</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2"/>
    <w:bookmarkStart w:id="143" w:name="ref-Assessment_undated-fv"/>
    <w:p>
      <w:pPr>
        <w:pStyle w:val="Bibliography"/>
      </w:pPr>
      <w:r>
        <w:t xml:space="preserve">104.</w:t>
      </w:r>
      <w:r>
        <w:t xml:space="preserve"> </w:t>
      </w:r>
      <w:r>
        <w:t xml:space="preserve">	</w:t>
      </w:r>
      <w:r>
        <w:t xml:space="preserve">Assessment, M.E. (2005) Opportunities and challenges for business and industryunioviedo.es</w:t>
      </w:r>
    </w:p>
    <w:bookmarkEnd w:id="143"/>
    <w:bookmarkStart w:id="144" w:name="ref-Dandy2019"/>
    <w:p>
      <w:pPr>
        <w:pStyle w:val="Bibliography"/>
      </w:pPr>
      <w:r>
        <w:t xml:space="preserve">105.</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4"/>
    <w:bookmarkStart w:id="145" w:name="ref-Price2014"/>
    <w:p>
      <w:pPr>
        <w:pStyle w:val="Bibliography"/>
      </w:pPr>
      <w:r>
        <w:t xml:space="preserve">106.</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5"/>
    <w:bookmarkStart w:id="146" w:name="ref-Leviston2018"/>
    <w:p>
      <w:pPr>
        <w:pStyle w:val="Bibliography"/>
      </w:pPr>
      <w:r>
        <w:t xml:space="preserve">107.</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6"/>
    <w:bookmarkStart w:id="147" w:name="ref-Bai2016"/>
    <w:p>
      <w:pPr>
        <w:pStyle w:val="Bibliography"/>
      </w:pPr>
      <w:r>
        <w:t xml:space="preserve">108.</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7"/>
    <w:bookmarkStart w:id="148" w:name="ref-Grimm2008"/>
    <w:p>
      <w:pPr>
        <w:pStyle w:val="Bibliography"/>
      </w:pPr>
      <w:r>
        <w:t xml:space="preserve">109.</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8"/>
    <w:bookmarkStart w:id="149" w:name="ref-Hendricks2022"/>
    <w:p>
      <w:pPr>
        <w:pStyle w:val="Bibliography"/>
      </w:pPr>
      <w:r>
        <w:t xml:space="preserve">110.</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9"/>
    <w:bookmarkStart w:id="150" w:name="ref-Sutanto2020"/>
    <w:p>
      <w:pPr>
        <w:pStyle w:val="Bibliography"/>
      </w:pPr>
      <w:r>
        <w:t xml:space="preserve">111.</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50"/>
    <w:bookmarkStart w:id="151" w:name="ref-Liu2007"/>
    <w:p>
      <w:pPr>
        <w:pStyle w:val="Bibliography"/>
      </w:pPr>
      <w:r>
        <w:t xml:space="preserve">112.</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1"/>
    <w:bookmarkStart w:id="152" w:name="ref-Black2011"/>
    <w:p>
      <w:pPr>
        <w:pStyle w:val="Bibliography"/>
      </w:pPr>
      <w:r>
        <w:t xml:space="preserve">113.</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2"/>
    <w:bookmarkStart w:id="153" w:name="ref-Neil_Adger1999"/>
    <w:p>
      <w:pPr>
        <w:pStyle w:val="Bibliography"/>
      </w:pPr>
      <w:r>
        <w:t xml:space="preserve">114.</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3"/>
    <w:bookmarkStart w:id="154" w:name="ref-Folke2016"/>
    <w:p>
      <w:pPr>
        <w:pStyle w:val="Bibliography"/>
      </w:pPr>
      <w:r>
        <w:t xml:space="preserve">115.</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4"/>
    <w:bookmarkStart w:id="155" w:name="ref-Schluter2012"/>
    <w:p>
      <w:pPr>
        <w:pStyle w:val="Bibliography"/>
      </w:pPr>
      <w:r>
        <w:t xml:space="preserve">116.</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5"/>
    <w:bookmarkStart w:id="156" w:name="ref-Wise2014"/>
    <w:p>
      <w:pPr>
        <w:pStyle w:val="Bibliography"/>
      </w:pPr>
      <w:r>
        <w:t xml:space="preserve">117.</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6"/>
    <w:bookmarkStart w:id="157" w:name="ref-Biggs2021"/>
    <w:p>
      <w:pPr>
        <w:pStyle w:val="Bibliography"/>
      </w:pPr>
      <w:r>
        <w:t xml:space="preserve">118.</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7"/>
    <w:bookmarkStart w:id="158" w:name="ref-Brown2021"/>
    <w:p>
      <w:pPr>
        <w:pStyle w:val="Bibliography"/>
      </w:pPr>
      <w:r>
        <w:t xml:space="preserve">119.</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8"/>
    <w:bookmarkStart w:id="159" w:name="ref-Kwakkel2013"/>
    <w:p>
      <w:pPr>
        <w:pStyle w:val="Bibliography"/>
      </w:pPr>
      <w:r>
        <w:t xml:space="preserve">120.</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9"/>
    <w:bookmarkEnd w:id="160"/>
    <w:p>
      <w:pPr>
        <w:pStyle w:val="BodyText"/>
      </w:pPr>
    </w:p>
    <w:bookmarkEnd w:id="161"/>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2025-05-16T00:32:56Z</dcterms:created>
  <dcterms:modified xsi:type="dcterms:W3CDTF">2025-05-16T00:32:56Z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