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2" w:name="X2b97b971c201f11017c10c1d6e4dbfd69043166"/>
    <w:p>
      <w:pPr>
        <w:pStyle w:val="Heading1"/>
      </w:pPr>
      <w:r>
        <w:t xml:space="preserve">A systems-modelling approach to modelling biotic impacts of heatwaves</w:t>
      </w:r>
    </w:p>
    <w:p>
      <w:pPr>
        <w:pStyle w:val="FirstParagraph"/>
      </w:pPr>
      <w:r>
        <w:rPr>
          <w:b/>
          <w:bCs/>
        </w:rPr>
        <w:t xml:space="preserve">?@fig-fig1</w:t>
      </w:r>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r>
        <w:rPr>
          <w:b/>
          <w:bCs/>
        </w:rPr>
        <w:t xml:space="preserve">?@fig-fig1</w:t>
      </w:r>
      <w:r>
        <w:t xml:space="preserve"> </w:t>
      </w:r>
      <w:r>
        <w:t xml:space="preserve">such that a truly systems-based approach to modelling biotic impacts of heatwaves is now possible.</w:t>
      </w:r>
    </w:p>
    <w:bookmarkEnd w:id="22"/>
    <w:bookmarkStart w:id="23" w:name="Xbb8a3512749f7fb1c67948ca8a2ad003fcd6253"/>
    <w:p>
      <w:pPr>
        <w:pStyle w:val="Heading1"/>
      </w:pPr>
      <w:r>
        <w:t xml:space="preserve">The current climate of extreme weather modelling</w:t>
      </w:r>
    </w:p>
    <w:bookmarkEnd w:id="23"/>
    <w:bookmarkStart w:id="24" w:name="X4da05dea4acdb2054c1e59c2f12913febac8a0c"/>
    <w:p>
      <w:pPr>
        <w:pStyle w:val="Heading1"/>
      </w:pPr>
      <w:r>
        <w:t xml:space="preserve">From weather to microclimates: predicting community wide exposure to extreme heat</w:t>
      </w:r>
    </w:p>
    <w:bookmarkEnd w:id="24"/>
    <w:bookmarkStart w:id="25"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7"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6"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26"/>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7"/>
    <w:bookmarkStart w:id="28" w:name="X26e2617c7557035eb826bdba0aa1bfc30f8def3"/>
    <w:p>
      <w:pPr>
        <w:pStyle w:val="Heading1"/>
      </w:pPr>
      <w:r>
        <w:t xml:space="preserve">Sensitivity to extreme heat is mediated by environmental feedbacks</w:t>
      </w:r>
    </w:p>
    <w:bookmarkEnd w:id="28"/>
    <w:bookmarkStart w:id="29"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9"/>
    <w:bookmarkStart w:id="30"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0"/>
    <w:bookmarkStart w:id="31"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1"/>
    <w:bookmarkStart w:id="33"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[73–75]</w:t>
      </w:r>
      <w:r>
        <w:t xml:space="preserve">. Phenotypic plasticty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definiton, rare events. Evolutionary responses will therefore depend on the frequency of extreme environments and the underlying genetic correlation between traits expressed across common and extreme environments</w:t>
      </w:r>
      <w:r>
        <w:t xml:space="preserve"> </w:t>
      </w:r>
      <w:r>
        <w:t xml:space="preserve">[73]</w:t>
      </w:r>
      <w:r>
        <w:t xml:space="preserve">. In addition, plastic trait responses can result in both maladaptive and adaptive outcomes by either shielding selection on genetic variation or by facilitating persistence and selection</w:t>
      </w:r>
      <w:r>
        <w:t xml:space="preserve"> </w:t>
      </w:r>
      <w:r>
        <w:t xml:space="preserve">[74,76–79]</w:t>
      </w:r>
      <w:r>
        <w:t xml:space="preserve">. Both plasticity and evolution can be incorperated into a systems modelling framework by allowing environments to govern</w:t>
      </w:r>
      <w:r>
        <w:t xml:space="preserve"> </w:t>
      </w:r>
      <w:r>
        <w:t xml:space="preserve">‘trait’</w:t>
      </w:r>
      <w:r>
        <w:t xml:space="preserve"> </w:t>
      </w:r>
      <w:r>
        <w:t xml:space="preserve">development (plasticity) and by incoperating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taits to emerge</w:t>
      </w:r>
      <w:r>
        <w:t xml:space="preserve"> </w:t>
      </w:r>
      <w:r>
        <w:t xml:space="preserve">[80]</w:t>
      </w:r>
      <w:r>
        <w:t xml:space="preserve">. Plasticity can be captured by mapping trait development to the environment. In contrast, evolutionary change that considers genetic correlation between traits (i.e., constraints) can be predcited using the multivariate breeders equation:</w:t>
      </w:r>
    </w:p>
    <w:p>
      <w:pPr>
        <w:pStyle w:val="BodyText"/>
      </w:pPr>
      <w:bookmarkStart w:id="32" w:name="eq-breeders"/>
      <m:oMathPara>
        <m:oMathParaPr>
          <m:jc m:val="center"/>
        </m:oMathParaPr>
        <m:oMath>
          <m:r>
            <m:t>Δ</m:t>
          </m:r>
          <m:acc>
            <m:accPr>
              <m:chr m:val="‾"/>
            </m:accPr>
            <m:e>
              <m:r>
                <m:rPr>
                  <m:nor/>
                  <m:sty m:val="b"/>
                </m:rPr>
                <m:t>z</m:t>
              </m:r>
            </m:e>
          </m:acc>
          <m:r>
            <m:rPr>
              <m:sty m:val="p"/>
            </m:rPr>
            <m:t>=</m:t>
          </m:r>
          <m:r>
            <m:rPr>
              <m:nor/>
              <m:sty m:val="b"/>
            </m:rPr>
            <m:t>G</m:t>
          </m:r>
          <m:r>
            <m:rPr>
              <m:sty m:val="p"/>
            </m:rPr>
            <m:t>⋅</m:t>
          </m:r>
          <m:r>
            <m:t>β</m:t>
          </m:r>
          <m:r>
            <m:t>  </m:t>
          </m:r>
          <m:d>
            <m:dPr>
              <m:begChr m:val="("/>
              <m:sepChr m:val=""/>
              <m:endChr m:val=")"/>
              <m:grow/>
            </m:dPr>
            <m:e>
              <m:r>
                <m:t>2</m:t>
              </m:r>
            </m:e>
          </m:d>
        </m:oMath>
      </m:oMathPara>
      <w:bookmarkEnd w:id="32"/>
    </w:p>
    <w:p>
      <w:pPr>
        <w:pStyle w:val="FirstParagraph"/>
      </w:pPr>
      <w:r>
        <w:t xml:space="preserve">where</w:t>
      </w:r>
      <w:r>
        <w:t xml:space="preserve"> </w:t>
      </w:r>
      <m:oMath>
        <m:r>
          <m:t>Δ</m:t>
        </m:r>
        <m:acc>
          <m:accPr>
            <m:chr m:val="‾"/>
          </m:accPr>
          <m:e>
            <m:r>
              <m:rPr>
                <m:nor/>
                <m:sty m:val="b"/>
              </m:rPr>
              <m:t>z</m:t>
            </m:r>
          </m:e>
        </m:acc>
      </m:oMath>
      <w:r>
        <w:t xml:space="preserve"> </w:t>
      </w:r>
      <w:r>
        <w:t xml:space="preserve">is the vector of changes in the mean trait values,</w:t>
      </w:r>
      <w:r>
        <w:t xml:space="preserve"> </w:t>
      </w:r>
      <m:oMath>
        <m:r>
          <m:rPr>
            <m:nor/>
            <m:sty m:val="b"/>
          </m:rPr>
          <m:t>G</m:t>
        </m:r>
      </m:oMath>
      <w:r>
        <w:t xml:space="preserve"> </w:t>
      </w:r>
      <w:r>
        <w:t xml:space="preserve">is the genetic covariance matrix and</w:t>
      </w:r>
      <w:r>
        <w:t xml:space="preserve"> </w:t>
      </w:r>
      <m:oMath>
        <m:r>
          <m:t>β</m:t>
        </m:r>
      </m:oMath>
      <w:r>
        <w:t xml:space="preserve"> </w:t>
      </w:r>
      <w:r>
        <w:t xml:space="preserve">is the vector of standardised selection gradients.</w:t>
      </w:r>
    </w:p>
    <w:bookmarkEnd w:id="33"/>
    <w:bookmarkStart w:id="39"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4"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[81]</w:t>
      </w:r>
      <w:r>
        <w:t xml:space="preserve">. The paper provides a framework for modelling soil plant interactions</w:t>
      </w:r>
    </w:p>
    <w:bookmarkEnd w:id="34"/>
    <w:bookmarkStart w:id="35" w:name="X24738ef4513767bb724ce8804ac017259eaf2ee"/>
    <w:p>
      <w:pPr>
        <w:pStyle w:val="Heading3"/>
      </w:pPr>
      <w:r>
        <w:t xml:space="preserve">Water availability can impact thermal sensitivity of plants and animals (Brendan)</w:t>
      </w:r>
    </w:p>
    <w:bookmarkEnd w:id="35"/>
    <w:bookmarkStart w:id="36"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[82]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[82]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6"/>
    <w:bookmarkStart w:id="37"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[83]</w:t>
      </w:r>
      <w:r>
        <w:t xml:space="preserve">. Connects heat tolerance to population matrix models. And, shows acclimation responses (heat hardening).</w:t>
      </w:r>
    </w:p>
    <w:bookmarkEnd w:id="37"/>
    <w:bookmarkStart w:id="38"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[84]</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[85]</w:t>
            </w:r>
            <w:r>
              <w:t xml:space="preserve">. Thermal stressors may even influence producers’ psychological beliefs about their level of control over land management, and perceived resources available for management practices</w:t>
            </w:r>
            <w:r>
              <w:t xml:space="preserve"> </w:t>
            </w:r>
            <w:r>
              <w:t xml:space="preserve">[86]</w:t>
            </w:r>
            <w:r>
              <w:t xml:space="preserve">. Thermal risks to ecosystems may also precipitate declines in individual wellbeing, and these consequences may accrue differently across regions and across peoples</w:t>
            </w:r>
            <w:r>
              <w:t xml:space="preserve"> </w:t>
            </w:r>
            <w:r>
              <w:t xml:space="preserve">[87]</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[88,89]</w:t>
            </w:r>
            <w:r>
              <w:t xml:space="preserve">. On the other hand, adapting thermal risks in upper stream producers may also be influenced by the perception and behaviour of downstream consumers</w:t>
            </w:r>
            <w:r>
              <w:t xml:space="preserve"> </w:t>
            </w:r>
            <w:r>
              <w:t xml:space="preserve">[90]</w:t>
            </w:r>
            <w:r>
              <w:t xml:space="preserve">. The cascading</w:t>
            </w:r>
            <w:r>
              <w:t xml:space="preserve"> </w:t>
            </w:r>
            <w:r>
              <w:t xml:space="preserve">[91]</w:t>
            </w:r>
            <w:r>
              <w:t xml:space="preserve"> </w:t>
            </w:r>
            <w:r>
              <w:t xml:space="preserve">and telecoupled</w:t>
            </w:r>
            <w:r>
              <w:t xml:space="preserve"> </w:t>
            </w:r>
            <w:r>
              <w:t xml:space="preserve">[92]</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[93]</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[94]</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[95]</w:t>
            </w:r>
            <w:r>
              <w:t xml:space="preserve">. Social-ecological models aim to capture the social systems, natural systems and their interactions</w:t>
            </w:r>
            <w:r>
              <w:t xml:space="preserve"> </w:t>
            </w:r>
            <w:r>
              <w:t xml:space="preserve">[96]</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[97]</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w:t>
            </w:r>
            <w:r>
              <w:rPr>
                <w:b/>
                <w:bCs/>
              </w:rPr>
              <w:t xml:space="preserve">delgado2022routledge?</w:t>
            </w:r>
            <w:r>
              <w:t xml:space="preserve">]</w:t>
            </w:r>
            <w:r>
              <w:t xml:space="preserve">. Process-based approaches are critical to understanding how emergent social-ecological phenomena develop</w:t>
            </w:r>
            <w:r>
              <w:t xml:space="preserve"> </w:t>
            </w:r>
            <w:r>
              <w:t xml:space="preserve">[</w:t>
            </w:r>
            <w:r>
              <w:rPr>
                <w:b/>
                <w:bCs/>
              </w:rPr>
              <w:t xml:space="preserve">brown2021can?</w:t>
            </w:r>
            <w:r>
              <w:t xml:space="preserve">]</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w:t>
            </w:r>
            <w:r>
              <w:rPr>
                <w:b/>
                <w:bCs/>
              </w:rPr>
              <w:t xml:space="preserve">kwakkel2013exploratory?</w:t>
            </w:r>
            <w:r>
              <w:t xml:space="preserve">]</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8"/>
    <w:bookmarkEnd w:id="39"/>
    <w:bookmarkStart w:id="40"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40"/>
    <w:bookmarkStart w:id="42" w:name="X78b08fde953bb9dcb9bb22555137d822070b4a9"/>
    <w:p>
      <w:pPr>
        <w:pStyle w:val="Heading1"/>
      </w:pPr>
      <w:r>
        <w:t xml:space="preserve">Future directions: modelling challenges, gaps and possible solutions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1">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in our understanding of the impacts of extreme heat on organisms and communities that need to be addressed, which we outline below:</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[98]</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By working collaboratively, we can develop a more calculated understanding of the impacts that extreme heat will have on plants and animals, populations, and communities along with how to mitigate these impacts to preserve socio-ecological systems now and into the future.</w:t>
      </w:r>
    </w:p>
    <w:bookmarkEnd w:id="42"/>
    <w:bookmarkStart w:id="142" w:name="references"/>
    <w:p>
      <w:pPr>
        <w:pStyle w:val="Heading1"/>
      </w:pPr>
      <w:r>
        <w:t xml:space="preserve">References</w:t>
      </w:r>
    </w:p>
    <w:bookmarkStart w:id="141"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4"/>
    <w:bookmarkStart w:id="65"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5"/>
    <w:bookmarkStart w:id="66"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6"/>
    <w:bookmarkStart w:id="67"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7"/>
    <w:bookmarkStart w:id="68"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8"/>
    <w:bookmarkStart w:id="69"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9"/>
    <w:bookmarkStart w:id="70"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0"/>
    <w:bookmarkStart w:id="71"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1"/>
    <w:bookmarkStart w:id="72"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2"/>
    <w:bookmarkStart w:id="73"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3"/>
    <w:bookmarkStart w:id="74"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4"/>
    <w:bookmarkStart w:id="75"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5"/>
    <w:bookmarkStart w:id="76"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6"/>
    <w:bookmarkStart w:id="77"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7"/>
    <w:bookmarkStart w:id="78"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8"/>
    <w:bookmarkStart w:id="79"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9"/>
    <w:bookmarkStart w:id="80"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0"/>
    <w:bookmarkStart w:id="81"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1"/>
    <w:bookmarkStart w:id="82"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2"/>
    <w:bookmarkStart w:id="83"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3"/>
    <w:bookmarkStart w:id="84"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4"/>
    <w:bookmarkStart w:id="85"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5"/>
    <w:bookmarkStart w:id="86"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6"/>
    <w:bookmarkStart w:id="87"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7"/>
    <w:bookmarkStart w:id="88"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8"/>
    <w:bookmarkStart w:id="89"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9"/>
    <w:bookmarkStart w:id="90"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0"/>
    <w:bookmarkStart w:id="91"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1"/>
    <w:bookmarkStart w:id="92"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2"/>
    <w:bookmarkStart w:id="93"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3"/>
    <w:bookmarkStart w:id="94"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4"/>
    <w:bookmarkStart w:id="95"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5"/>
    <w:bookmarkStart w:id="96"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6"/>
    <w:bookmarkStart w:id="97"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7"/>
    <w:bookmarkStart w:id="98"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8"/>
    <w:bookmarkStart w:id="99"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9"/>
    <w:bookmarkStart w:id="100"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0"/>
    <w:bookmarkStart w:id="101"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1"/>
    <w:bookmarkStart w:id="102"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2"/>
    <w:bookmarkStart w:id="103"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3"/>
    <w:bookmarkStart w:id="104"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4"/>
    <w:bookmarkStart w:id="105"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5"/>
    <w:bookmarkStart w:id="106"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6"/>
    <w:bookmarkStart w:id="107"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7"/>
    <w:bookmarkStart w:id="108"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8"/>
    <w:bookmarkStart w:id="109"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9"/>
    <w:bookmarkStart w:id="110"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0"/>
    <w:bookmarkStart w:id="111"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1"/>
    <w:bookmarkStart w:id="112"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2"/>
    <w:bookmarkStart w:id="113"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3"/>
    <w:bookmarkStart w:id="114"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4"/>
    <w:bookmarkStart w:id="115"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5"/>
    <w:bookmarkStart w:id="116"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6"/>
    <w:bookmarkStart w:id="117" w:name="ref-Hoffmann2011"/>
    <w:p>
      <w:pPr>
        <w:pStyle w:val="Bibliography"/>
      </w:pPr>
      <w:r>
        <w:t xml:space="preserve">75.</w:t>
      </w:r>
      <w:r>
        <w:t xml:space="preserve"> </w:t>
      </w:r>
      <w:r>
        <w:t xml:space="preserve">	</w:t>
      </w:r>
      <w:r>
        <w:t xml:space="preserve">Hoffmann, A.A. and Sgrò, C.M. (2011) Climate change and evolutionary adaptation. 470, 479–485</w:t>
      </w:r>
    </w:p>
    <w:bookmarkEnd w:id="117"/>
    <w:bookmarkStart w:id="118" w:name="ref-Hoffmann2022"/>
    <w:p>
      <w:pPr>
        <w:pStyle w:val="Bibliography"/>
      </w:pPr>
      <w:r>
        <w:t xml:space="preserve">76.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18"/>
    <w:bookmarkStart w:id="119" w:name="ref-Ghalambor2015"/>
    <w:p>
      <w:pPr>
        <w:pStyle w:val="Bibliography"/>
      </w:pPr>
      <w:r>
        <w:t xml:space="preserve">77.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19"/>
    <w:bookmarkStart w:id="120" w:name="ref-Oostra2018"/>
    <w:p>
      <w:pPr>
        <w:pStyle w:val="Bibliography"/>
      </w:pPr>
      <w:r>
        <w:t xml:space="preserve">78.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0"/>
    <w:bookmarkStart w:id="121" w:name="ref-Noble2019"/>
    <w:p>
      <w:pPr>
        <w:pStyle w:val="Bibliography"/>
      </w:pPr>
      <w:r>
        <w:t xml:space="preserve">79.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21"/>
    <w:bookmarkStart w:id="122" w:name="ref-Sousa2010"/>
    <w:p>
      <w:pPr>
        <w:pStyle w:val="Bibliography"/>
      </w:pPr>
      <w:r>
        <w:t xml:space="preserve">80.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2"/>
    <w:bookmarkStart w:id="123" w:name="ref-Zou2024"/>
    <w:p>
      <w:pPr>
        <w:pStyle w:val="Bibliography"/>
      </w:pPr>
      <w:r>
        <w:t xml:space="preserve">81.</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23"/>
    <w:bookmarkStart w:id="124" w:name="ref-Li2023"/>
    <w:p>
      <w:pPr>
        <w:pStyle w:val="Bibliography"/>
      </w:pPr>
      <w:r>
        <w:t xml:space="preserve">82.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24"/>
    <w:bookmarkStart w:id="125" w:name="ref-Zhu2024"/>
    <w:p>
      <w:pPr>
        <w:pStyle w:val="Bibliography"/>
      </w:pPr>
      <w:r>
        <w:t xml:space="preserve">83.</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25"/>
    <w:bookmarkStart w:id="126" w:name="ref-Assessment_undated-fv"/>
    <w:p>
      <w:pPr>
        <w:pStyle w:val="Bibliography"/>
      </w:pPr>
      <w:r>
        <w:t xml:space="preserve">84.</w:t>
      </w:r>
      <w:r>
        <w:t xml:space="preserve"> </w:t>
      </w:r>
      <w:r>
        <w:t xml:space="preserve">	</w:t>
      </w:r>
      <w:r>
        <w:t xml:space="preserve">Assessment, M.E. (2005) Opportunities and challenges for business and industryunioviedo.es</w:t>
      </w:r>
    </w:p>
    <w:bookmarkEnd w:id="126"/>
    <w:bookmarkStart w:id="127" w:name="ref-Dandy2019"/>
    <w:p>
      <w:pPr>
        <w:pStyle w:val="Bibliography"/>
      </w:pPr>
      <w:r>
        <w:t xml:space="preserve">85.</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27"/>
    <w:bookmarkStart w:id="128" w:name="ref-Price2014"/>
    <w:p>
      <w:pPr>
        <w:pStyle w:val="Bibliography"/>
      </w:pPr>
      <w:r>
        <w:t xml:space="preserve">86.</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28"/>
    <w:bookmarkStart w:id="129" w:name="ref-Leviston2018"/>
    <w:p>
      <w:pPr>
        <w:pStyle w:val="Bibliography"/>
      </w:pPr>
      <w:r>
        <w:t xml:space="preserve">87.</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9"/>
    <w:bookmarkStart w:id="130" w:name="ref-Bai2016"/>
    <w:p>
      <w:pPr>
        <w:pStyle w:val="Bibliography"/>
      </w:pPr>
      <w:r>
        <w:t xml:space="preserve">88.</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30"/>
    <w:bookmarkStart w:id="131" w:name="ref-Grimm2008"/>
    <w:p>
      <w:pPr>
        <w:pStyle w:val="Bibliography"/>
      </w:pPr>
      <w:r>
        <w:t xml:space="preserve">89.</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31"/>
    <w:bookmarkStart w:id="132" w:name="ref-Hendricks2022"/>
    <w:p>
      <w:pPr>
        <w:pStyle w:val="Bibliography"/>
      </w:pPr>
      <w:r>
        <w:t xml:space="preserve">90.</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32"/>
    <w:bookmarkStart w:id="133" w:name="ref-Sutanto2020"/>
    <w:p>
      <w:pPr>
        <w:pStyle w:val="Bibliography"/>
      </w:pPr>
      <w:r>
        <w:t xml:space="preserve">91.</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33"/>
    <w:bookmarkStart w:id="134" w:name="ref-Liu2007"/>
    <w:p>
      <w:pPr>
        <w:pStyle w:val="Bibliography"/>
      </w:pPr>
      <w:r>
        <w:t xml:space="preserve">92.</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34"/>
    <w:bookmarkStart w:id="135" w:name="ref-Black2011"/>
    <w:p>
      <w:pPr>
        <w:pStyle w:val="Bibliography"/>
      </w:pPr>
      <w:r>
        <w:t xml:space="preserve">93.</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35"/>
    <w:bookmarkStart w:id="136" w:name="ref-Neil_Adger1999"/>
    <w:p>
      <w:pPr>
        <w:pStyle w:val="Bibliography"/>
      </w:pPr>
      <w:r>
        <w:t xml:space="preserve">94.</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6"/>
    <w:bookmarkStart w:id="137" w:name="ref-Folke2016"/>
    <w:p>
      <w:pPr>
        <w:pStyle w:val="Bibliography"/>
      </w:pPr>
      <w:r>
        <w:t xml:space="preserve">95.</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37"/>
    <w:bookmarkStart w:id="138" w:name="ref-Schluter2012"/>
    <w:p>
      <w:pPr>
        <w:pStyle w:val="Bibliography"/>
      </w:pPr>
      <w:r>
        <w:t xml:space="preserve">96.</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38"/>
    <w:bookmarkStart w:id="139" w:name="ref-Wise2014"/>
    <w:p>
      <w:pPr>
        <w:pStyle w:val="Bibliography"/>
      </w:pPr>
      <w:r>
        <w:t xml:space="preserve">97.</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9"/>
    <w:bookmarkStart w:id="140" w:name="ref-Kearney2009a"/>
    <w:p>
      <w:pPr>
        <w:pStyle w:val="Bibliography"/>
      </w:pPr>
      <w:r>
        <w:t xml:space="preserve">98.</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0"/>
    <w:bookmarkEnd w:id="141"/>
    <w:bookmarkEnd w:id="14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1"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2025-05-13T22:46:31Z</dcterms:created>
  <dcterms:modified xsi:type="dcterms:W3CDTF">2025-05-13T22:46:31Z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