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D089D" w14:textId="77777777" w:rsidR="0059760D" w:rsidRDefault="00000000" w:rsidP="00557FAC">
      <w:pPr>
        <w:pStyle w:val="Title"/>
        <w:spacing w:line="360" w:lineRule="auto"/>
      </w:pPr>
      <w:r>
        <w:t>A systems-modelling approach to predict biological responses to extreme heat</w:t>
      </w:r>
    </w:p>
    <w:p w14:paraId="38503A90" w14:textId="77777777" w:rsidR="0059760D" w:rsidRDefault="00000000" w:rsidP="00557FAC">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78E383BF" w14:textId="77777777" w:rsidR="0059760D" w:rsidRDefault="00000000" w:rsidP="00557FAC">
      <w:pPr>
        <w:pStyle w:val="BodyText"/>
        <w:spacing w:line="360" w:lineRule="auto"/>
      </w:pPr>
      <w:r>
        <w:rPr>
          <w:b/>
          <w:bCs/>
        </w:rPr>
        <w:t>Affiliations</w:t>
      </w:r>
      <w:r>
        <w:t>:</w:t>
      </w:r>
    </w:p>
    <w:p w14:paraId="1F5C458A" w14:textId="77777777" w:rsidR="00943D83" w:rsidRDefault="00000000" w:rsidP="00B3094C">
      <w:pPr>
        <w:pStyle w:val="BodyText"/>
        <w:spacing w:line="360" w:lineRule="auto"/>
        <w:contextualSpacing/>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p>
    <w:p w14:paraId="25244065" w14:textId="77777777" w:rsidR="00943D83" w:rsidRDefault="00000000" w:rsidP="00B3094C">
      <w:pPr>
        <w:pStyle w:val="BodyText"/>
        <w:spacing w:line="360" w:lineRule="auto"/>
        <w:contextualSpacing/>
      </w:pPr>
      <w:r>
        <w:rPr>
          <w:vertAlign w:val="superscript"/>
        </w:rPr>
        <w:t>3</w:t>
      </w:r>
      <w:r>
        <w:t xml:space="preserve"> Hawkesbury Institute for the Environment, Western Sydney University, Australia  </w:t>
      </w:r>
    </w:p>
    <w:p w14:paraId="528ED3C9" w14:textId="77777777" w:rsidR="00943D83" w:rsidRDefault="00000000" w:rsidP="00B3094C">
      <w:pPr>
        <w:pStyle w:val="BodyText"/>
        <w:spacing w:line="360" w:lineRule="auto"/>
        <w:contextualSpacing/>
      </w:pPr>
      <w:r>
        <w:rPr>
          <w:vertAlign w:val="superscript"/>
        </w:rPr>
        <w:t>4</w:t>
      </w:r>
      <w:r>
        <w:t xml:space="preserve"> School of Agriculture, Food and Wine, Waite Research Institute, University of Adelaide, Glen Osmond, SA 5064, Australia  </w:t>
      </w:r>
    </w:p>
    <w:p w14:paraId="0BC965F7" w14:textId="77777777" w:rsidR="00943D83" w:rsidRDefault="00000000" w:rsidP="00B3094C">
      <w:pPr>
        <w:pStyle w:val="BodyText"/>
        <w:spacing w:line="360" w:lineRule="auto"/>
        <w:contextualSpacing/>
      </w:pPr>
      <w:r>
        <w:rPr>
          <w:vertAlign w:val="superscript"/>
        </w:rPr>
        <w:t>5</w:t>
      </w:r>
      <w:r>
        <w:t xml:space="preserve"> Fenner School of Environment and Society, The Australian National University, Canberra ACT 2602, Australia  </w:t>
      </w:r>
    </w:p>
    <w:p w14:paraId="4B4223A2" w14:textId="57F5CD14" w:rsidR="0059760D" w:rsidRDefault="00000000" w:rsidP="00B3094C">
      <w:pPr>
        <w:pStyle w:val="BodyText"/>
        <w:spacing w:line="360" w:lineRule="auto"/>
        <w:contextualSpacing/>
      </w:pP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091E51DE" w14:textId="1881A209" w:rsidR="004D66FF" w:rsidRDefault="00000000" w:rsidP="00943D83">
      <w:pPr>
        <w:pStyle w:val="BodyText"/>
        <w:spacing w:line="360" w:lineRule="auto"/>
      </w:pP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bookmarkStart w:id="0" w:name="X456192babd66a3e396aba1ede195d34a3d1f89a"/>
    </w:p>
    <w:p w14:paraId="51977E0B" w14:textId="0BB064F9" w:rsidR="004D66FF" w:rsidRDefault="00000000" w:rsidP="004D66FF">
      <w:pPr>
        <w:pStyle w:val="Heading4"/>
        <w:spacing w:line="360" w:lineRule="auto"/>
      </w:pPr>
      <w:r>
        <w:t>Keywords: plant-animal interactions, microclimate, biophysical models, thermal load sensitivity, dynamic energy budget models, coexistence theory, ecological modelling, population dynamic models</w:t>
      </w:r>
      <w:bookmarkStart w:id="1" w:name="abstract"/>
      <w:bookmarkEnd w:id="0"/>
    </w:p>
    <w:p w14:paraId="610AFC89" w14:textId="77777777" w:rsidR="004D66FF" w:rsidRDefault="004D66FF" w:rsidP="00557FAC">
      <w:pPr>
        <w:pStyle w:val="Heading1"/>
        <w:spacing w:line="360" w:lineRule="auto"/>
      </w:pPr>
    </w:p>
    <w:p w14:paraId="74F13514" w14:textId="77777777" w:rsidR="004D66FF" w:rsidRPr="004D66FF" w:rsidRDefault="004D66FF" w:rsidP="004D66FF">
      <w:pPr>
        <w:pStyle w:val="BodyText"/>
      </w:pPr>
    </w:p>
    <w:p w14:paraId="35B4D508" w14:textId="1E028091" w:rsidR="0059760D" w:rsidRDefault="00000000" w:rsidP="00557FAC">
      <w:pPr>
        <w:pStyle w:val="Heading1"/>
        <w:spacing w:line="360" w:lineRule="auto"/>
      </w:pPr>
      <w:r>
        <w:lastRenderedPageBreak/>
        <w:t>Abstract</w:t>
      </w:r>
    </w:p>
    <w:p w14:paraId="755D6906" w14:textId="77777777" w:rsidR="0059760D" w:rsidRDefault="00000000" w:rsidP="00557FAC">
      <w:pPr>
        <w:pStyle w:val="FirstParagraph"/>
        <w:spacing w:line="360" w:lineRule="auto"/>
      </w:pPr>
      <w:r>
        <w:t>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1B92FDAC" w14:textId="77777777" w:rsidR="0059760D" w:rsidRDefault="00000000" w:rsidP="00557FAC">
      <w:pPr>
        <w:pStyle w:val="Heading1"/>
        <w:spacing w:line="360" w:lineRule="auto"/>
      </w:pPr>
      <w:bookmarkStart w:id="2" w:name="Xe4b8c356939b3cc7693ee883750fbc90cda6ece"/>
      <w:bookmarkEnd w:id="1"/>
      <w:r>
        <w:t>A systems-modelling approach to understand the biotic impacts of heatwaves</w:t>
      </w:r>
    </w:p>
    <w:p w14:paraId="711A77F0" w14:textId="77777777" w:rsidR="0059760D" w:rsidRDefault="00000000" w:rsidP="00557FAC">
      <w:pPr>
        <w:pStyle w:val="FirstParagraph"/>
        <w:spacing w:line="360" w:lineRule="auto"/>
      </w:pPr>
      <w:r>
        <w:t>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global 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effects on interactions (both positive and negative) among species [e.g., 12]. Understanding the dynamic interplay between direct and indirect effects of extreme heat, and how these are mediated by environmental factors (e.g., water and food availability, microbial community), has been hampered by inadequate coupling of models that predict short-term physiological damage on a given species’ fitness with population and community dynamic models across species [11,13,14]. A systems-thinking approach is now needed to tackle the multifaceted nature with which extreme heat manifests within a community. This approach will require interdisciplinary collaboration to integrate biophysical, physiological, population and community ecology processes so that we can capture and model the dynamic feedbacks, nonlinearities and interactions between species that drive responses across scales [15,16].</w:t>
      </w:r>
    </w:p>
    <w:p w14:paraId="1F7824D5" w14:textId="77777777" w:rsidR="0059760D" w:rsidRDefault="00000000" w:rsidP="00557FAC">
      <w:pPr>
        <w:pStyle w:val="BodyText"/>
        <w:spacing w:line="360" w:lineRule="auto"/>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sidR="0059760D">
          <w:rPr>
            <w:rStyle w:val="Hyperlink"/>
          </w:rPr>
          <w:t>Figure 1</w:t>
        </w:r>
      </w:hyperlink>
      <w:r>
        <w:t xml:space="preserve">). We focus on plant and insect communities given the strong interconnections between them, the ease with which they can and have been studied, and their importance to </w:t>
      </w:r>
      <w:r>
        <w:lastRenderedPageBreak/>
        <w:t>socioecological systems [17]. Physiological models can now be seamlessly integrated with biophysical models to characterize temperatures experienced by organisms and simulate the effects of extreme heat events on the entire life cycle of species within ecological communities [18–21] (</w:t>
      </w:r>
      <w:hyperlink w:anchor="fig-sys">
        <w:r w:rsidR="0059760D">
          <w:rPr>
            <w:rStyle w:val="Hyperlink"/>
          </w:rPr>
          <w:t>Figure 1</w:t>
        </w:r>
      </w:hyperlink>
      <w:r>
        <w:t>). Physiological models that incorporate estimates of thermal sensitivity across species can capture the delicate balance between damage and repair of physiological systems [10,11,13,22],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[23,24]. We demonstrate how such a coupling can be made within and across species and highlight the opportunities it presents to develop a greater understanding of the ways in which extreme heat stress manifests across species. We discuss the challenges of coupling models across diverse species in communities, and of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9760D" w14:paraId="1AE876A3" w14:textId="77777777">
        <w:tc>
          <w:tcPr>
            <w:tcW w:w="7920" w:type="dxa"/>
          </w:tcPr>
          <w:p w14:paraId="5F29AF8E" w14:textId="7EB726B2" w:rsidR="0059760D" w:rsidRDefault="002D372F" w:rsidP="00557FAC">
            <w:pPr>
              <w:pStyle w:val="Compact"/>
              <w:spacing w:line="360" w:lineRule="auto"/>
              <w:jc w:val="center"/>
            </w:pPr>
            <w:bookmarkStart w:id="3" w:name="fig-sys"/>
            <w:r>
              <w:rPr>
                <w:noProof/>
              </w:rPr>
              <w:drawing>
                <wp:inline distT="0" distB="0" distL="0" distR="0" wp14:anchorId="5354794B" wp14:editId="755C2608">
                  <wp:extent cx="6554470" cy="4587875"/>
                  <wp:effectExtent l="0" t="0" r="0" b="0"/>
                  <wp:docPr id="1475848179"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8179" name="Picture 3" descr="A diagram of a pla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5D40D2EB" w14:textId="16052159" w:rsidR="0059760D" w:rsidRDefault="00000000" w:rsidP="00557FAC">
            <w:pPr>
              <w:pStyle w:val="ImageCaption"/>
              <w:spacing w:before="200" w:line="360" w:lineRule="auto"/>
            </w:pPr>
            <w:r w:rsidRPr="00ED40B6">
              <w:rPr>
                <w:b/>
                <w:bCs/>
              </w:rPr>
              <w:lastRenderedPageBreak/>
              <w:t>Figure 1-</w:t>
            </w:r>
            <w:r>
              <w:t xml:space="preserve"> </w:t>
            </w:r>
            <w:r>
              <w:rPr>
                <w:b/>
                <w:bCs/>
              </w:rPr>
              <w:t>A coupled systems modelling framework for predicting the effects of extreme heat on ecological communities</w:t>
            </w:r>
            <w:r>
              <w:t xml:space="preserve">. </w:t>
            </w:r>
            <w:r w:rsidR="00096CDB">
              <w:t>A systems modelling approach</w:t>
            </w:r>
            <w:r>
              <w:t xml:space="preserve"> </w:t>
            </w:r>
            <w:r w:rsidR="00096CDB">
              <w:t xml:space="preserve">first </w:t>
            </w:r>
            <w:r>
              <w:t>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(e.g., 50% survival thresholds, LT50)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species). Environment-mediated feedback loops (4) influence organism thermal exposure and sensitivity, including water availability and microbial communities, which can vary across different life stages and organs depending on the microclimates occupied. Coupling existing models will allow for quantitative predictions to be made on how extreme heatwaves perturb biological systems and for the development and implementation of strategies to enhance biological system resilience to extreme heat. Created with BioRender.com.</w:t>
            </w:r>
          </w:p>
        </w:tc>
        <w:bookmarkEnd w:id="3"/>
      </w:tr>
    </w:tbl>
    <w:p w14:paraId="631C08F4" w14:textId="77777777" w:rsidR="0059760D" w:rsidRDefault="00000000" w:rsidP="00557FAC">
      <w:pPr>
        <w:pStyle w:val="Heading1"/>
        <w:spacing w:line="360" w:lineRule="auto"/>
      </w:pPr>
      <w:bookmarkStart w:id="4" w:name="X4da05dea4acdb2054c1e59c2f12913febac8a0c"/>
      <w:bookmarkEnd w:id="2"/>
      <w:r>
        <w:t>From weather to microclimates: predicting community wide exposure to extreme heat</w:t>
      </w:r>
    </w:p>
    <w:p w14:paraId="45906C41" w14:textId="28526823" w:rsidR="0059760D" w:rsidRDefault="00000000" w:rsidP="00557FAC">
      <w:pPr>
        <w:pStyle w:val="FirstParagraph"/>
        <w:spacing w:line="360" w:lineRule="auto"/>
      </w:pPr>
      <w:r>
        <w:t>Extreme weather events such as heatwaves are predicted by Global Circulation Models (GCMs), typically at large spatial scales (e.g. 0.5</w:t>
      </w:r>
      <w:r w:rsidR="00ED40B6">
        <w:sym w:font="Symbol" w:char="F0B0"/>
      </w:r>
      <w:r>
        <w:t>grid cells), and can be regionalized by downscaling to smaller spatial scales. However, species within communities experience heatwaves differently because of the varied microhabitats they occupy. For example, while air temperature may be 50°C, an organism a metre below the soil surface may be exposed to temperatures ~20°C cooler (</w:t>
      </w:r>
      <w:hyperlink w:anchor="fig-sys">
        <w:r w:rsidR="0059760D">
          <w:rPr>
            <w:rStyle w:val="Hyperlink"/>
          </w:rPr>
          <w:t>Figure 1</w:t>
        </w:r>
      </w:hyperlink>
      <w:r>
        <w:t xml:space="preserve">). Therefore, to understand how extreme heat affects a community of organisms, we must characterize the </w:t>
      </w:r>
      <w:r>
        <w:rPr>
          <w:b/>
          <w:bCs/>
        </w:rPr>
        <w:t>microclimates</w:t>
      </w:r>
      <w:r>
        <w:t xml:space="preserve"> experienced by individuals of different species under a given atmospheric event. Microclimate predictions are made by taking the atmospheric conditions as independent forcing variables and combining them with detailed information on terrain (slope, aspect, hill shade), vegetation [plant-area index (PAI), stomatal behaviour, leaf reflectance] and soil hydrothermal properties to predict how radiation, wind speed, air temperature, humidity, soil temperature and soil moisture vary on small spatial scales [25–32]. Capturing the interaction between soil moisture and </w:t>
      </w:r>
      <w:r>
        <w:lastRenderedPageBreak/>
        <w:t>temperature in microclimate models is critical because the same atmospheric heat wave can have different implications for microclimatic conditions depending on the recent history of rainfall and temperature [33]. Downscaling to microclimate conditions requires the specification of key environmental properties (e.g. % shade, soil characteristics, surface albedo) at a fine scale (metres) for the local area of interest. Depending on the organism and question of interest, not all input variables are needed to parameterize a given microclimate calculation, as recent guides to microclimate modelling illustrate [e.g., 34,35,36].</w:t>
      </w:r>
    </w:p>
    <w:p w14:paraId="5095DDDE" w14:textId="1AA83B2E" w:rsidR="0059760D" w:rsidRDefault="00000000" w:rsidP="00557FAC">
      <w:pPr>
        <w:pStyle w:val="BodyText"/>
        <w:spacing w:line="360" w:lineRule="auto"/>
      </w:pPr>
      <w:r>
        <w:t xml:space="preserve">Beyond parameterization, the benefit of a systems-thinking approach in the context of microclimate modelling is its ability to capture vegetation and soil dynamics which can dramatically shape microclimate conditions within and between species dynamically across time. While the large-scale feedbacks from plant and soil dynamics to heatwave development are captured in GCMs [e.g. 37], these dynamics are also important in determining thermal regimes at micro-scales. For example, plant water use dynamics can amplify or reduce within-canopy temperatures via effects on photosynthetic capacity, stomatal decoupling, cuticular conductance, leaf damage and plant mortality [20,38]. These impacts are important for the plants themselves and for thermal regimes available to other organisms. Forecasting future thermal regimes is challenging because it involves forecasting future vegetation dynamics, including changes in key vegetation properties such as leaf area index, as a function of plant growth, phenology,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w:t>
      </w:r>
      <w:r w:rsidR="00176022">
        <w:t>(</w:t>
      </w:r>
      <w:r>
        <w:t xml:space="preserve">e.g. Agricultural Production Systems </w:t>
      </w:r>
      <w:proofErr w:type="spellStart"/>
      <w:r>
        <w:t>sIMulator</w:t>
      </w:r>
      <w:proofErr w:type="spellEnd"/>
      <w:r>
        <w:t xml:space="preserve"> (APSIM); [39]</w:t>
      </w:r>
      <w:r w:rsidR="00176022">
        <w:t>)</w:t>
      </w:r>
      <w:r>
        <w:t xml:space="preserve"> up to the dynamic global vegetation models (DGVMs) that simulate vegetation function and distribution at local to global scales [40].</w:t>
      </w:r>
    </w:p>
    <w:p w14:paraId="206D68D7" w14:textId="77777777" w:rsidR="0059760D" w:rsidRDefault="00000000" w:rsidP="00557FAC">
      <w:pPr>
        <w:pStyle w:val="Heading1"/>
        <w:spacing w:line="360" w:lineRule="auto"/>
      </w:pPr>
      <w:bookmarkStart w:id="5" w:name="X5a6e6d313f4187bfc77082e5e5979262b26b081"/>
      <w:bookmarkEnd w:id="4"/>
      <w:r>
        <w:t>Translating exposure to organism temperature: biophysics to the rescue!</w:t>
      </w:r>
    </w:p>
    <w:p w14:paraId="205BB5C2" w14:textId="35919252" w:rsidR="0059760D" w:rsidRDefault="00000000" w:rsidP="00557FAC">
      <w:pPr>
        <w:pStyle w:val="FirstParagraph"/>
        <w:spacing w:line="360" w:lineRule="auto"/>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solar absorptivity) along with how heat energy and water are exchanged with the environment – dependent on the microclimate experienced. Such </w:t>
      </w:r>
      <w:r>
        <w:rPr>
          <w:b/>
          <w:bCs/>
        </w:rPr>
        <w:t>biophysical models</w:t>
      </w:r>
      <w:r>
        <w:t xml:space="preserve"> have a long history [41,42] but have become more widely applied in ecology in the past 20 years, facilitated by developments in environmental datasets, microclimate modelling, and the emergence of high-level programming languages such as R [21]. Biophysical models of ectothermic animals make use of equations for energy and mass exchange between an organism and its environment and can account for complex </w:t>
      </w:r>
      <w:r>
        <w:lastRenderedPageBreak/>
        <w:t xml:space="preserve">radiative heat transfer and the role of evaporative water loss across surfaces [21,25,43]. Equivalent models of leaves incorporate the dynamic role of stomata </w:t>
      </w:r>
      <w:hyperlink r:id="rId6">
        <w:r w:rsidR="0059760D">
          <w:rPr>
            <w:rStyle w:val="Hyperlink"/>
          </w:rPr>
          <w:t>[</w:t>
        </w:r>
        <w:r w:rsidR="00A1133D">
          <w:rPr>
            <w:rStyle w:val="Hyperlink"/>
          </w:rPr>
          <w:t xml:space="preserve">20, </w:t>
        </w:r>
        <w:r w:rsidR="0059760D">
          <w:rPr>
            <w:rStyle w:val="Hyperlink"/>
          </w:rPr>
          <w:t>44]</w:t>
        </w:r>
      </w:hyperlink>
      <w:r w:rsidR="002D6737">
        <w:t xml:space="preserve"> (</w:t>
      </w:r>
      <w:r w:rsidR="002D6737">
        <w:rPr>
          <w:b/>
          <w:bCs/>
        </w:rPr>
        <w:t>Box 1</w:t>
      </w:r>
      <w:r w:rsidR="002D6737">
        <w:t>)</w:t>
      </w:r>
      <w:r>
        <w:t>. Biophysical models are powerful because, by translating microclimate conditions to organism body temperature and hydric states, simple regulatory decision-making models can be used [45,46]. For example, given an understanding of an organism’s thermal activity windows, thermal optima, and critical thermal limits we can determine what microclimates the organism should chose to get close to its target body temperature [e.g., 45,46]. Such behavioural thermoregulatory decision making is crucial for mitigating the negative impacts of extreme heat</w:t>
      </w:r>
      <w:r w:rsidR="002D6737">
        <w:t>.</w:t>
      </w:r>
      <w:r>
        <w:t xml:space="preserve"> </w:t>
      </w:r>
      <w:r w:rsidR="002D6737">
        <w:t>I</w:t>
      </w:r>
      <w:r>
        <w:t>ncorporating it into models can inherently capture the trade-offs such a strategy entails through reduced foraging time [21,45]. Similarly, changes in stomatal behaviour can mitigate or exacerbate the extreme temperatures leaf tissue experiences while simultaneously shaping the microclimate conditions for other organisms [20,47] (</w:t>
      </w:r>
      <w:r>
        <w:rPr>
          <w:b/>
          <w:bCs/>
        </w:rPr>
        <w:t>Box 1</w:t>
      </w:r>
      <w:r>
        <w:t xml:space="preserve">). 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 can enact emergency </w:t>
      </w:r>
      <w:r w:rsidRPr="005C38E5">
        <w:rPr>
          <w:lang w:val="en-GB"/>
        </w:rPr>
        <w:t>cooling</w:t>
      </w:r>
      <w:r>
        <w:t>, departing from the typical responses to vapor pressure and light intensity [38], though this response may depend on prior soil moisture conditions [50]. Although biophysical models require many traits for parameterization, the models and parameters can be tailored to the question and organism of interest [21]. In addition, many traits can be approximated based on traits of similar species, and then validated and updated as more species-specific data become available.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958890C" w14:textId="77777777" w:rsidR="0059760D" w:rsidRDefault="00000000" w:rsidP="00557FAC">
      <w:pPr>
        <w:pStyle w:val="Heading1"/>
        <w:spacing w:line="360" w:lineRule="auto"/>
      </w:pPr>
      <w:bookmarkStart w:id="6" w:name="X034f8e5698580bf7448238067f484f5e1d792b9"/>
      <w:bookmarkEnd w:id="5"/>
      <w:r>
        <w:t>Capturing both physiological damage and repair to predict multi-species thermal sensitivity</w:t>
      </w:r>
    </w:p>
    <w:p w14:paraId="548E8CB1" w14:textId="4D6FC951" w:rsidR="0059760D" w:rsidRDefault="00000000" w:rsidP="00557FAC">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[22,51]. Sensitivity to extreme heat can be captured by </w:t>
      </w:r>
      <w:r>
        <w:rPr>
          <w:b/>
          <w:bCs/>
        </w:rPr>
        <w:t>thermal load sensitivity (TLS) / thermal death time (TDT)</w:t>
      </w:r>
      <w:r>
        <w:t xml:space="preserve"> models that explicitly account for how heat stress depends on both the body temperature experienced and its duration [13,22].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w:t>
      </w:r>
      <w:r w:rsidR="00E079B2">
        <w:t xml:space="preserve"> (</w:t>
      </w:r>
      <w:r w:rsidR="00E079B2" w:rsidRPr="00E079B2">
        <w:rPr>
          <w:b/>
          <w:bCs/>
        </w:rPr>
        <w:t>Box 2</w:t>
      </w:r>
      <w:r w:rsidR="00E079B2">
        <w:t>)</w:t>
      </w:r>
      <w:r>
        <w:t xml:space="preserve">.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[13]. Endpoints are predicted by assuming the effect of time at a given </w:t>
      </w:r>
      <w:r>
        <w:lastRenderedPageBreak/>
        <w:t xml:space="preserve">temperature decreases survival and/or fertility exponentially, and have been shown to have high predictive power [10,11,22,51]. For example, Ørsted </w:t>
      </w:r>
      <w:r>
        <w:rPr>
          <w:i/>
          <w:iCs/>
        </w:rPr>
        <w:t>et al.</w:t>
      </w:r>
      <w:r>
        <w:t xml:space="preserve"> [11] show that both mortality and fecundity follow a clear exponential relationship with time in the Spotted Wing Drosophila (</w:t>
      </w:r>
      <w:r>
        <w:rPr>
          <w:i/>
          <w:iCs/>
        </w:rPr>
        <w:t>Drosophila suzukii</w:t>
      </w:r>
      <w:r>
        <w:t>), with survival and fecundity being compromised most for long thermal exposures at high temperatures. Importantly, they also show that reproductive sensitivity can be higher than mortality, with heat injury impacts accumulating faster for reproduction than survival [11]. TLS theory also applies well to photosynthetic function in plants [52,53], highlighting its generality. TLS models are crucial for predicting how heat waves affect organisms because accumulated damage to physiological systems can result in lagged responses to heat stress or exacerbate future stress (i.e., future heat waves / droughts) – a common feature of extreme heat events [13,54].</w:t>
      </w:r>
    </w:p>
    <w:p w14:paraId="7BB83B89" w14:textId="77777777" w:rsidR="0059760D" w:rsidRDefault="00000000" w:rsidP="00557FAC">
      <w:pPr>
        <w:pStyle w:val="BodyText"/>
        <w:spacing w:line="360" w:lineRule="auto"/>
      </w:pPr>
      <w:r>
        <w:t>Environmental factors known to impact thermal sensitivity, such as water and drought stress [e.g., 55,56], along with nutritional and dietary changes [e.g., 57,58], can be incorporated into systems modelling approaches through their impacts on thermal sensitivity and tolerance [13] (</w:t>
      </w:r>
      <w:hyperlink w:anchor="fig-sys">
        <w:r w:rsidR="0059760D">
          <w:rPr>
            <w:rStyle w:val="Hyperlink"/>
          </w:rPr>
          <w:t>Figure 1</w:t>
        </w:r>
      </w:hyperlink>
      <w:r>
        <w:t>).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enhance growth, defense, and heat tolerance in plants [59,60], and gut microbiota can improve heat tolerance in animals [61]. Additionally, modelling the intricate balance between damage and repair for a suite of different species can help identify susceptible species, life stages and tissues that are most at risk from extreme heat events due to direct sensitivity to extreme heat, allowing more accurate predictions of the varying levels of species sensitivity within a community [13].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68157559" w14:textId="77777777">
        <w:trPr>
          <w:cantSplit/>
        </w:trPr>
        <w:tc>
          <w:tcPr>
            <w:tcW w:w="0" w:type="auto"/>
            <w:tcMar>
              <w:left w:w="144" w:type="dxa"/>
            </w:tcMar>
          </w:tcPr>
          <w:p w14:paraId="65D103C8" w14:textId="77777777" w:rsidR="0059760D" w:rsidRDefault="00000000" w:rsidP="004B3331">
            <w:pPr>
              <w:pStyle w:val="BodyText"/>
              <w:spacing w:before="16" w:after="64" w:line="360" w:lineRule="auto"/>
            </w:pPr>
            <w:r>
              <w:rPr>
                <w:b/>
                <w:bCs/>
              </w:rPr>
              <w:lastRenderedPageBreak/>
              <w:t>Box 1: Building a systems modelling approach to capture multi-species exposure to extreme heat</w:t>
            </w:r>
          </w:p>
          <w:p w14:paraId="1E8B0A2B" w14:textId="28439735" w:rsidR="0059760D" w:rsidRDefault="00000000" w:rsidP="004B3331">
            <w:pPr>
              <w:pStyle w:val="BodyText"/>
              <w:spacing w:before="16" w:line="360" w:lineRule="auto"/>
            </w:pPr>
            <w:r>
              <w:t>Here we outline how a systems-modelling approach can be developed, illustrated with a simple hypothetical community (Figure I</w:t>
            </w:r>
            <w:r w:rsidR="0090226D">
              <w:t>A</w:t>
            </w:r>
            <w:r>
              <w:t>). The focus is on how climate, microclimate, and biophysical models can predict the differential exposure to extreme heat events across species, how species can alter each other’s microclimates, and the incorporation of ‘behavioural’ responses of species in response to temperature (e.g., stomatal behaviour, thermoregulation). Predicted organismal temperatures are used from these models to then predict life-cycles for species, incorporate differences in thermal sensitivity, and ultimately estimate vital rates for population and community ecology models (</w:t>
            </w:r>
            <w:r>
              <w:rPr>
                <w:b/>
                <w:bCs/>
              </w:rPr>
              <w:t>Box 2</w:t>
            </w:r>
            <w:r>
              <w:t>).</w:t>
            </w:r>
          </w:p>
          <w:p w14:paraId="5711C66C" w14:textId="77777777" w:rsidR="0059760D" w:rsidRDefault="00000000" w:rsidP="004B3331">
            <w:pPr>
              <w:pStyle w:val="BodyText"/>
              <w:spacing w:line="360" w:lineRule="auto"/>
            </w:pPr>
            <w:r>
              <w:t xml:space="preserve">The context is a heatwave event in January 2018/19 at Renmark, South Australia (Calperum Station). The historical SILO climate dataset (0.05° resolution, 1889 to present) [62] was used as input to the </w:t>
            </w:r>
            <w:r>
              <w:rPr>
                <w:rStyle w:val="VerbatimChar"/>
              </w:rPr>
              <w:t>micro_silo</w:t>
            </w:r>
            <w:r>
              <w:t xml:space="preserve"> function in </w:t>
            </w:r>
            <w:r>
              <w:rPr>
                <w:i/>
                <w:iCs/>
              </w:rPr>
              <w:t>NicheMapR</w:t>
            </w:r>
            <w:r>
              <w:t xml:space="preserve"> [20,63], in conjunction with </w:t>
            </w:r>
            <w:r>
              <w:rPr>
                <w:i/>
                <w:iCs/>
              </w:rPr>
              <w:t>microclima</w:t>
            </w:r>
            <w:r>
              <w:t xml:space="preserve"> [26,27] in the R statistical language to compute microclimates. Microclimates are calculated at various heights above ground (20cm-1.2m, relevant to our plants and insects) and soil depths (for burrowers) with varying levels of shade (we use 40% and 80%). Simulating these varied conditions captured the diversity of microclimates that different species in a community might experience and provided opportunities to build in behavioural plasticity.</w:t>
            </w:r>
          </w:p>
          <w:p w14:paraId="5FF5FCEB" w14:textId="440C8EF1" w:rsidR="0059760D" w:rsidRDefault="00000000" w:rsidP="004B3331">
            <w:pPr>
              <w:pStyle w:val="BodyText"/>
              <w:spacing w:line="360" w:lineRule="auto"/>
            </w:pPr>
            <w:r>
              <w:t xml:space="preserve">With available microclimates predicted, we can compute leaf and body temperatures using biophysical models. However, plant temperatures will impact the temperatures experienced by the grasshoppers because plant stomatal conductance changes in response to extreme heat events. Stomatal responses of leaves to their environment can be captured with the help of the </w:t>
            </w:r>
            <w:r>
              <w:rPr>
                <w:i/>
                <w:iCs/>
              </w:rPr>
              <w:t>plantecophys</w:t>
            </w:r>
            <w:r>
              <w:t xml:space="preserve"> package [44] and used in conjunction with the </w:t>
            </w:r>
            <w:r>
              <w:rPr>
                <w:rStyle w:val="VerbatimChar"/>
              </w:rPr>
              <w:t>ectotherm</w:t>
            </w:r>
            <w:r>
              <w:t xml:space="preserve"> function in </w:t>
            </w:r>
            <w:r>
              <w:rPr>
                <w:i/>
                <w:iCs/>
              </w:rPr>
              <w:t>NicheMapR</w:t>
            </w:r>
            <w:r>
              <w:t xml:space="preserve"> to compute realistic leaf temperatures as stomata open and close in response to temperature and vapor pressure deficit (Figure I</w:t>
            </w:r>
            <w:r w:rsidR="0090226D">
              <w:t>B</w:t>
            </w:r>
            <w:r>
              <w:t>). The combination of microclimate, leaf traits (e.g., shape, leaf conductance, emissivity) and stomatal behaviour thereby produces realistic leaf temperature estimates during the heatwave event.</w:t>
            </w:r>
          </w:p>
          <w:p w14:paraId="7AF49B7C" w14:textId="634CDD80" w:rsidR="0059760D" w:rsidRDefault="00000000" w:rsidP="004B3331">
            <w:pPr>
              <w:pStyle w:val="BodyText"/>
              <w:spacing w:line="360" w:lineRule="auto"/>
            </w:pPr>
            <w:r>
              <w:t>Calculated leaf temperature can then become part of the microclimate of the insects (Figure I</w:t>
            </w:r>
            <w:r w:rsidR="0090226D">
              <w:t>C</w:t>
            </w:r>
            <w:r>
              <w:t xml:space="preserve">). The </w:t>
            </w:r>
            <w:r>
              <w:rPr>
                <w:rStyle w:val="VerbatimChar"/>
              </w:rPr>
              <w:t>ectotherm</w:t>
            </w:r>
            <w:r>
              <w:t xml:space="preserve"> function of </w:t>
            </w:r>
            <w:r>
              <w:rPr>
                <w:i/>
                <w:iCs/>
              </w:rPr>
              <w:t>NicheMapR</w:t>
            </w:r>
            <w:r>
              <w:t xml:space="preserve"> can be used to compute insect body temperature, given the microclimate (including plant leaf temperature) and insect traits. The insect temperature calculations incorporate their capacity to thermoregulate behaviourally. For example, Species B moves to cooler parts of the plant to minimize thermal stress, when possible (Figure I</w:t>
            </w:r>
            <w:r w:rsidR="0090226D">
              <w:t>A</w:t>
            </w:r>
            <w:r>
              <w:t>), given a range of available microclimates and using information on their thermal preferences.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9760D" w14:paraId="277028DD" w14:textId="77777777">
              <w:tc>
                <w:tcPr>
                  <w:tcW w:w="0" w:type="auto"/>
                </w:tcPr>
                <w:p w14:paraId="14FDD544" w14:textId="77777777" w:rsidR="0059760D" w:rsidRDefault="00000000" w:rsidP="004B3331">
                  <w:pPr>
                    <w:pStyle w:val="Compact"/>
                    <w:spacing w:line="360" w:lineRule="auto"/>
                    <w:jc w:val="center"/>
                  </w:pPr>
                  <w:bookmarkStart w:id="7" w:name="fig-box1"/>
                  <w:r>
                    <w:rPr>
                      <w:noProof/>
                    </w:rPr>
                    <w:lastRenderedPageBreak/>
                    <w:drawing>
                      <wp:inline distT="0" distB="0" distL="0" distR="0" wp14:anchorId="528DADD7" wp14:editId="5D64643C">
                        <wp:extent cx="6106886" cy="3952058"/>
                        <wp:effectExtent l="0" t="0" r="190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s_files/figure-docx/fig-box1-1.png"/>
                                <pic:cNvPicPr>
                                  <a:picLocks noChangeAspect="1" noChangeArrowheads="1"/>
                                </pic:cNvPicPr>
                              </pic:nvPicPr>
                              <pic:blipFill>
                                <a:blip r:embed="rId7"/>
                                <a:stretch>
                                  <a:fillRect/>
                                </a:stretch>
                              </pic:blipFill>
                              <pic:spPr bwMode="auto">
                                <a:xfrm>
                                  <a:off x="0" y="0"/>
                                  <a:ext cx="6112902" cy="3955951"/>
                                </a:xfrm>
                                <a:prstGeom prst="rect">
                                  <a:avLst/>
                                </a:prstGeom>
                                <a:noFill/>
                                <a:ln w="9525">
                                  <a:noFill/>
                                  <a:headEnd/>
                                  <a:tailEnd/>
                                </a:ln>
                              </pic:spPr>
                            </pic:pic>
                          </a:graphicData>
                        </a:graphic>
                      </wp:inline>
                    </w:drawing>
                  </w:r>
                </w:p>
                <w:p w14:paraId="68EB56DC" w14:textId="6F662950" w:rsidR="0059760D" w:rsidRDefault="00000000" w:rsidP="004B3331">
                  <w:pPr>
                    <w:pStyle w:val="ImageCaption"/>
                    <w:spacing w:before="200" w:line="360" w:lineRule="auto"/>
                  </w:pPr>
                  <w:r>
                    <w:t>Figure I: Predicting and coupling microclimate and biophysical models of a plant and two grasshopper species that vary in their thermal tolerance and life history (A). Biophysical and thermoregulatory models use miroclimate data to predict leaf (B) and grasshopper (C) temperatures through time (coloured lines) incorporating changes in insect and stomatal behaviour. Created with BioRender.com.</w:t>
                  </w:r>
                </w:p>
              </w:tc>
              <w:bookmarkEnd w:id="7"/>
            </w:tr>
          </w:tbl>
          <w:p w14:paraId="14DC7231" w14:textId="77777777" w:rsidR="00756986" w:rsidRDefault="00756986" w:rsidP="004B3331">
            <w:pPr>
              <w:spacing w:after="0" w:line="360" w:lineRule="auto"/>
            </w:pPr>
          </w:p>
        </w:tc>
      </w:tr>
    </w:tbl>
    <w:p w14:paraId="1A43D657" w14:textId="77777777" w:rsidR="0059760D" w:rsidRDefault="00000000" w:rsidP="00557FAC">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E336C3C" w14:textId="77777777">
        <w:trPr>
          <w:cantSplit/>
        </w:trPr>
        <w:tc>
          <w:tcPr>
            <w:tcW w:w="0" w:type="auto"/>
            <w:tcMar>
              <w:left w:w="144" w:type="dxa"/>
            </w:tcMar>
          </w:tcPr>
          <w:p w14:paraId="37827683" w14:textId="77777777" w:rsidR="0059760D" w:rsidRDefault="00000000" w:rsidP="00557FAC">
            <w:pPr>
              <w:pStyle w:val="BodyText"/>
              <w:spacing w:before="16" w:after="64" w:line="360" w:lineRule="auto"/>
            </w:pPr>
            <w:r>
              <w:rPr>
                <w:b/>
                <w:bCs/>
              </w:rPr>
              <w:lastRenderedPageBreak/>
              <w:t>Glossary</w:t>
            </w:r>
          </w:p>
          <w:p w14:paraId="20F5887B" w14:textId="648C359D" w:rsidR="00214256" w:rsidRPr="00214256" w:rsidRDefault="00214256" w:rsidP="00557FAC">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environment to predict how </w:t>
            </w:r>
            <w:proofErr w:type="gramStart"/>
            <w:r>
              <w:t>organisms</w:t>
            </w:r>
            <w:proofErr w:type="gramEnd"/>
            <w:r>
              <w:t xml:space="preserve"> function, survive, and behave in varying environments.</w:t>
            </w:r>
          </w:p>
          <w:p w14:paraId="23094E31" w14:textId="068E6CEE" w:rsidR="0059760D" w:rsidRDefault="00000000" w:rsidP="00557FAC">
            <w:pPr>
              <w:pStyle w:val="BodyText"/>
              <w:spacing w:before="16" w:line="360" w:lineRule="auto"/>
            </w:pPr>
            <w:r>
              <w:rPr>
                <w:b/>
                <w:bCs/>
              </w:rPr>
              <w:t>Coexistence</w:t>
            </w:r>
            <w:r>
              <w:t xml:space="preserve">: Coexistence occurs when populations of two or more species </w:t>
            </w:r>
            <w:proofErr w:type="gramStart"/>
            <w:r>
              <w:t>are able to</w:t>
            </w:r>
            <w:proofErr w:type="gramEnd"/>
            <w:r>
              <w:t xml:space="preserve"> persist in each other’s presence indefinitely at steady state under constant abiotic conditions.</w:t>
            </w:r>
          </w:p>
          <w:p w14:paraId="4C51B6ED" w14:textId="31DBC268" w:rsidR="00214256" w:rsidRPr="00214256" w:rsidRDefault="00214256" w:rsidP="00557FAC">
            <w:pPr>
              <w:pStyle w:val="BodyText"/>
              <w:spacing w:line="360" w:lineRule="auto"/>
            </w:pPr>
            <w:r>
              <w:rPr>
                <w:b/>
                <w:bCs/>
              </w:rPr>
              <w:t>Functional traits</w:t>
            </w:r>
            <w:r>
              <w:t>: Functional traits are the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37097608" w14:textId="391DEE74" w:rsidR="0059760D" w:rsidRDefault="00000000" w:rsidP="00557FAC">
            <w:pPr>
              <w:pStyle w:val="BodyText"/>
              <w:spacing w:line="360" w:lineRule="auto"/>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0101EEA5" w14:textId="77777777" w:rsidR="0059760D" w:rsidRDefault="00000000" w:rsidP="00557FAC">
            <w:pPr>
              <w:pStyle w:val="BodyText"/>
              <w:spacing w:line="360" w:lineRule="auto"/>
            </w:pPr>
            <w:r>
              <w:rPr>
                <w:b/>
                <w:bCs/>
              </w:rPr>
              <w:t>Microclimate</w:t>
            </w:r>
            <w:r>
              <w:t>: Microclimates are the local conditions experienced by organisms, which can differ substantially from the broader atmospheric conditions. Microclimates are influenced by factors such as vegetation cover, soil properties, and topography, and can significantly affect the thermal and hydric environment experienced by organisms.</w:t>
            </w:r>
          </w:p>
          <w:p w14:paraId="75895F56" w14:textId="77777777" w:rsidR="0059760D" w:rsidRDefault="00000000" w:rsidP="00557FAC">
            <w:pPr>
              <w:pStyle w:val="BodyText"/>
              <w:spacing w:line="360" w:lineRule="auto"/>
            </w:pPr>
            <w:r>
              <w:rPr>
                <w:b/>
                <w:bCs/>
              </w:rPr>
              <w:t>Thermal load sensitivity (TLS) / thermal death time (TDT) models</w:t>
            </w:r>
            <w:r>
              <w:t>: Models that calculate thermal stress load from a time series of body temperatures to quantify lethal and sublethal impacts on tissues, organs and whole organisms.</w:t>
            </w:r>
          </w:p>
          <w:p w14:paraId="321B5909" w14:textId="77777777" w:rsidR="0059760D" w:rsidRDefault="00000000" w:rsidP="00557FAC">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75CC1BF3" w14:textId="77777777" w:rsidR="0059760D" w:rsidRDefault="00000000" w:rsidP="00557FAC">
      <w:pPr>
        <w:pStyle w:val="Heading1"/>
        <w:spacing w:line="360" w:lineRule="auto"/>
      </w:pPr>
      <w:bookmarkStart w:id="8" w:name="Xa42fff9f9b55ab8c457a10a6df2c5c7c3edac3c"/>
      <w:bookmarkEnd w:id="6"/>
      <w:r>
        <w:t>Physiological models that capture the effects of extreme heat across life</w:t>
      </w:r>
    </w:p>
    <w:p w14:paraId="32593788" w14:textId="0BD7EEF0" w:rsidR="0059760D" w:rsidRDefault="00000000" w:rsidP="00557FAC">
      <w:pPr>
        <w:pStyle w:val="FirstParagraph"/>
        <w:spacing w:line="360" w:lineRule="auto"/>
      </w:pPr>
      <w:r>
        <w:t xml:space="preserve">Accumulated damage to an organism from experiencing extreme heat events will impact survival probability in the future and needs to be integrated with a full account of growth, development and reproduction through life to scale effects to populations and communities. Dynamic Energy Budget (DEB) models are physiologically-explicit life-cycle models of energy and mass uptake and conversion that predict key life-history transitions, growth, reproduction and survival (senescence) through time [18,64]. DEB models consider organisms as a thermodynamic system (fully obeying energy-mass conservation) capturing the </w:t>
      </w:r>
      <w:r>
        <w:lastRenderedPageBreak/>
        <w:t>exchange of food, water, respiratory gases and metabolic waste throughout the life cycle [21]. DEB models can translate short-term (hours) variation in factors such as temperature, toxins (e.g., toxicants, [65]) and resource availability (nutrients) [66,67] into long-term (days, months, years) effects on development, growth, reproduction and survival [19,21]. DEB theory, when combined with biophysical models more generally, allows the full water budget to be computed to account for heat stress impacts of a hydric nature [21]. Perhaps most importantly, DEB theory calculates the life cycle trajectory of an organism and so can account for the effects of timing of heat wave impacts relative to life stage. Applied to multi-species assemblages, DEB models can capture how different species’ life cycles are affected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are parameter-sparse (one parameter per process). Moreover, the necessary parameters have already been estimated for &gt; 7000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[25,63]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23B438CB" w14:textId="77777777" w:rsidR="0059760D" w:rsidRDefault="00000000" w:rsidP="00557FAC">
      <w:pPr>
        <w:pStyle w:val="BodyText"/>
        <w:spacing w:line="360" w:lineRule="auto"/>
      </w:pPr>
      <w:r>
        <w:t>Analogously, physiology-based vegetation models simulate plant growth over time as a function of carbon, water and nutrient uptake and use, following mass balance principles [71].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53F39C29" w14:textId="77777777" w:rsidR="0059760D" w:rsidRDefault="00000000" w:rsidP="00557FAC">
      <w:pPr>
        <w:pStyle w:val="Heading1"/>
        <w:spacing w:line="360" w:lineRule="auto"/>
      </w:pPr>
      <w:bookmarkStart w:id="9" w:name="Xe20b556bb99a49ef81dd5b1307d42fae8e49e0c"/>
      <w:bookmarkEnd w:id="8"/>
      <w:r>
        <w:lastRenderedPageBreak/>
        <w:t>Mechanistic approaches that ‘speak’ to population and community ecology under extreme heat</w:t>
      </w:r>
    </w:p>
    <w:p w14:paraId="43BAB79F" w14:textId="23956B7A" w:rsidR="0059760D" w:rsidRDefault="00000000" w:rsidP="00557FAC">
      <w:pPr>
        <w:pStyle w:val="FirstParagraph"/>
        <w:spacing w:line="360" w:lineRule="auto"/>
      </w:pPr>
      <w:r>
        <w:t xml:space="preserve">Modelling tools developed as part of </w:t>
      </w:r>
      <w:r>
        <w:rPr>
          <w:b/>
          <w:bCs/>
        </w:rPr>
        <w:t>Modern Coexistence Theory</w:t>
      </w:r>
      <w:r>
        <w:t xml:space="preserve"> </w:t>
      </w:r>
      <w:r w:rsidR="000A7CF1">
        <w:t xml:space="preserve">(MCT) </w:t>
      </w:r>
      <w:r>
        <w:t xml:space="preserve">[16]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[15,74]. Other extensions of MCT tools have integrated environmental variation [24], traits [75] and cross-trophic dynamics [76,77] in predicting the outcomes of species interactions in community contexts. Fundamentally, this approach relies on simple two-species individual-based population growth models [78,79], but key extensions involve the use of whole communities as one “species” [80,81] or the grouping of species to simplify interaction matrices while accounting for a small number of dominant species [77].</w:t>
      </w:r>
    </w:p>
    <w:p w14:paraId="6D2329B9" w14:textId="372FAEC5" w:rsidR="0059760D" w:rsidRDefault="00000000" w:rsidP="00557FAC">
      <w:pPr>
        <w:pStyle w:val="BodyText"/>
        <w:spacing w:line="360" w:lineRule="auto"/>
      </w:pPr>
      <w:r>
        <w:t xml:space="preserve">Population dynamic models that are used as part of MCT can calculate the individual fitness effect of interactions in relation to environments experienced by organisms [23,77,82]. As these models use the same fitness measures as DEB models, they offer a population modelling framework to add thermal biology to community diversity predictions. This is because population dynamical models can be combined, for example as networks [15] and compared between microsites with different biophysical properties and harbouring species with different thermal responses to their microenvironment. For example, Bimler </w:t>
      </w:r>
      <w:r>
        <w:rPr>
          <w:i/>
          <w:iCs/>
        </w:rPr>
        <w:t>et al</w:t>
      </w:r>
      <w:r>
        <w:t xml:space="preserve"> [15] used this approach to determine which species were keystone species under shady and sunny portions of the same plant communities.</w:t>
      </w:r>
    </w:p>
    <w:p w14:paraId="79048BAD" w14:textId="615992CB" w:rsidR="0059760D" w:rsidRDefault="00000000" w:rsidP="00557FAC">
      <w:pPr>
        <w:pStyle w:val="BodyText"/>
        <w:spacing w:line="360" w:lineRule="auto"/>
      </w:pPr>
      <w:r>
        <w:t xml:space="preserve">Modified </w:t>
      </w:r>
      <w:r>
        <w:rPr>
          <w:b/>
          <w:bCs/>
        </w:rPr>
        <w:t>vital rate</w:t>
      </w:r>
      <w:r>
        <w:t xml:space="preserve"> functions (which can incorporate any measure of fitness) can be used in population growth models to compare population dynamics for individuals in areas with different biophysical properties and/or thermal tolerances. Indeed, the predicted traits from DEB models could be used to directly parameterise growth rate models </w:t>
      </w:r>
      <w:r w:rsidR="00B35C3F">
        <w:t>(</w:t>
      </w:r>
      <w:r w:rsidR="00B35C3F" w:rsidRPr="00B35C3F">
        <w:rPr>
          <w:b/>
          <w:bCs/>
        </w:rPr>
        <w:t>Box 2</w:t>
      </w:r>
      <w:r w:rsidR="00B35C3F">
        <w:t xml:space="preserve">) </w:t>
      </w:r>
      <w:r>
        <w:t xml:space="preserve">or to predict </w:t>
      </w:r>
      <w:r>
        <w:rPr>
          <w:b/>
          <w:bCs/>
        </w:rPr>
        <w:t>functional traits</w:t>
      </w:r>
      <w:r>
        <w:t xml:space="preserve"> which, at a community scale, can be used to </w:t>
      </w:r>
      <w:r w:rsidRPr="005D3830">
        <w:rPr>
          <w:lang w:val="en-GB"/>
        </w:rPr>
        <w:t>categori</w:t>
      </w:r>
      <w:r w:rsidR="005D3830" w:rsidRPr="005D3830">
        <w:rPr>
          <w:lang w:val="en-GB"/>
        </w:rPr>
        <w:t>s</w:t>
      </w:r>
      <w:r w:rsidRPr="005D3830">
        <w:rPr>
          <w:lang w:val="en-GB"/>
        </w:rPr>
        <w:t>e</w:t>
      </w:r>
      <w:r>
        <w:t xml:space="preserv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be made to target particular types of interaction effects or responses to extreme heat events, or used to compare how species interact in areas with different thermal landscapes. The main limitation of these methods is that they are data hungry, but even this can be handled by categorizing </w:t>
      </w:r>
      <w:r>
        <w:lastRenderedPageBreak/>
        <w:t>species by ‘traits’ or shared phylogenetic relationships, which are simplifications shown to be effective at reducing model complexity without sacrificing model accuracy [83].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140755F5" w14:textId="77777777">
        <w:trPr>
          <w:cantSplit/>
        </w:trPr>
        <w:tc>
          <w:tcPr>
            <w:tcW w:w="0" w:type="auto"/>
            <w:tcMar>
              <w:left w:w="144" w:type="dxa"/>
            </w:tcMar>
          </w:tcPr>
          <w:p w14:paraId="3E6F5439" w14:textId="72118209" w:rsidR="0059760D" w:rsidRDefault="00000000" w:rsidP="00557FAC">
            <w:pPr>
              <w:pStyle w:val="BodyText"/>
              <w:spacing w:before="16" w:after="64" w:line="360" w:lineRule="auto"/>
            </w:pPr>
            <w:r>
              <w:rPr>
                <w:b/>
                <w:bCs/>
              </w:rPr>
              <w:lastRenderedPageBreak/>
              <w:t xml:space="preserve">Box 2: Scaling up extreme heat effects from impacts on individuals to </w:t>
            </w:r>
            <w:r w:rsidR="00FC1246">
              <w:rPr>
                <w:b/>
                <w:bCs/>
              </w:rPr>
              <w:t xml:space="preserve">populations and </w:t>
            </w:r>
            <w:r>
              <w:rPr>
                <w:b/>
                <w:bCs/>
              </w:rPr>
              <w:t>communities</w:t>
            </w:r>
          </w:p>
          <w:p w14:paraId="4FFEE998" w14:textId="1603B546" w:rsidR="0059760D" w:rsidRDefault="00000000" w:rsidP="00557FAC">
            <w:pPr>
              <w:pStyle w:val="BodyText"/>
              <w:spacing w:before="16" w:line="360" w:lineRule="auto"/>
            </w:pPr>
            <w:r>
              <w:t>We use predicted organismal temperatures (</w:t>
            </w:r>
            <w:r w:rsidR="00A74310">
              <w:t>Figure I in Box 1</w:t>
            </w:r>
            <w:r>
              <w:t>) to take stock of how thermal heat stress accumulation impacts survival probability and simulate life cycles for two interacting grasshopper species under their respective microclimates.</w:t>
            </w:r>
          </w:p>
          <w:p w14:paraId="015452BA" w14:textId="75A0D6A3" w:rsidR="0059760D" w:rsidRDefault="00000000" w:rsidP="00557FAC">
            <w:pPr>
              <w:pStyle w:val="BodyText"/>
              <w:spacing w:line="360" w:lineRule="auto"/>
            </w:pPr>
            <w:r>
              <w:t xml:space="preserve">To start, using existing parameters for a dynamic energy budget (DEB) model for grasshoppers [84], we can use the </w:t>
            </w:r>
            <w:r>
              <w:rPr>
                <w:rStyle w:val="VerbatimChar"/>
              </w:rPr>
              <w:t>ectotherm</w:t>
            </w:r>
            <w:r>
              <w:t xml:space="preserve"> function in </w:t>
            </w:r>
            <w:proofErr w:type="spellStart"/>
            <w:r>
              <w:rPr>
                <w:i/>
                <w:iCs/>
              </w:rPr>
              <w:t>NicheMapR</w:t>
            </w:r>
            <w:proofErr w:type="spellEnd"/>
            <w:r>
              <w:t xml:space="preserve"> to simulate life cycles for each of the two species. We assume that both species have similar DEB parameters but vary in their life-history, thermal physiology, size and reproduction.</w:t>
            </w:r>
          </w:p>
          <w:p w14:paraId="1AF64944" w14:textId="554F2694" w:rsidR="0059760D" w:rsidRDefault="00000000" w:rsidP="00557FAC">
            <w:pPr>
              <w:pStyle w:val="BodyText"/>
              <w:spacing w:line="360" w:lineRule="auto"/>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through time during stressful temperatures (environmental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&gt; critical temperatures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the insect’s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sidR="0059760D">
                <w:rPr>
                  <w:rStyle w:val="Hyperlink"/>
                </w:rPr>
                <w:t>Equation 1</w:t>
              </w:r>
            </w:hyperlink>
            <w:r>
              <w:t>) (‘red lines’ in Fig</w:t>
            </w:r>
            <w:r w:rsidR="00A74310">
              <w:t>ure</w:t>
            </w:r>
            <w:r>
              <w:t xml:space="preserve"> IIA) [10,11,13,51].</w:t>
            </w:r>
          </w:p>
          <w:p w14:paraId="7565892C" w14:textId="77777777" w:rsidR="0059760D" w:rsidRDefault="00000000" w:rsidP="00557FAC">
            <w:pPr>
              <w:pStyle w:val="BodyText"/>
              <w:spacing w:line="360" w:lineRule="auto"/>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4C867445" w14:textId="5929A8CE" w:rsidR="006B186C" w:rsidRPr="006B186C" w:rsidRDefault="00000000" w:rsidP="00557FAC">
            <w:pPr>
              <w:pStyle w:val="FirstParagraph"/>
              <w:spacing w:line="360" w:lineRule="auto"/>
            </w:pPr>
            <w:r>
              <w:t>After calculating HI accounting for repair [85],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w:t>
            </w:r>
            <w:r w:rsidR="00BF2A5E">
              <w:t>ure</w:t>
            </w:r>
            <w:r>
              <w:t xml:space="preserve">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w:t>
            </w:r>
            <w:proofErr w:type="gramStart"/>
            <w:r>
              <w:t>ln(</w:t>
            </w:r>
            <w:proofErr w:type="gramEnd"/>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the basis for coexistence modelling in the MCT framework) to predict their population growth under competition (</w:t>
            </w:r>
            <w:hyperlink w:anchor="eq-general">
              <w:r w:rsidR="006B186C">
                <w:rPr>
                  <w:rStyle w:val="Hyperlink"/>
                </w:rPr>
                <w:t>Equation 2</w:t>
              </w:r>
            </w:hyperlink>
            <w:r>
              <w:t>).</w:t>
            </w:r>
          </w:p>
          <w:p w14:paraId="3198F391" w14:textId="7235DEC7" w:rsidR="0059760D" w:rsidRDefault="00000000" w:rsidP="00557FAC">
            <w:pPr>
              <w:pStyle w:val="BodyText"/>
              <w:spacing w:line="360" w:lineRule="auto"/>
            </w:pPr>
            <w:bookmarkStart w:id="11" w:name="eq-general"/>
            <m:oMathPara>
              <m:oMathParaPr>
                <m:jc m:val="center"/>
              </m:oMathParaPr>
              <m:oMath>
                <m:r>
                  <w:rPr>
                    <w:rFonts w:ascii="Cambria Math" w:hAnsi="Cambria Math"/>
                  </w:rPr>
                  <m:t> </m:t>
                </m:r>
                <m:sSubSup>
                  <m:sSubSupPr>
                    <m:ctrlPr>
                      <w:rPr>
                        <w:rFonts w:ascii="Cambria Math" w:hAnsi="Cambria Math"/>
                        <w:i/>
                      </w:rPr>
                    </m:ctrlPr>
                  </m:sSubSupPr>
                  <m:e>
                    <m:r>
                      <w:rPr>
                        <w:rFonts w:ascii="Cambria Math" w:hAnsi="Cambria Math"/>
                      </w:rPr>
                      <m:t>N</m:t>
                    </m:r>
                  </m:e>
                  <m:sub>
                    <m:r>
                      <w:rPr>
                        <w:rFonts w:ascii="Cambria Math" w:hAnsi="Cambria Math"/>
                      </w:rPr>
                      <m:t>t+1</m:t>
                    </m:r>
                  </m:sub>
                  <m:sup>
                    <m:r>
                      <w:rPr>
                        <w:rFonts w:ascii="Cambria Math" w:hAnsi="Cambria Math"/>
                      </w:rPr>
                      <m:t>i</m:t>
                    </m:r>
                  </m:sup>
                </m:sSubSup>
                <m:r>
                  <w:rPr>
                    <w:rFonts w:ascii="Cambria Math" w:eastAsiaTheme="minorEastAsia" w:hAnsi="Cambria Math"/>
                  </w:rPr>
                  <m:t xml:space="preserve">= </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eastAsiaTheme="minorEastAsia" w:hAnsi="Cambria Math"/>
                  </w:rPr>
                  <m:t xml:space="preserve">∙exp </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max,i</m:t>
                        </m:r>
                      </m:sub>
                    </m:sSub>
                    <m:d>
                      <m:dPr>
                        <m:ctrlPr>
                          <w:rPr>
                            <w:rFonts w:ascii="Cambria Math" w:eastAsiaTheme="minorEastAsia" w:hAnsi="Cambria Math"/>
                            <w:i/>
                          </w:rPr>
                        </m:ctrlPr>
                      </m:dPr>
                      <m:e>
                        <m:r>
                          <w:rPr>
                            <w:rFonts w:ascii="Cambria Math" w:eastAsiaTheme="minorEastAsia" w:hAnsi="Cambria Math"/>
                          </w:rPr>
                          <m:t xml:space="preserve">1- </m:t>
                        </m:r>
                        <m:f>
                          <m:fPr>
                            <m:ctrlPr>
                              <w:rPr>
                                <w:rFonts w:ascii="Cambria Math" w:eastAsiaTheme="minorEastAsia" w:hAnsi="Cambria Math"/>
                                <w:i/>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j≠i</m:t>
                                </m:r>
                              </m:sub>
                              <m:sup/>
                              <m:e>
                                <m:sSub>
                                  <m:sSubPr>
                                    <m:ctrlPr>
                                      <w:rPr>
                                        <w:rFonts w:ascii="Cambria Math" w:hAnsi="Cambria Math"/>
                                        <w:i/>
                                      </w:rPr>
                                    </m:ctrlPr>
                                  </m:sSubPr>
                                  <m:e>
                                    <m:r>
                                      <w:rPr>
                                        <w:rFonts w:ascii="Cambria Math" w:hAnsi="Cambria Math"/>
                                      </w:rPr>
                                      <m:t>α</m:t>
                                    </m:r>
                                  </m:e>
                                  <m:sub>
                                    <m:r>
                                      <w:rPr>
                                        <w:rFonts w:ascii="Cambria Math" w:hAnsi="Cambria Math"/>
                                      </w:rPr>
                                      <m:t>ij</m:t>
                                    </m:r>
                                  </m:sub>
                                </m:sSub>
                                <m:sSubSup>
                                  <m:sSubSupPr>
                                    <m:ctrlPr>
                                      <w:rPr>
                                        <w:rFonts w:ascii="Cambria Math" w:hAnsi="Cambria Math"/>
                                        <w:i/>
                                      </w:rPr>
                                    </m:ctrlPr>
                                  </m:sSubSupPr>
                                  <m:e>
                                    <m:r>
                                      <w:rPr>
                                        <w:rFonts w:ascii="Cambria Math" w:hAnsi="Cambria Math"/>
                                      </w:rPr>
                                      <m:t>N</m:t>
                                    </m:r>
                                  </m:e>
                                  <m:sub>
                                    <m:r>
                                      <w:rPr>
                                        <w:rFonts w:ascii="Cambria Math" w:hAnsi="Cambria Math"/>
                                      </w:rPr>
                                      <m:t>t</m:t>
                                    </m:r>
                                  </m:sub>
                                  <m:sup>
                                    <m:r>
                                      <w:rPr>
                                        <w:rFonts w:ascii="Cambria Math" w:hAnsi="Cambria Math"/>
                                      </w:rPr>
                                      <m:t>j</m:t>
                                    </m:r>
                                  </m:sup>
                                </m:sSubSup>
                              </m:e>
                            </m:nary>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53C4CE1A" w14:textId="77777777" w:rsidR="0059760D" w:rsidRDefault="00000000" w:rsidP="00557FAC">
            <w:pPr>
              <w:pStyle w:val="FirstParagraph"/>
              <w:spacing w:line="360" w:lineRule="auto"/>
            </w:pPr>
            <w:r>
              <w:lastRenderedPageBreak/>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Note that, because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9760D" w14:paraId="13F490E3" w14:textId="77777777">
              <w:tc>
                <w:tcPr>
                  <w:tcW w:w="0" w:type="auto"/>
                </w:tcPr>
                <w:p w14:paraId="40239FC6" w14:textId="466EB55D" w:rsidR="0059760D" w:rsidRDefault="002D372F" w:rsidP="00557FAC">
                  <w:pPr>
                    <w:pStyle w:val="Compact"/>
                    <w:spacing w:line="360" w:lineRule="auto"/>
                    <w:jc w:val="center"/>
                  </w:pPr>
                  <w:bookmarkStart w:id="12" w:name="fig-box2"/>
                  <w:r>
                    <w:rPr>
                      <w:noProof/>
                    </w:rPr>
                    <w:drawing>
                      <wp:inline distT="0" distB="0" distL="0" distR="0" wp14:anchorId="20308741" wp14:editId="5595F81C">
                        <wp:extent cx="5910943" cy="4261515"/>
                        <wp:effectExtent l="0" t="0" r="0" b="5715"/>
                        <wp:docPr id="1366834537"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34537" name="Picture 2" descr="A diagram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6244" cy="4265337"/>
                                </a:xfrm>
                                <a:prstGeom prst="rect">
                                  <a:avLst/>
                                </a:prstGeom>
                              </pic:spPr>
                            </pic:pic>
                          </a:graphicData>
                        </a:graphic>
                      </wp:inline>
                    </w:drawing>
                  </w:r>
                </w:p>
                <w:p w14:paraId="31B55116" w14:textId="6ECAF4F1" w:rsidR="0059760D" w:rsidRDefault="00000000" w:rsidP="00557FAC">
                  <w:pPr>
                    <w:pStyle w:val="ImageCaption"/>
                    <w:spacing w:before="200" w:line="360" w:lineRule="auto"/>
                  </w:pPr>
                  <w:r>
                    <w:t>Figure II: A systems approach to using mechanistic physiological models to capture life-cycle vital rates and thermal load stress on survival to scale up to multi-species population dynamics. Created with BioRender.com.</w:t>
                  </w:r>
                </w:p>
              </w:tc>
              <w:bookmarkEnd w:id="12"/>
            </w:tr>
          </w:tbl>
          <w:p w14:paraId="28670A6A" w14:textId="77777777" w:rsidR="00756986" w:rsidRDefault="00756986" w:rsidP="00557FAC">
            <w:pPr>
              <w:spacing w:after="0" w:line="360" w:lineRule="auto"/>
            </w:pPr>
          </w:p>
        </w:tc>
      </w:tr>
    </w:tbl>
    <w:p w14:paraId="78795C7C" w14:textId="77777777" w:rsidR="0059760D" w:rsidRDefault="00000000" w:rsidP="00557FAC">
      <w:pPr>
        <w:pStyle w:val="Heading1"/>
        <w:spacing w:line="360" w:lineRule="auto"/>
      </w:pPr>
      <w:bookmarkStart w:id="13" w:name="hot-solutions-for-a-changing-world"/>
      <w:bookmarkEnd w:id="9"/>
      <w:r>
        <w:t>‘Hot’ solutions for a changing world</w:t>
      </w:r>
    </w:p>
    <w:p w14:paraId="62DE01FF" w14:textId="77777777" w:rsidR="0059760D" w:rsidRDefault="00000000" w:rsidP="00557FAC">
      <w:pPr>
        <w:pStyle w:val="FirstParagraph"/>
        <w:spacing w:line="360" w:lineRule="auto"/>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[86], exacerbating food shortages.</w:t>
      </w:r>
    </w:p>
    <w:p w14:paraId="79FF84B3" w14:textId="4B7D5C88" w:rsidR="0059760D" w:rsidRDefault="00000000" w:rsidP="00557FAC">
      <w:pPr>
        <w:pStyle w:val="BodyText"/>
        <w:spacing w:line="360" w:lineRule="auto"/>
      </w:pPr>
      <w:r>
        <w:lastRenderedPageBreak/>
        <w:t>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sidR="0059760D">
          <w:rPr>
            <w:rStyle w:val="Hyperlink"/>
          </w:rPr>
          <w:t>Figure 2</w:t>
        </w:r>
      </w:hyperlink>
      <w:r>
        <w:t>A), a systems modelling approach can allow for informed predictions about how to mitigate heat stress to crops while also considering the potential for pest outbreaks. In essence, we want to add a minimal amount of water to a system to cool leaves while avoiding depleting limited water supplies and/or creating better microclimate conditions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sidR="0059760D">
          <w:rPr>
            <w:rStyle w:val="Hyperlink"/>
          </w:rPr>
          <w:t>Figure 2</w:t>
        </w:r>
      </w:hyperlink>
      <w:r>
        <w:t>). We can see that adding 2-5 mm d</w:t>
      </w:r>
      <w:r>
        <w:rPr>
          <w:vertAlign w:val="superscript"/>
        </w:rPr>
        <w:t>-1</w:t>
      </w:r>
      <w:r>
        <w:t xml:space="preserve"> of water can decrease leaf temperature by up to 3.87°C (</w:t>
      </w:r>
      <w:hyperlink w:anchor="fig-2">
        <w:r w:rsidR="0059760D">
          <w:rPr>
            <w:rStyle w:val="Hyperlink"/>
          </w:rPr>
          <w:t>Figure 2</w:t>
        </w:r>
      </w:hyperlink>
      <w:r>
        <w:t>B), but adding more water does not result in significant gains in cooling. In addition, 2-5 mm of water added each day results in the grasshopper population being suppressed over time, whereas not adding water at all results in grasshopper population growth, leading to potential heatwave-associated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[21]. Additionally, as our understanding of the mechanisms associated with heat tolerance improve, genetic tools, environmental manipulations (e.g., promoting beneficial microbes) and targeted plant breeding can be used to enhance thermal tolerance, creating more resilience to extreme heat events [e.g., 60].</w:t>
      </w:r>
    </w:p>
    <w:p w14:paraId="5A92CAE6" w14:textId="77777777" w:rsidR="0059760D" w:rsidRDefault="00000000" w:rsidP="00557FAC">
      <w:pPr>
        <w:pStyle w:val="BodyText"/>
        <w:spacing w:line="360" w:lineRule="auto"/>
      </w:pPr>
      <w:r>
        <w:t>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communities more vulnerable through loss of resources and services [87]. Thermal risks to ecosystems may also precipitate declines in individual wellbeing, and these consequences may accrue differently across regions and peoples [88].</w:t>
      </w:r>
    </w:p>
    <w:tbl>
      <w:tblPr>
        <w:tblStyle w:val="Table"/>
        <w:tblW w:w="5000" w:type="pct"/>
        <w:tblLayout w:type="fixed"/>
        <w:tblLook w:val="0000" w:firstRow="0" w:lastRow="0" w:firstColumn="0" w:lastColumn="0" w:noHBand="0" w:noVBand="0"/>
      </w:tblPr>
      <w:tblGrid>
        <w:gridCol w:w="10538"/>
      </w:tblGrid>
      <w:tr w:rsidR="0059760D" w14:paraId="61ED91B0" w14:textId="77777777">
        <w:tc>
          <w:tcPr>
            <w:tcW w:w="7920" w:type="dxa"/>
          </w:tcPr>
          <w:p w14:paraId="4C7ECDC5" w14:textId="6260118F" w:rsidR="0059760D" w:rsidRDefault="002D372F" w:rsidP="00557FAC">
            <w:pPr>
              <w:pStyle w:val="Compact"/>
              <w:spacing w:line="360" w:lineRule="auto"/>
              <w:jc w:val="center"/>
            </w:pPr>
            <w:bookmarkStart w:id="14" w:name="fig-2"/>
            <w:r>
              <w:rPr>
                <w:b/>
                <w:bCs/>
                <w:noProof/>
              </w:rPr>
              <w:lastRenderedPageBreak/>
              <w:drawing>
                <wp:inline distT="0" distB="0" distL="0" distR="0" wp14:anchorId="1A8E8354" wp14:editId="0C4887FF">
                  <wp:extent cx="6052457" cy="4236485"/>
                  <wp:effectExtent l="0" t="0" r="5715" b="5715"/>
                  <wp:docPr id="689369945" name="Picture 1" descr="A diagram of a plant with a graph and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69945" name="Picture 1" descr="A diagram of a plant with a graph and a 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71277" cy="4249658"/>
                          </a:xfrm>
                          <a:prstGeom prst="rect">
                            <a:avLst/>
                          </a:prstGeom>
                        </pic:spPr>
                      </pic:pic>
                    </a:graphicData>
                  </a:graphic>
                </wp:inline>
              </w:drawing>
            </w:r>
          </w:p>
          <w:p w14:paraId="44EC1BFC" w14:textId="7229A0E1" w:rsidR="0059760D" w:rsidRDefault="00000000" w:rsidP="00557FAC">
            <w:pPr>
              <w:pStyle w:val="ImageCaption"/>
              <w:spacing w:before="200" w:line="360" w:lineRule="auto"/>
            </w:pPr>
            <w:r w:rsidRPr="00A43241">
              <w:rPr>
                <w:b/>
                <w:bCs/>
              </w:rPr>
              <w:t>Figure </w:t>
            </w:r>
            <w:r w:rsidR="00670D8D" w:rsidRPr="00A43241">
              <w:rPr>
                <w:b/>
                <w:bCs/>
              </w:rPr>
              <w:t>2</w:t>
            </w:r>
            <w:r w:rsidR="00A43241">
              <w:rPr>
                <w:b/>
                <w:bCs/>
              </w:rPr>
              <w:t xml:space="preserve"> </w:t>
            </w:r>
            <w:r w:rsidRPr="00A43241">
              <w:rPr>
                <w:b/>
                <w:bCs/>
              </w:rPr>
              <w:t xml:space="preserve">- How a systems modelling approach to extreme heat can be used to inform solutions. </w:t>
            </w:r>
            <w:r>
              <w:t>Heat stress to crops can result in foliage loss and crop failure, but also weaken crops to pests. Using a hypothetical case study of a crop and associated pest, we explore how different watering regimes affect plant temperatures and the flow on effects such regimes have for pest dynamics (A). Using a site near Renmark, South Australia, we use microclimate and biophysical models to estimate leaf temperatures (detailed in Boxes 1 &amp; 2). We see that, compared to original rainfall conditions, certain watering regimes can significantly reduce leaf temperatures by nearly 4°C,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indirectly suppress pest growth through lower body temperatures (C). Created with BioRender.com.</w:t>
            </w:r>
          </w:p>
          <w:p w14:paraId="37A8CDD7" w14:textId="77777777" w:rsidR="006B186C" w:rsidRDefault="006B186C" w:rsidP="00557FAC">
            <w:pPr>
              <w:pStyle w:val="ImageCaption"/>
              <w:spacing w:before="200" w:line="360" w:lineRule="auto"/>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570FAB5" w14:textId="77777777">
        <w:trPr>
          <w:cantSplit/>
        </w:trPr>
        <w:tc>
          <w:tcPr>
            <w:tcW w:w="0" w:type="auto"/>
            <w:tcMar>
              <w:left w:w="144" w:type="dxa"/>
            </w:tcMar>
          </w:tcPr>
          <w:p w14:paraId="71FAEBF2" w14:textId="77777777" w:rsidR="0059760D" w:rsidRDefault="00000000" w:rsidP="00557FAC">
            <w:pPr>
              <w:pStyle w:val="BodyText"/>
              <w:spacing w:before="16" w:after="64" w:line="360" w:lineRule="auto"/>
            </w:pPr>
            <w:r>
              <w:rPr>
                <w:b/>
                <w:bCs/>
              </w:rPr>
              <w:lastRenderedPageBreak/>
              <w:t>Box 3: An important frontier: integrating eco-evolutionary feedback within a systems-modelling framework</w:t>
            </w:r>
          </w:p>
          <w:p w14:paraId="423A890B" w14:textId="77777777" w:rsidR="0059760D" w:rsidRDefault="00000000" w:rsidP="00557FAC">
            <w:pPr>
              <w:pStyle w:val="BodyText"/>
              <w:spacing w:before="16" w:line="360" w:lineRule="auto"/>
            </w:pPr>
            <w:r>
              <w:t>Extreme climactic events, such as heatwaves and droughts, can result in intense episodes of selection which can lead to rapid evolution of heritable traits [89]. Given the intensity of selection associated with extreme climatic events, these events have the potential to radically alter the phenotypic and genetic variability available to selection [90],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[89].</w:t>
            </w:r>
          </w:p>
          <w:p w14:paraId="5AA834A6" w14:textId="77777777" w:rsidR="0059760D" w:rsidRDefault="00000000" w:rsidP="00557FAC">
            <w:pPr>
              <w:pStyle w:val="BodyText"/>
              <w:spacing w:line="360" w:lineRule="auto"/>
            </w:pPr>
            <w:r>
              <w:t>Predicting evolutionary responses also relies on our ability to predict heatwaves and how organisms experience them in the future – a task that is becoming more feasible with new climate models [e.g., 91,92]. Evolutionary consequences of extreme heat events will depend on the characteristics of these events (e.g., frequency, timing, exposure intensity and duration), the traits under selection and their levels of genetic (co)variation, as well as the demographic and ecological context in which the event occurs [93–95]. Considering various forms of plastic responses (e.g., behavioural, developmental, and physiological plasticity) as environments change through time is also crucial because plasticity can weaken selection and shelter genetic variation while also promoting persistence [96,97]. Many of these processes can now be incorporated into a systems modelling framework (e.g, behavioural plasticity), to capture environment-phenotype feedbacks.</w:t>
            </w:r>
          </w:p>
          <w:p w14:paraId="01F8B35A" w14:textId="77777777" w:rsidR="0059760D" w:rsidRDefault="00000000" w:rsidP="00557FAC">
            <w:pPr>
              <w:pStyle w:val="BodyText"/>
              <w:spacing w:line="360" w:lineRule="auto"/>
            </w:pPr>
            <w:r>
              <w:t>A more complete systems modelling approach that captures eco-evolutionary dynamics needs to treat ‘traits’ more broadly than is typically done in evolutionary ecology (e.g., body mass). For example, ‘traits’ can include the parameters within models that establish functional traits within a population (e.g., DEB parameters)[98,99], which may provide predictions for suites of resulting traits that emerge from such parameters. Furthermore, it is important to consider the evolution of suites of traits as can be done using the multivariate breeders equation [100]:</w:t>
            </w:r>
          </w:p>
          <w:p w14:paraId="3D053E84" w14:textId="77777777" w:rsidR="0059760D" w:rsidRDefault="00000000" w:rsidP="00557FAC">
            <w:pPr>
              <w:pStyle w:val="BodyText"/>
              <w:spacing w:line="360" w:lineRule="auto"/>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0D3C17FD" w14:textId="77777777" w:rsidR="0059760D" w:rsidRDefault="00000000" w:rsidP="00557FAC">
            <w:pPr>
              <w:pStyle w:val="FirstParagraph"/>
              <w:spacing w:after="16"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[101]). Plasticity can be captured by mapping trait development to the environment and incorporating environmental variability into the breeders equation [see also, 102]. While the multivariate breeders equation can be useful for predicting short-term evolutionary responses (i.e., one or a few generations) it </w:t>
            </w:r>
            <w:r>
              <w:lastRenderedPageBreak/>
              <w:t>likely has limited predictive power over longer timespans because of changes in heritability and selection through time, which is a future challenge [95,101].</w:t>
            </w:r>
          </w:p>
        </w:tc>
      </w:tr>
    </w:tbl>
    <w:p w14:paraId="1DD3ABCA" w14:textId="6EEC823D" w:rsidR="0059760D" w:rsidRDefault="00000000" w:rsidP="00557FAC">
      <w:pPr>
        <w:pStyle w:val="Heading1"/>
        <w:spacing w:line="360" w:lineRule="auto"/>
      </w:pPr>
      <w:bookmarkStart w:id="16" w:name="concluding-remarks"/>
      <w:bookmarkEnd w:id="13"/>
      <w:r>
        <w:t>Concluding Remarks</w:t>
      </w:r>
    </w:p>
    <w:p w14:paraId="5C72286B" w14:textId="77777777" w:rsidR="0059760D" w:rsidRDefault="00000000" w:rsidP="00557FAC">
      <w:pPr>
        <w:pStyle w:val="FirstParagraph"/>
        <w:spacing w:line="360" w:lineRule="auto"/>
      </w:pPr>
      <w:r>
        <w:t xml:space="preserve">Implementing a systems-modelling approach will no doubt be challenging, particularly for complex communities, and knowledge gaps remain (see </w:t>
      </w:r>
      <w:r>
        <w:rPr>
          <w:b/>
          <w:bCs/>
        </w:rPr>
        <w:t>Outstanding Questions</w:t>
      </w:r>
      <w:r>
        <w:t xml:space="preserve">). But, more than ever, we need mechanistic approaches that can capture key biological processes (physiology, behaviour, phenology, species interactions and eco-evolutionary dynamics - </w:t>
      </w:r>
      <w:r>
        <w:rPr>
          <w:b/>
          <w:bCs/>
        </w:rPr>
        <w:t>Box 3</w:t>
      </w:r>
      <w:r>
        <w:t>) to better predict biological responses to extreme heat [54,103]. Coupled mechanistic models within and across species are expected to have improved predictive power when projected to new environmental conditions and will better capture interacting processes [21,103]. Nonetheless, application of a systems modelling approach will require a solid foundation of species natural history, diverse modelling expertise, and a concerted effort to collect and collate trait and environmental data for model building and validation.</w:t>
      </w:r>
    </w:p>
    <w:p w14:paraId="22856804" w14:textId="77777777" w:rsidR="0059760D" w:rsidRDefault="00000000" w:rsidP="00557FAC">
      <w:pPr>
        <w:pStyle w:val="BodyText"/>
        <w:spacing w:line="360" w:lineRule="auto"/>
      </w:pPr>
      <w:r>
        <w:t>There are exciting new tools and data that are helping to overcome these challenges [26], and careful consideration of the key processes important to a system can help alleviate these challenges [21]. For example, large databases of physiological traits for both plants and animals now exist [e.g., 104,105] and advanced missing data approaches can help estimate likely parameters for data deficient species [70,74,106].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 model, validating predictions with empirical data, and then adding complexity as needed can make building systems models more tractable [21]. Even simple models that compare counterfactual scenarios may provide important quantitative insights into the impacts of extreme heat on organisms, populations and communities [107–109]. Such insights can form the basis for prediction-driven solutions to mitigate the impacts of extreme heat on biodiversity. By working collaboratively we can develop a more quantitative and predictive understanding of the impacts that extreme heat will have on organisms, populations, and communities, and decide how to mitigate these impacts to preserve diverse systems now and into the future.</w:t>
      </w:r>
    </w:p>
    <w:p w14:paraId="72F41E71" w14:textId="77777777" w:rsidR="0059760D" w:rsidRDefault="00000000" w:rsidP="00557FAC">
      <w:pPr>
        <w:pStyle w:val="Heading1"/>
        <w:spacing w:line="360" w:lineRule="auto"/>
      </w:pPr>
      <w:bookmarkStart w:id="17" w:name="acknowledgements"/>
      <w:bookmarkEnd w:id="16"/>
      <w:r>
        <w:t>Acknowledgements</w:t>
      </w:r>
    </w:p>
    <w:p w14:paraId="1A40CFB6" w14:textId="47AE21EA" w:rsidR="0059760D" w:rsidRDefault="00000000" w:rsidP="00557FAC">
      <w:pPr>
        <w:pStyle w:val="FirstParagraph"/>
        <w:spacing w:line="360" w:lineRule="auto"/>
      </w:pPr>
      <w:r>
        <w:t xml:space="preserve">We would like to thank Pieter Arnold, Joel Treutlein and Patrice Pottier for helpful comments on previous versions of this manuscript. We would also like to thank the </w:t>
      </w:r>
      <w:r w:rsidR="007C6197">
        <w:t>Editor, Andrea Stephens,</w:t>
      </w:r>
      <w:r>
        <w:t xml:space="preserve"> and three anonymous reviewers who provided very constructive feedback on earlier versions of our manuscript. DWAN, SJL and </w:t>
      </w:r>
      <w:r>
        <w:lastRenderedPageBreak/>
        <w:t>DW are supported by an ARC Future Fellowship (FT220100276 to DWAN, FT200100381 to SJL and FT230100193 to DW), and MRK by an ARC Laureate Fellowship (FL240100088). We would also like to thank The Australian National University, the University of Melbourne and Western Sydney University for funding to support workshops that helped develop this manuscript.</w:t>
      </w:r>
    </w:p>
    <w:p w14:paraId="1E7D9EAA" w14:textId="1EA178BE" w:rsidR="0059760D" w:rsidRDefault="00000000" w:rsidP="008D53CE">
      <w:pPr>
        <w:pStyle w:val="Heading1"/>
        <w:spacing w:line="360" w:lineRule="auto"/>
      </w:pPr>
      <w:bookmarkStart w:id="18" w:name="references"/>
      <w:bookmarkEnd w:id="17"/>
      <w:r>
        <w:t>References</w:t>
      </w:r>
    </w:p>
    <w:p w14:paraId="543C9E79" w14:textId="77777777" w:rsidR="0059760D" w:rsidRDefault="00000000" w:rsidP="00557FAC">
      <w:pPr>
        <w:pStyle w:val="Bibliography"/>
        <w:spacing w:line="360" w:lineRule="auto"/>
      </w:pPr>
      <w:bookmarkStart w:id="19" w:name="ref-Barriopedro2023"/>
      <w:bookmarkStart w:id="2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4986312" w14:textId="49884CCB" w:rsidR="0059760D" w:rsidRDefault="00000000" w:rsidP="00557FAC">
      <w:pPr>
        <w:pStyle w:val="Bibliography"/>
        <w:spacing w:line="360" w:lineRule="auto"/>
      </w:pPr>
      <w:bookmarkStart w:id="21" w:name="ref-Perkins-Kirkpatrick2020"/>
      <w:bookmarkEnd w:id="19"/>
      <w:r>
        <w:t xml:space="preserve">2. </w:t>
      </w:r>
      <w:r>
        <w:tab/>
        <w:t xml:space="preserve">Perkins‐Kirkpatrick, S. and Lewis, S.C. (2020) </w:t>
      </w:r>
      <w:hyperlink r:id="rId10">
        <w:r w:rsidR="0059760D">
          <w:rPr>
            <w:rStyle w:val="Hyperlink"/>
          </w:rPr>
          <w:t>Increasing trends in regional heatwaves</w:t>
        </w:r>
      </w:hyperlink>
      <w:r>
        <w:t xml:space="preserve">. </w:t>
      </w:r>
      <w:r>
        <w:rPr>
          <w:i/>
          <w:iCs/>
        </w:rPr>
        <w:t>Nat. Comm.</w:t>
      </w:r>
      <w:r>
        <w:t xml:space="preserve"> 11, 3357</w:t>
      </w:r>
    </w:p>
    <w:p w14:paraId="551D7E95" w14:textId="77777777" w:rsidR="0059760D" w:rsidRDefault="00000000" w:rsidP="00557FAC">
      <w:pPr>
        <w:pStyle w:val="Bibliography"/>
        <w:spacing w:line="360" w:lineRule="auto"/>
      </w:pPr>
      <w:bookmarkStart w:id="22" w:name="ref-Evans2025"/>
      <w:bookmarkEnd w:id="21"/>
      <w:r>
        <w:t xml:space="preserve">3. </w:t>
      </w:r>
      <w:r>
        <w:tab/>
        <w:t xml:space="preserve">Evans, M.E.K. </w:t>
      </w:r>
      <w:r>
        <w:rPr>
          <w:i/>
          <w:iCs/>
        </w:rPr>
        <w:t>et al.</w:t>
      </w:r>
      <w:r>
        <w:t xml:space="preserve"> (2025) </w:t>
      </w:r>
      <w:hyperlink r:id="rId11">
        <w:r w:rsidR="0059760D">
          <w:rPr>
            <w:rStyle w:val="Hyperlink"/>
          </w:rPr>
          <w:t>Scaling plant responses to heat: From molecules to the biosphere</w:t>
        </w:r>
      </w:hyperlink>
      <w:r>
        <w:t xml:space="preserve">. </w:t>
      </w:r>
      <w:r>
        <w:rPr>
          <w:i/>
          <w:iCs/>
        </w:rPr>
        <w:t>Science</w:t>
      </w:r>
      <w:r>
        <w:t xml:space="preserve"> 388, 1167–1173</w:t>
      </w:r>
    </w:p>
    <w:p w14:paraId="678DFA2F" w14:textId="77777777" w:rsidR="0059760D" w:rsidRDefault="00000000" w:rsidP="00557FAC">
      <w:pPr>
        <w:pStyle w:val="Bibliography"/>
        <w:spacing w:line="360" w:lineRule="auto"/>
      </w:pPr>
      <w:bookmarkStart w:id="23" w:name="ref-Margalef-Marrase2020"/>
      <w:bookmarkEnd w:id="22"/>
      <w:r>
        <w:t xml:space="preserve">4. </w:t>
      </w:r>
      <w:r>
        <w:tab/>
        <w:t xml:space="preserve">Margalef-Marrase, J. </w:t>
      </w:r>
      <w:r>
        <w:rPr>
          <w:i/>
          <w:iCs/>
        </w:rPr>
        <w:t>et al.</w:t>
      </w:r>
      <w:r>
        <w:t xml:space="preserve"> (2020) Relationship between heatwave-induced forest die-off and climatic suitability in multiple tree species. </w:t>
      </w:r>
      <w:r>
        <w:rPr>
          <w:i/>
          <w:iCs/>
        </w:rPr>
        <w:t>Glob. Chang. Biol.</w:t>
      </w:r>
      <w:r>
        <w:t xml:space="preserve"> 26, 3134–3146</w:t>
      </w:r>
    </w:p>
    <w:p w14:paraId="4CC3D808" w14:textId="77777777" w:rsidR="0059760D" w:rsidRDefault="00000000" w:rsidP="00557FAC">
      <w:pPr>
        <w:pStyle w:val="Bibliography"/>
        <w:spacing w:line="360" w:lineRule="auto"/>
      </w:pPr>
      <w:bookmarkStart w:id="24" w:name="ref-Kazenel2024"/>
      <w:bookmarkEnd w:id="23"/>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10438785" w14:textId="77777777" w:rsidR="0059760D" w:rsidRDefault="00000000" w:rsidP="00557FAC">
      <w:pPr>
        <w:pStyle w:val="Bibliography"/>
        <w:spacing w:line="360" w:lineRule="auto"/>
      </w:pPr>
      <w:bookmarkStart w:id="25" w:name="ref-Zhao2017"/>
      <w:bookmarkEnd w:id="2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09B2C047" w14:textId="77777777" w:rsidR="0059760D" w:rsidRDefault="00000000" w:rsidP="00557FAC">
      <w:pPr>
        <w:pStyle w:val="Bibliography"/>
        <w:spacing w:line="360" w:lineRule="auto"/>
      </w:pPr>
      <w:bookmarkStart w:id="26" w:name="ref-Tito2018"/>
      <w:bookmarkEnd w:id="25"/>
      <w:r>
        <w:t xml:space="preserve">7. </w:t>
      </w:r>
      <w:r>
        <w:tab/>
        <w:t xml:space="preserve">Tito, R. </w:t>
      </w:r>
      <w:r>
        <w:rPr>
          <w:i/>
          <w:iCs/>
        </w:rPr>
        <w:t>et al.</w:t>
      </w:r>
      <w:r>
        <w:t xml:space="preserve"> (2018) Global climate change increases risk of crop yield losses and food insecurity in the tropical andes. </w:t>
      </w:r>
      <w:r>
        <w:rPr>
          <w:i/>
          <w:iCs/>
        </w:rPr>
        <w:t>Glob. Chang. Biol.</w:t>
      </w:r>
      <w:r>
        <w:t xml:space="preserve"> 24, e592–e602</w:t>
      </w:r>
    </w:p>
    <w:p w14:paraId="298717CB" w14:textId="77777777" w:rsidR="0059760D" w:rsidRDefault="00000000" w:rsidP="00557FAC">
      <w:pPr>
        <w:pStyle w:val="Bibliography"/>
        <w:spacing w:line="360" w:lineRule="auto"/>
      </w:pPr>
      <w:bookmarkStart w:id="27" w:name="ref-Bernacchi2025"/>
      <w:bookmarkEnd w:id="26"/>
      <w:r>
        <w:t xml:space="preserve">8. </w:t>
      </w:r>
      <w:r>
        <w:tab/>
        <w:t xml:space="preserve">Bernacchi, C.J. </w:t>
      </w:r>
      <w:r>
        <w:rPr>
          <w:i/>
          <w:iCs/>
        </w:rPr>
        <w:t>et al.</w:t>
      </w:r>
      <w:r>
        <w:t xml:space="preserve"> (2025) </w:t>
      </w:r>
      <w:hyperlink r:id="rId12">
        <w:r w:rsidR="0059760D">
          <w:rPr>
            <w:rStyle w:val="Hyperlink"/>
          </w:rPr>
          <w:t>Safeguarding crop photosynthesis in a rapidly warming world</w:t>
        </w:r>
      </w:hyperlink>
      <w:r>
        <w:t xml:space="preserve">. </w:t>
      </w:r>
      <w:r>
        <w:rPr>
          <w:i/>
          <w:iCs/>
        </w:rPr>
        <w:t>Science</w:t>
      </w:r>
      <w:r>
        <w:t xml:space="preserve"> 388, 1153–1160</w:t>
      </w:r>
    </w:p>
    <w:p w14:paraId="3EA8A2D5" w14:textId="77777777" w:rsidR="0059760D" w:rsidRDefault="00000000" w:rsidP="00557FAC">
      <w:pPr>
        <w:pStyle w:val="Bibliography"/>
        <w:spacing w:line="360" w:lineRule="auto"/>
      </w:pPr>
      <w:bookmarkStart w:id="28" w:name="ref-Martinez2023"/>
      <w:bookmarkEnd w:id="27"/>
      <w:r>
        <w:t xml:space="preserve">9. </w:t>
      </w:r>
      <w:r>
        <w:tab/>
        <w:t xml:space="preserve">Martinez, L.D. </w:t>
      </w:r>
      <w:r>
        <w:rPr>
          <w:i/>
          <w:iCs/>
        </w:rPr>
        <w:t>et al.</w:t>
      </w:r>
      <w:r>
        <w:t xml:space="preserve"> (2023) </w:t>
      </w:r>
      <w:hyperlink r:id="rId13">
        <w:r w:rsidR="0059760D">
          <w:rPr>
            <w:rStyle w:val="Hyperlink"/>
          </w:rPr>
          <w:t>Effect of simulated heat waves on the behaviour of two mirid predators</w:t>
        </w:r>
      </w:hyperlink>
      <w:r>
        <w:t xml:space="preserve">. </w:t>
      </w:r>
      <w:r>
        <w:rPr>
          <w:i/>
          <w:iCs/>
        </w:rPr>
        <w:t>J. Appl. Entomol.</w:t>
      </w:r>
      <w:r>
        <w:t xml:space="preserve"> 147, 486–498</w:t>
      </w:r>
    </w:p>
    <w:p w14:paraId="667BA848" w14:textId="13CA71EB" w:rsidR="0059760D" w:rsidRDefault="00000000" w:rsidP="00557FAC">
      <w:pPr>
        <w:pStyle w:val="Bibliography"/>
        <w:spacing w:line="360" w:lineRule="auto"/>
      </w:pPr>
      <w:bookmarkStart w:id="29" w:name="ref-Rezende2020"/>
      <w:bookmarkEnd w:id="28"/>
      <w:r>
        <w:t xml:space="preserve">10. </w:t>
      </w:r>
      <w:r>
        <w:tab/>
        <w:t xml:space="preserve">Rezende, E.L. </w:t>
      </w:r>
      <w:r>
        <w:rPr>
          <w:i/>
          <w:iCs/>
        </w:rPr>
        <w:t>et al.</w:t>
      </w:r>
      <w:r>
        <w:t xml:space="preserve"> (2020) </w:t>
      </w:r>
      <w:hyperlink r:id="rId14">
        <w:r w:rsidR="0059760D">
          <w:rPr>
            <w:rStyle w:val="Hyperlink"/>
          </w:rPr>
          <w:t xml:space="preserve">Predicting temperature mortality and selection in natural </w:t>
        </w:r>
        <w:r w:rsidR="009C2521" w:rsidRPr="009C2521">
          <w:rPr>
            <w:rStyle w:val="Hyperlink"/>
            <w:i/>
            <w:iCs/>
          </w:rPr>
          <w:t>D</w:t>
        </w:r>
        <w:r w:rsidR="0059760D" w:rsidRPr="009C2521">
          <w:rPr>
            <w:rStyle w:val="Hyperlink"/>
            <w:i/>
            <w:iCs/>
          </w:rPr>
          <w:t xml:space="preserve">rosophila </w:t>
        </w:r>
        <w:r w:rsidR="0059760D">
          <w:rPr>
            <w:rStyle w:val="Hyperlink"/>
          </w:rPr>
          <w:t>populations</w:t>
        </w:r>
      </w:hyperlink>
      <w:r>
        <w:t xml:space="preserve">. </w:t>
      </w:r>
      <w:r>
        <w:rPr>
          <w:i/>
          <w:iCs/>
        </w:rPr>
        <w:t>Science</w:t>
      </w:r>
      <w:r>
        <w:t xml:space="preserve"> 369, 1242–1245</w:t>
      </w:r>
    </w:p>
    <w:p w14:paraId="30F3C95E" w14:textId="057DF74E" w:rsidR="0059760D" w:rsidRDefault="00000000" w:rsidP="00557FAC">
      <w:pPr>
        <w:pStyle w:val="Bibliography"/>
        <w:spacing w:line="360" w:lineRule="auto"/>
      </w:pPr>
      <w:bookmarkStart w:id="30" w:name="ref-Orsted2024"/>
      <w:bookmarkEnd w:id="29"/>
      <w:r>
        <w:t xml:space="preserve">11. </w:t>
      </w:r>
      <w:r>
        <w:tab/>
        <w:t xml:space="preserve">Ørsted, M. </w:t>
      </w:r>
      <w:r>
        <w:rPr>
          <w:i/>
          <w:iCs/>
        </w:rPr>
        <w:t>et al.</w:t>
      </w:r>
      <w:r>
        <w:t xml:space="preserve"> (2024) Thermal limits of survival and reproduction depend on stress duration: A case study of </w:t>
      </w:r>
      <w:r w:rsidR="00566D54" w:rsidRPr="00566D54">
        <w:rPr>
          <w:i/>
          <w:iCs/>
        </w:rPr>
        <w:t>D</w:t>
      </w:r>
      <w:r w:rsidRPr="00566D54">
        <w:rPr>
          <w:i/>
          <w:iCs/>
        </w:rPr>
        <w:t xml:space="preserve">rosophila </w:t>
      </w:r>
      <w:proofErr w:type="spellStart"/>
      <w:r w:rsidRPr="00566D54">
        <w:rPr>
          <w:i/>
          <w:iCs/>
        </w:rPr>
        <w:t>suzukii</w:t>
      </w:r>
      <w:proofErr w:type="spellEnd"/>
      <w:r>
        <w:t xml:space="preserve">. </w:t>
      </w:r>
      <w:r>
        <w:rPr>
          <w:i/>
          <w:iCs/>
        </w:rPr>
        <w:t>Ecol. Lett.</w:t>
      </w:r>
      <w:r>
        <w:t xml:space="preserve"> 27, e14421</w:t>
      </w:r>
    </w:p>
    <w:p w14:paraId="1380F49E" w14:textId="77777777" w:rsidR="0059760D" w:rsidRDefault="00000000" w:rsidP="00557FAC">
      <w:pPr>
        <w:pStyle w:val="Bibliography"/>
        <w:spacing w:line="360" w:lineRule="auto"/>
      </w:pPr>
      <w:bookmarkStart w:id="31" w:name="ref-Lopez-Goldar2024"/>
      <w:bookmarkEnd w:id="30"/>
      <w:r>
        <w:lastRenderedPageBreak/>
        <w:t xml:space="preserve">12. </w:t>
      </w:r>
      <w:r>
        <w:tab/>
        <w:t xml:space="preserve">López-Goldar, X. </w:t>
      </w:r>
      <w:r>
        <w:rPr>
          <w:i/>
          <w:iCs/>
        </w:rPr>
        <w:t>et al.</w:t>
      </w:r>
      <w:r>
        <w:t xml:space="preserve"> (2024) </w:t>
      </w:r>
      <w:hyperlink r:id="rId15">
        <w:r w:rsidR="0059760D">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5535003A" w14:textId="77777777" w:rsidR="0059760D" w:rsidRDefault="00000000" w:rsidP="00557FAC">
      <w:pPr>
        <w:pStyle w:val="Bibliography"/>
        <w:spacing w:line="360" w:lineRule="auto"/>
      </w:pPr>
      <w:bookmarkStart w:id="32" w:name="ref-Arnold2025a"/>
      <w:bookmarkEnd w:id="31"/>
      <w:r>
        <w:t xml:space="preserve">13. </w:t>
      </w:r>
      <w:r>
        <w:tab/>
        <w:t xml:space="preserve">Arnold, P.A. </w:t>
      </w:r>
      <w:r>
        <w:rPr>
          <w:i/>
          <w:iCs/>
        </w:rPr>
        <w:t>et al.</w:t>
      </w:r>
      <w:r>
        <w:t xml:space="preserve"> (2025) </w:t>
      </w:r>
      <w:hyperlink r:id="rId16">
        <w:r w:rsidR="0059760D">
          <w:rPr>
            <w:rStyle w:val="Hyperlink"/>
          </w:rPr>
          <w:t>A framework for modelling thermal load sensitivity across life</w:t>
        </w:r>
      </w:hyperlink>
      <w:r>
        <w:t xml:space="preserve">. </w:t>
      </w:r>
      <w:r>
        <w:rPr>
          <w:i/>
          <w:iCs/>
        </w:rPr>
        <w:t>Glob. Chang. Biol.</w:t>
      </w:r>
      <w:r>
        <w:t xml:space="preserve"> 31, e70315</w:t>
      </w:r>
    </w:p>
    <w:p w14:paraId="6D569F10" w14:textId="77777777" w:rsidR="0059760D" w:rsidRDefault="00000000" w:rsidP="00557FAC">
      <w:pPr>
        <w:pStyle w:val="Bibliography"/>
        <w:spacing w:line="360" w:lineRule="auto"/>
      </w:pPr>
      <w:bookmarkStart w:id="33" w:name="ref-Trivedi2022"/>
      <w:bookmarkEnd w:id="32"/>
      <w:r>
        <w:t xml:space="preserve">14.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2F211B87" w14:textId="77777777" w:rsidR="0059760D" w:rsidRDefault="00000000" w:rsidP="00557FAC">
      <w:pPr>
        <w:pStyle w:val="Bibliography"/>
        <w:spacing w:line="360" w:lineRule="auto"/>
      </w:pPr>
      <w:bookmarkStart w:id="34" w:name="ref-Bimler2024"/>
      <w:bookmarkEnd w:id="33"/>
      <w:r>
        <w:t xml:space="preserve">15. </w:t>
      </w:r>
      <w:r>
        <w:tab/>
        <w:t xml:space="preserve">Bimler, M.D. </w:t>
      </w:r>
      <w:r>
        <w:rPr>
          <w:i/>
          <w:iCs/>
        </w:rPr>
        <w:t>et al.</w:t>
      </w:r>
      <w:r>
        <w:t xml:space="preserve"> (2024) </w:t>
      </w:r>
      <w:hyperlink r:id="rId17">
        <w:r w:rsidR="0059760D">
          <w:rPr>
            <w:rStyle w:val="Hyperlink"/>
          </w:rPr>
          <w:t>Plant interaction networks reveal the limits of our understanding of diversity maintenance</w:t>
        </w:r>
      </w:hyperlink>
      <w:r>
        <w:t xml:space="preserve">. </w:t>
      </w:r>
      <w:r>
        <w:rPr>
          <w:i/>
          <w:iCs/>
        </w:rPr>
        <w:t>Ecol. Lett.</w:t>
      </w:r>
      <w:r>
        <w:t xml:space="preserve"> 27, e14376</w:t>
      </w:r>
    </w:p>
    <w:p w14:paraId="2429E77B" w14:textId="77777777" w:rsidR="0059760D" w:rsidRDefault="00000000" w:rsidP="00557FAC">
      <w:pPr>
        <w:pStyle w:val="Bibliography"/>
        <w:spacing w:line="360" w:lineRule="auto"/>
      </w:pPr>
      <w:bookmarkStart w:id="35" w:name="ref-Chesson2000"/>
      <w:bookmarkEnd w:id="34"/>
      <w:r>
        <w:t xml:space="preserve">16. </w:t>
      </w:r>
      <w:r>
        <w:tab/>
        <w:t xml:space="preserve">Chesson, P. (2000) </w:t>
      </w:r>
      <w:hyperlink r:id="rId18">
        <w:r w:rsidR="0059760D">
          <w:rPr>
            <w:rStyle w:val="Hyperlink"/>
          </w:rPr>
          <w:t>General theory of competitive coexistence in spatially-varying environments</w:t>
        </w:r>
      </w:hyperlink>
      <w:r>
        <w:t xml:space="preserve">. </w:t>
      </w:r>
      <w:r>
        <w:rPr>
          <w:i/>
          <w:iCs/>
        </w:rPr>
        <w:t>Theor. Popul. Biol.</w:t>
      </w:r>
      <w:r>
        <w:t xml:space="preserve"> 58, 211–237</w:t>
      </w:r>
    </w:p>
    <w:p w14:paraId="76A22090" w14:textId="77777777" w:rsidR="0059760D" w:rsidRDefault="00000000" w:rsidP="00557FAC">
      <w:pPr>
        <w:pStyle w:val="Bibliography"/>
        <w:spacing w:line="360" w:lineRule="auto"/>
      </w:pPr>
      <w:bookmarkStart w:id="36" w:name="ref-Dicks2021"/>
      <w:bookmarkEnd w:id="35"/>
      <w:r>
        <w:t xml:space="preserve">17. </w:t>
      </w:r>
      <w:r>
        <w:tab/>
        <w:t xml:space="preserve">Dicks, L.V. </w:t>
      </w:r>
      <w:r>
        <w:rPr>
          <w:i/>
          <w:iCs/>
        </w:rPr>
        <w:t>et al.</w:t>
      </w:r>
      <w:r>
        <w:t xml:space="preserve"> (2021) </w:t>
      </w:r>
      <w:hyperlink r:id="rId19">
        <w:r w:rsidR="0059760D">
          <w:rPr>
            <w:rStyle w:val="Hyperlink"/>
          </w:rPr>
          <w:t>A global-scale expert assessment of drivers and risks associated with pollinator decline</w:t>
        </w:r>
      </w:hyperlink>
      <w:r>
        <w:t xml:space="preserve">. </w:t>
      </w:r>
      <w:r>
        <w:rPr>
          <w:i/>
          <w:iCs/>
        </w:rPr>
        <w:t>Nat. Ecol. Evol.</w:t>
      </w:r>
      <w:r>
        <w:t xml:space="preserve"> 5, 1453–1461</w:t>
      </w:r>
    </w:p>
    <w:p w14:paraId="44C82E12" w14:textId="11A9DB2E" w:rsidR="0059760D" w:rsidRDefault="00000000" w:rsidP="00557FAC">
      <w:pPr>
        <w:pStyle w:val="Bibliography"/>
        <w:spacing w:line="360" w:lineRule="auto"/>
      </w:pPr>
      <w:bookmarkStart w:id="37" w:name="ref-Kooijman2010"/>
      <w:bookmarkEnd w:id="36"/>
      <w:r>
        <w:t xml:space="preserve">18. </w:t>
      </w:r>
      <w:r>
        <w:tab/>
        <w:t xml:space="preserve">Kooijman, S.A.L.M. (2010) </w:t>
      </w:r>
      <w:r w:rsidRPr="00E21548">
        <w:t xml:space="preserve">Dynamic energy budget theory for metabolic </w:t>
      </w:r>
      <w:proofErr w:type="spellStart"/>
      <w:r w:rsidRPr="00E21548">
        <w:t>organisation</w:t>
      </w:r>
      <w:proofErr w:type="spellEnd"/>
      <w:r>
        <w:t xml:space="preserve">, Cambridge </w:t>
      </w:r>
      <w:r w:rsidR="008335D7">
        <w:t>U</w:t>
      </w:r>
      <w:r>
        <w:t xml:space="preserve">niversity </w:t>
      </w:r>
      <w:r w:rsidR="008335D7">
        <w:t>P</w:t>
      </w:r>
      <w:r>
        <w:t>ress</w:t>
      </w:r>
      <w:r w:rsidR="008335D7">
        <w:t>.</w:t>
      </w:r>
    </w:p>
    <w:p w14:paraId="4E9C48D2" w14:textId="77777777" w:rsidR="0059760D" w:rsidRDefault="00000000" w:rsidP="00557FAC">
      <w:pPr>
        <w:pStyle w:val="Bibliography"/>
        <w:spacing w:line="360" w:lineRule="auto"/>
      </w:pPr>
      <w:bookmarkStart w:id="38" w:name="ref-Kearney2009b"/>
      <w:bookmarkEnd w:id="37"/>
      <w:r>
        <w:t xml:space="preserve">19. </w:t>
      </w:r>
      <w:r>
        <w:tab/>
        <w:t xml:space="preserve">Kearney, M. and Porter, W. (2009) Mechanistic niche modelling: Combining physiological and spatial data to predict species’ ranges. </w:t>
      </w:r>
      <w:r>
        <w:rPr>
          <w:i/>
          <w:iCs/>
        </w:rPr>
        <w:t>Ecol. Lett.</w:t>
      </w:r>
      <w:r>
        <w:t xml:space="preserve"> 12, 334–350</w:t>
      </w:r>
    </w:p>
    <w:p w14:paraId="5CA289C9" w14:textId="77777777" w:rsidR="0059760D" w:rsidRDefault="00000000" w:rsidP="00557FAC">
      <w:pPr>
        <w:pStyle w:val="Bibliography"/>
        <w:spacing w:line="360" w:lineRule="auto"/>
      </w:pPr>
      <w:bookmarkStart w:id="39" w:name="ref-Kearney2024"/>
      <w:bookmarkEnd w:id="38"/>
      <w:r>
        <w:t xml:space="preserve">20. </w:t>
      </w:r>
      <w:r>
        <w:tab/>
        <w:t xml:space="preserve">Kearney, M.R. and Leigh, A. (2024) </w:t>
      </w:r>
      <w:hyperlink r:id="rId20">
        <w:r w:rsidR="0059760D">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628CDAA1" w14:textId="77777777" w:rsidR="0059760D" w:rsidRDefault="00000000" w:rsidP="00557FAC">
      <w:pPr>
        <w:pStyle w:val="Bibliography"/>
        <w:spacing w:line="360" w:lineRule="auto"/>
      </w:pPr>
      <w:bookmarkStart w:id="40" w:name="ref-Briscoe2023"/>
      <w:bookmarkEnd w:id="39"/>
      <w:r>
        <w:t xml:space="preserve">21. </w:t>
      </w:r>
      <w:r>
        <w:tab/>
        <w:t xml:space="preserve">Briscoe, N.J. </w:t>
      </w:r>
      <w:r>
        <w:rPr>
          <w:i/>
          <w:iCs/>
        </w:rPr>
        <w:t>et al.</w:t>
      </w:r>
      <w:r>
        <w:t xml:space="preserve"> (2023) Mechanistic forecasts of species responses to climate change: The promise of biophysical ecology. </w:t>
      </w:r>
      <w:r>
        <w:rPr>
          <w:i/>
          <w:iCs/>
        </w:rPr>
        <w:t>Glob. Chang. Biol.</w:t>
      </w:r>
      <w:r>
        <w:t xml:space="preserve"> 29, 1451–1470</w:t>
      </w:r>
    </w:p>
    <w:p w14:paraId="50AC40EF" w14:textId="77777777" w:rsidR="0059760D" w:rsidRDefault="00000000" w:rsidP="00557FAC">
      <w:pPr>
        <w:pStyle w:val="Bibliography"/>
        <w:spacing w:line="360" w:lineRule="auto"/>
      </w:pPr>
      <w:bookmarkStart w:id="41" w:name="ref-Rezende2014"/>
      <w:bookmarkEnd w:id="40"/>
      <w:r>
        <w:t xml:space="preserve">22. </w:t>
      </w:r>
      <w:r>
        <w:tab/>
        <w:t xml:space="preserve">Rezende, E.L. </w:t>
      </w:r>
      <w:r>
        <w:rPr>
          <w:i/>
          <w:iCs/>
        </w:rPr>
        <w:t>et al.</w:t>
      </w:r>
      <w:r>
        <w:t xml:space="preserve"> (2014) </w:t>
      </w:r>
      <w:hyperlink r:id="rId21">
        <w:r w:rsidR="0059760D">
          <w:rPr>
            <w:rStyle w:val="Hyperlink"/>
          </w:rPr>
          <w:t>Tolerance landscapes in thermal ecology</w:t>
        </w:r>
      </w:hyperlink>
      <w:r>
        <w:t xml:space="preserve">. </w:t>
      </w:r>
      <w:r>
        <w:rPr>
          <w:i/>
          <w:iCs/>
        </w:rPr>
        <w:t>Funct. Ecol.</w:t>
      </w:r>
      <w:r>
        <w:t xml:space="preserve"> 28, 799–809</w:t>
      </w:r>
    </w:p>
    <w:p w14:paraId="7B43E09F" w14:textId="77777777" w:rsidR="0059760D" w:rsidRDefault="00000000" w:rsidP="00557FAC">
      <w:pPr>
        <w:pStyle w:val="Bibliography"/>
        <w:spacing w:line="360" w:lineRule="auto"/>
      </w:pPr>
      <w:bookmarkStart w:id="42" w:name="ref-Bimler2018"/>
      <w:bookmarkEnd w:id="41"/>
      <w:r>
        <w:t xml:space="preserve">23. </w:t>
      </w:r>
      <w:r>
        <w:tab/>
        <w:t xml:space="preserve">Bimler, M.D. </w:t>
      </w:r>
      <w:r>
        <w:rPr>
          <w:i/>
          <w:iCs/>
        </w:rPr>
        <w:t>et al.</w:t>
      </w:r>
      <w:r>
        <w:t xml:space="preserve"> (2018) </w:t>
      </w:r>
      <w:hyperlink r:id="rId22">
        <w:r w:rsidR="0059760D">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760D1EC2" w14:textId="77777777" w:rsidR="0059760D" w:rsidRDefault="00000000" w:rsidP="00557FAC">
      <w:pPr>
        <w:pStyle w:val="Bibliography"/>
        <w:spacing w:line="360" w:lineRule="auto"/>
      </w:pPr>
      <w:bookmarkStart w:id="43" w:name="ref-Bowler2022"/>
      <w:bookmarkEnd w:id="42"/>
      <w:r>
        <w:t xml:space="preserve">24. </w:t>
      </w:r>
      <w:r>
        <w:tab/>
        <w:t xml:space="preserve">Bowler, C.H. </w:t>
      </w:r>
      <w:r>
        <w:rPr>
          <w:i/>
          <w:iCs/>
        </w:rPr>
        <w:t>et al.</w:t>
      </w:r>
      <w:r>
        <w:t xml:space="preserve"> (2022) </w:t>
      </w:r>
      <w:hyperlink r:id="rId23">
        <w:r w:rsidR="0059760D">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061E100" w14:textId="77777777" w:rsidR="0059760D" w:rsidRDefault="00000000" w:rsidP="00557FAC">
      <w:pPr>
        <w:pStyle w:val="Bibliography"/>
        <w:spacing w:line="360" w:lineRule="auto"/>
      </w:pPr>
      <w:bookmarkStart w:id="44" w:name="ref-Kearney2017"/>
      <w:bookmarkEnd w:id="43"/>
      <w:r>
        <w:t xml:space="preserve">25. </w:t>
      </w:r>
      <w:r>
        <w:tab/>
        <w:t xml:space="preserve">Kearney, M.R. and Porter, W.P. (2017) </w:t>
      </w:r>
      <w:hyperlink r:id="rId24">
        <w:r w:rsidR="0059760D">
          <w:rPr>
            <w:rStyle w:val="Hyperlink"/>
          </w:rPr>
          <w:t>NicheMapR – an R package for biophysical modelling: The microclimate model</w:t>
        </w:r>
      </w:hyperlink>
      <w:r>
        <w:t xml:space="preserve">. </w:t>
      </w:r>
      <w:r>
        <w:rPr>
          <w:i/>
          <w:iCs/>
        </w:rPr>
        <w:t>Ecography (Cop.)</w:t>
      </w:r>
      <w:r>
        <w:t xml:space="preserve"> 40, 664–674</w:t>
      </w:r>
    </w:p>
    <w:p w14:paraId="7601A5D2" w14:textId="77777777" w:rsidR="0059760D" w:rsidRDefault="00000000" w:rsidP="00557FAC">
      <w:pPr>
        <w:pStyle w:val="Bibliography"/>
        <w:spacing w:line="360" w:lineRule="auto"/>
      </w:pPr>
      <w:bookmarkStart w:id="45" w:name="ref-Maclean2019"/>
      <w:bookmarkEnd w:id="44"/>
      <w:r>
        <w:lastRenderedPageBreak/>
        <w:t xml:space="preserve">26. </w:t>
      </w:r>
      <w:r>
        <w:tab/>
        <w:t xml:space="preserve">Maclean, I.M.D. </w:t>
      </w:r>
      <w:r>
        <w:rPr>
          <w:i/>
          <w:iCs/>
        </w:rPr>
        <w:t>et al.</w:t>
      </w:r>
      <w:r>
        <w:t xml:space="preserve"> (2019) </w:t>
      </w:r>
      <w:hyperlink r:id="rId25">
        <w:r w:rsidR="0059760D">
          <w:rPr>
            <w:rStyle w:val="Hyperlink"/>
          </w:rPr>
          <w:t>Microclima: An R package for modelling meso‐ and microclimate</w:t>
        </w:r>
      </w:hyperlink>
      <w:r>
        <w:t xml:space="preserve">. </w:t>
      </w:r>
      <w:r>
        <w:rPr>
          <w:i/>
          <w:iCs/>
        </w:rPr>
        <w:t>Methods Ecol. Evol.</w:t>
      </w:r>
      <w:r>
        <w:t xml:space="preserve"> 10, 280–290</w:t>
      </w:r>
    </w:p>
    <w:p w14:paraId="38436DFD" w14:textId="77777777" w:rsidR="0059760D" w:rsidRDefault="00000000" w:rsidP="00557FAC">
      <w:pPr>
        <w:pStyle w:val="Bibliography"/>
        <w:spacing w:line="360" w:lineRule="auto"/>
      </w:pPr>
      <w:bookmarkStart w:id="46" w:name="ref-Kearney2020"/>
      <w:bookmarkEnd w:id="45"/>
      <w:r>
        <w:t xml:space="preserve">27. </w:t>
      </w:r>
      <w:r>
        <w:tab/>
        <w:t xml:space="preserve">Kearney, M.R. </w:t>
      </w:r>
      <w:r>
        <w:rPr>
          <w:i/>
          <w:iCs/>
        </w:rPr>
        <w:t>et al.</w:t>
      </w:r>
      <w:r>
        <w:t xml:space="preserve"> (2020) </w:t>
      </w:r>
      <w:hyperlink r:id="rId26">
        <w:r w:rsidR="0059760D">
          <w:rPr>
            <w:rStyle w:val="Hyperlink"/>
          </w:rPr>
          <w:t>A method for computing hourly, historical, terrain‐corrected microclimate anywhere on earth</w:t>
        </w:r>
      </w:hyperlink>
      <w:r>
        <w:t xml:space="preserve">. </w:t>
      </w:r>
      <w:r>
        <w:rPr>
          <w:i/>
          <w:iCs/>
        </w:rPr>
        <w:t>Methods Ecol. Evol.</w:t>
      </w:r>
      <w:r>
        <w:t xml:space="preserve"> 11, 38–43</w:t>
      </w:r>
    </w:p>
    <w:p w14:paraId="0DDF50C4" w14:textId="77777777" w:rsidR="0059760D" w:rsidRDefault="00000000" w:rsidP="00557FAC">
      <w:pPr>
        <w:pStyle w:val="Bibliography"/>
        <w:spacing w:line="360" w:lineRule="auto"/>
      </w:pPr>
      <w:bookmarkStart w:id="47" w:name="ref-Maclean2021"/>
      <w:bookmarkEnd w:id="46"/>
      <w:r>
        <w:t xml:space="preserve">28. </w:t>
      </w:r>
      <w:r>
        <w:tab/>
        <w:t xml:space="preserve">Maclean, I.M.D. </w:t>
      </w:r>
      <w:r>
        <w:rPr>
          <w:i/>
          <w:iCs/>
        </w:rPr>
        <w:t>et al.</w:t>
      </w:r>
      <w:r>
        <w:t xml:space="preserve"> (2021) </w:t>
      </w:r>
      <w:hyperlink r:id="rId27">
        <w:r w:rsidR="0059760D">
          <w:rPr>
            <w:rStyle w:val="Hyperlink"/>
          </w:rPr>
          <w:t>On the measurement of microclimate</w:t>
        </w:r>
      </w:hyperlink>
      <w:r>
        <w:t xml:space="preserve">. </w:t>
      </w:r>
      <w:r>
        <w:rPr>
          <w:i/>
          <w:iCs/>
        </w:rPr>
        <w:t>Methods Ecol. Evol.</w:t>
      </w:r>
      <w:r>
        <w:t xml:space="preserve"> 12, 1397–1410</w:t>
      </w:r>
    </w:p>
    <w:p w14:paraId="4B2A181D" w14:textId="77777777" w:rsidR="0059760D" w:rsidRDefault="00000000" w:rsidP="00557FAC">
      <w:pPr>
        <w:pStyle w:val="Bibliography"/>
        <w:spacing w:line="360" w:lineRule="auto"/>
      </w:pPr>
      <w:bookmarkStart w:id="48" w:name="ref-Buckley2023"/>
      <w:bookmarkEnd w:id="47"/>
      <w:r>
        <w:t xml:space="preserve">29. </w:t>
      </w:r>
      <w:r>
        <w:tab/>
        <w:t xml:space="preserve">Buckley, L.B. </w:t>
      </w:r>
      <w:r>
        <w:rPr>
          <w:i/>
          <w:iCs/>
        </w:rPr>
        <w:t>et al.</w:t>
      </w:r>
      <w:r>
        <w:t xml:space="preserve"> (2023) </w:t>
      </w:r>
      <w:hyperlink r:id="rId28">
        <w:r w:rsidR="0059760D">
          <w:rPr>
            <w:rStyle w:val="Hyperlink"/>
          </w:rPr>
          <w:t>TrenchR: An R package for modular and accessible microclimate and biophysical ecology</w:t>
        </w:r>
      </w:hyperlink>
      <w:r>
        <w:t xml:space="preserve">. </w:t>
      </w:r>
      <w:r>
        <w:rPr>
          <w:i/>
          <w:iCs/>
        </w:rPr>
        <w:t>PLOS Clim</w:t>
      </w:r>
      <w:r>
        <w:t xml:space="preserve"> 2, e0000139</w:t>
      </w:r>
    </w:p>
    <w:p w14:paraId="28EBF11F" w14:textId="48C43953" w:rsidR="0059760D" w:rsidRDefault="00000000" w:rsidP="00557FAC">
      <w:pPr>
        <w:pStyle w:val="Bibliography"/>
        <w:spacing w:line="360" w:lineRule="auto"/>
      </w:pPr>
      <w:bookmarkStart w:id="49" w:name="ref-Bramer2018"/>
      <w:bookmarkEnd w:id="48"/>
      <w:r>
        <w:t xml:space="preserve">30. </w:t>
      </w:r>
      <w:r>
        <w:tab/>
        <w:t xml:space="preserve">Bramer, I. </w:t>
      </w:r>
      <w:r>
        <w:rPr>
          <w:i/>
          <w:iCs/>
        </w:rPr>
        <w:t>et al.</w:t>
      </w:r>
      <w:r>
        <w:t xml:space="preserve"> (2018) Advances in monitoring and modelling climate at ecologically relevant scales. </w:t>
      </w:r>
      <w:r>
        <w:rPr>
          <w:i/>
          <w:iCs/>
        </w:rPr>
        <w:t>Ad</w:t>
      </w:r>
      <w:r w:rsidR="001F534E">
        <w:rPr>
          <w:i/>
          <w:iCs/>
        </w:rPr>
        <w:t>v.</w:t>
      </w:r>
      <w:r>
        <w:rPr>
          <w:i/>
          <w:iCs/>
        </w:rPr>
        <w:t xml:space="preserve"> Ecol</w:t>
      </w:r>
      <w:r w:rsidR="001F534E">
        <w:rPr>
          <w:i/>
          <w:iCs/>
        </w:rPr>
        <w:t>.</w:t>
      </w:r>
      <w:r>
        <w:rPr>
          <w:i/>
          <w:iCs/>
        </w:rPr>
        <w:t xml:space="preserve"> Res</w:t>
      </w:r>
      <w:r w:rsidR="001F534E">
        <w:rPr>
          <w:i/>
          <w:iCs/>
        </w:rPr>
        <w:t>.</w:t>
      </w:r>
      <w:r>
        <w:t xml:space="preserve"> 58, 101–161</w:t>
      </w:r>
    </w:p>
    <w:p w14:paraId="7E8DEAE7" w14:textId="77777777" w:rsidR="0059760D" w:rsidRDefault="00000000" w:rsidP="00557FAC">
      <w:pPr>
        <w:pStyle w:val="Bibliography"/>
        <w:spacing w:line="360" w:lineRule="auto"/>
      </w:pPr>
      <w:bookmarkStart w:id="50" w:name="ref-Levy2016"/>
      <w:bookmarkEnd w:id="49"/>
      <w:r>
        <w:t xml:space="preserve">31. </w:t>
      </w:r>
      <w:r>
        <w:tab/>
        <w:t xml:space="preserve">Levy, O. </w:t>
      </w:r>
      <w:r>
        <w:rPr>
          <w:i/>
          <w:iCs/>
        </w:rPr>
        <w:t>et al.</w:t>
      </w:r>
      <w:r>
        <w:t xml:space="preserve"> (2016) </w:t>
      </w:r>
      <w:hyperlink r:id="rId29">
        <w:r w:rsidR="0059760D">
          <w:rPr>
            <w:rStyle w:val="Hyperlink"/>
          </w:rPr>
          <w:t>A dynamically downscaled projection of past and future microclimates</w:t>
        </w:r>
      </w:hyperlink>
      <w:r>
        <w:t xml:space="preserve">. </w:t>
      </w:r>
      <w:r>
        <w:rPr>
          <w:i/>
          <w:iCs/>
        </w:rPr>
        <w:t>Ecology</w:t>
      </w:r>
      <w:r>
        <w:t xml:space="preserve"> 97, 1888–1888</w:t>
      </w:r>
    </w:p>
    <w:p w14:paraId="2579AC69" w14:textId="77777777" w:rsidR="0059760D" w:rsidRDefault="00000000" w:rsidP="00557FAC">
      <w:pPr>
        <w:pStyle w:val="Bibliography"/>
        <w:spacing w:line="360" w:lineRule="auto"/>
      </w:pPr>
      <w:bookmarkStart w:id="51" w:name="ref-Choi2019"/>
      <w:bookmarkEnd w:id="50"/>
      <w:r>
        <w:t xml:space="preserve">32. </w:t>
      </w:r>
      <w:r>
        <w:tab/>
        <w:t xml:space="preserve">Choi, F. </w:t>
      </w:r>
      <w:r>
        <w:rPr>
          <w:i/>
          <w:iCs/>
        </w:rPr>
        <w:t>et al.</w:t>
      </w:r>
      <w:r>
        <w:t xml:space="preserve"> (2019) </w:t>
      </w:r>
      <w:hyperlink r:id="rId30">
        <w:r w:rsidR="0059760D">
          <w:rPr>
            <w:rStyle w:val="Hyperlink"/>
          </w:rPr>
          <w:t>Mapping physiology: Biophysical mechanisms define scales of climate change impacts</w:t>
        </w:r>
      </w:hyperlink>
      <w:r>
        <w:t xml:space="preserve">. </w:t>
      </w:r>
      <w:r>
        <w:rPr>
          <w:i/>
          <w:iCs/>
        </w:rPr>
        <w:t>Conserv. Physiol.</w:t>
      </w:r>
      <w:r>
        <w:t xml:space="preserve"> 7, coz028</w:t>
      </w:r>
    </w:p>
    <w:p w14:paraId="47D801CD" w14:textId="0CDA2370" w:rsidR="0059760D" w:rsidRDefault="00000000" w:rsidP="00557FAC">
      <w:pPr>
        <w:pStyle w:val="Bibliography"/>
        <w:spacing w:line="360" w:lineRule="auto"/>
      </w:pPr>
      <w:bookmarkStart w:id="52" w:name="ref-Lorenz2010"/>
      <w:bookmarkEnd w:id="51"/>
      <w:r>
        <w:t xml:space="preserve">33. </w:t>
      </w:r>
      <w:r>
        <w:tab/>
        <w:t xml:space="preserve">Lorenz, R. </w:t>
      </w:r>
      <w:r>
        <w:rPr>
          <w:i/>
          <w:iCs/>
        </w:rPr>
        <w:t>et al.</w:t>
      </w:r>
      <w:r>
        <w:t xml:space="preserve"> (2010) </w:t>
      </w:r>
      <w:hyperlink r:id="rId31">
        <w:r w:rsidR="0059760D">
          <w:rPr>
            <w:rStyle w:val="Hyperlink"/>
          </w:rPr>
          <w:t>Persistence of heat waves and its link to soil moisture memory</w:t>
        </w:r>
      </w:hyperlink>
      <w:r>
        <w:t xml:space="preserve">. </w:t>
      </w:r>
      <w:r>
        <w:rPr>
          <w:i/>
          <w:iCs/>
        </w:rPr>
        <w:t>Geophys. Res. Lett.</w:t>
      </w:r>
      <w:r>
        <w:t xml:space="preserve"> 37</w:t>
      </w:r>
      <w:r w:rsidR="00765644">
        <w:t>, L09703</w:t>
      </w:r>
    </w:p>
    <w:p w14:paraId="44C9DE27" w14:textId="5009F8A1" w:rsidR="0059760D" w:rsidRDefault="00000000" w:rsidP="00557FAC">
      <w:pPr>
        <w:pStyle w:val="Bibliography"/>
        <w:spacing w:line="360" w:lineRule="auto"/>
      </w:pPr>
      <w:bookmarkStart w:id="53" w:name="ref-De_Frenne2024"/>
      <w:bookmarkEnd w:id="52"/>
      <w:r>
        <w:t xml:space="preserve">34. </w:t>
      </w:r>
      <w:r>
        <w:tab/>
        <w:t xml:space="preserve">De Frenne, P. </w:t>
      </w:r>
      <w:r>
        <w:rPr>
          <w:i/>
          <w:iCs/>
        </w:rPr>
        <w:t>et al.</w:t>
      </w:r>
      <w:r>
        <w:t xml:space="preserve"> (2024) Ten practical guidelines for microclimate research in terrestrial ecosystems. </w:t>
      </w:r>
      <w:r>
        <w:rPr>
          <w:i/>
          <w:iCs/>
        </w:rPr>
        <w:t>Methods Ecol. Evol.</w:t>
      </w:r>
      <w:r>
        <w:t xml:space="preserve"> </w:t>
      </w:r>
      <w:r w:rsidR="004904DE">
        <w:t xml:space="preserve">16, </w:t>
      </w:r>
      <w:r w:rsidR="004904DE" w:rsidRPr="004904DE">
        <w:t>269-294</w:t>
      </w:r>
    </w:p>
    <w:p w14:paraId="0F5C5F5A" w14:textId="77777777" w:rsidR="0059760D" w:rsidRDefault="00000000" w:rsidP="00557FAC">
      <w:pPr>
        <w:pStyle w:val="Bibliography"/>
        <w:spacing w:line="360" w:lineRule="auto"/>
      </w:pPr>
      <w:bookmarkStart w:id="54" w:name="ref-Meyer2023"/>
      <w:bookmarkEnd w:id="53"/>
      <w:r>
        <w:t xml:space="preserve">35. </w:t>
      </w:r>
      <w:r>
        <w:tab/>
        <w:t xml:space="preserve">Meyer, A.V. </w:t>
      </w:r>
      <w:r>
        <w:rPr>
          <w:i/>
          <w:iCs/>
        </w:rPr>
        <w:t>et al.</w:t>
      </w:r>
      <w:r>
        <w:t xml:space="preserve"> (2023) </w:t>
      </w:r>
      <w:hyperlink r:id="rId32">
        <w:r w:rsidR="0059760D">
          <w:rPr>
            <w:rStyle w:val="Hyperlink"/>
          </w:rPr>
          <w:t>A guide and tools for selecting and accessing microclimate data for mechanistic niche modeling</w:t>
        </w:r>
      </w:hyperlink>
      <w:r>
        <w:t xml:space="preserve">. </w:t>
      </w:r>
      <w:r>
        <w:rPr>
          <w:i/>
          <w:iCs/>
        </w:rPr>
        <w:t>Ecosphere</w:t>
      </w:r>
      <w:r>
        <w:t xml:space="preserve"> 14, e4506</w:t>
      </w:r>
    </w:p>
    <w:p w14:paraId="65C2C9B9" w14:textId="77777777" w:rsidR="0059760D" w:rsidRDefault="00000000" w:rsidP="00557FAC">
      <w:pPr>
        <w:pStyle w:val="Bibliography"/>
        <w:spacing w:line="360" w:lineRule="auto"/>
      </w:pPr>
      <w:bookmarkStart w:id="55" w:name="ref-Klinges2025"/>
      <w:bookmarkEnd w:id="54"/>
      <w:r>
        <w:t xml:space="preserve">36. </w:t>
      </w:r>
      <w:r>
        <w:tab/>
        <w:t xml:space="preserve">Klinges, D.H. </w:t>
      </w:r>
      <w:r>
        <w:rPr>
          <w:i/>
          <w:iCs/>
        </w:rPr>
        <w:t>et al.</w:t>
      </w:r>
      <w:r>
        <w:t xml:space="preserve"> (2025) Matching climate to biological scales. </w:t>
      </w:r>
      <w:r>
        <w:rPr>
          <w:i/>
          <w:iCs/>
        </w:rPr>
        <w:t>Trends Ecol. Evol.</w:t>
      </w:r>
      <w:r>
        <w:t xml:space="preserve"> in press</w:t>
      </w:r>
    </w:p>
    <w:p w14:paraId="7CC1A9BA" w14:textId="77777777" w:rsidR="0059760D" w:rsidRDefault="00000000" w:rsidP="00557FAC">
      <w:pPr>
        <w:pStyle w:val="Bibliography"/>
        <w:spacing w:line="360" w:lineRule="auto"/>
      </w:pPr>
      <w:bookmarkStart w:id="56" w:name="ref-Hirsch2019"/>
      <w:bookmarkEnd w:id="55"/>
      <w:r>
        <w:t xml:space="preserve">37. </w:t>
      </w:r>
      <w:r>
        <w:tab/>
        <w:t xml:space="preserve">Hirsch, A.L. </w:t>
      </w:r>
      <w:r>
        <w:rPr>
          <w:i/>
          <w:iCs/>
        </w:rPr>
        <w:t>et al.</w:t>
      </w:r>
      <w:r>
        <w:t xml:space="preserve"> (2019) </w:t>
      </w:r>
      <w:hyperlink r:id="rId33">
        <w:r w:rsidR="0059760D">
          <w:rPr>
            <w:rStyle w:val="Hyperlink"/>
          </w:rPr>
          <w:t>Amplification of australian heatwaves via local land‐atmosphere coupling</w:t>
        </w:r>
      </w:hyperlink>
      <w:r>
        <w:t xml:space="preserve">. </w:t>
      </w:r>
      <w:r>
        <w:rPr>
          <w:i/>
          <w:iCs/>
        </w:rPr>
        <w:t>J. Geophys. Res.</w:t>
      </w:r>
      <w:r>
        <w:t xml:space="preserve"> 124, 13625–13647</w:t>
      </w:r>
    </w:p>
    <w:p w14:paraId="2C993783" w14:textId="77777777" w:rsidR="0059760D" w:rsidRDefault="00000000" w:rsidP="00557FAC">
      <w:pPr>
        <w:pStyle w:val="Bibliography"/>
        <w:spacing w:line="360" w:lineRule="auto"/>
      </w:pPr>
      <w:bookmarkStart w:id="57" w:name="ref-Drake2018"/>
      <w:bookmarkEnd w:id="56"/>
      <w:r>
        <w:t xml:space="preserve">38. </w:t>
      </w:r>
      <w:r>
        <w:tab/>
        <w:t xml:space="preserve">Drake, J.E. </w:t>
      </w:r>
      <w:r>
        <w:rPr>
          <w:i/>
          <w:iCs/>
        </w:rPr>
        <w:t>et al.</w:t>
      </w:r>
      <w:r>
        <w:t xml:space="preserve"> (2018) </w:t>
      </w:r>
      <w:hyperlink r:id="rId34">
        <w:r w:rsidR="0059760D">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0CF368A5" w14:textId="77777777" w:rsidR="0059760D" w:rsidRDefault="00000000" w:rsidP="00557FAC">
      <w:pPr>
        <w:pStyle w:val="Bibliography"/>
        <w:spacing w:line="360" w:lineRule="auto"/>
      </w:pPr>
      <w:bookmarkStart w:id="58" w:name="ref-Holzworth2018"/>
      <w:bookmarkEnd w:id="57"/>
      <w:r>
        <w:t xml:space="preserve">39. </w:t>
      </w:r>
      <w:r>
        <w:tab/>
        <w:t xml:space="preserve">Holzworth, D. </w:t>
      </w:r>
      <w:r>
        <w:rPr>
          <w:i/>
          <w:iCs/>
        </w:rPr>
        <w:t>et al.</w:t>
      </w:r>
      <w:r>
        <w:t xml:space="preserve"> (2018) </w:t>
      </w:r>
      <w:hyperlink r:id="rId35">
        <w:r w:rsidR="0059760D">
          <w:rPr>
            <w:rStyle w:val="Hyperlink"/>
          </w:rPr>
          <w:t>APSIM next generation: Overcoming challenges in modernising a farming systems model</w:t>
        </w:r>
      </w:hyperlink>
      <w:r>
        <w:t xml:space="preserve">. </w:t>
      </w:r>
      <w:r>
        <w:rPr>
          <w:i/>
          <w:iCs/>
        </w:rPr>
        <w:t>Environ. Model. Softw.</w:t>
      </w:r>
      <w:r>
        <w:t xml:space="preserve"> 103, 43–51</w:t>
      </w:r>
    </w:p>
    <w:p w14:paraId="7102436D" w14:textId="77777777" w:rsidR="0059760D" w:rsidRDefault="00000000" w:rsidP="00557FAC">
      <w:pPr>
        <w:pStyle w:val="Bibliography"/>
        <w:spacing w:line="360" w:lineRule="auto"/>
      </w:pPr>
      <w:bookmarkStart w:id="59" w:name="ref-Medlyn2011"/>
      <w:bookmarkEnd w:id="58"/>
      <w:r>
        <w:lastRenderedPageBreak/>
        <w:t xml:space="preserve">40. </w:t>
      </w:r>
      <w:r>
        <w:tab/>
        <w:t xml:space="preserve">Medlyn, B.E. </w:t>
      </w:r>
      <w:r>
        <w:rPr>
          <w:i/>
          <w:iCs/>
        </w:rPr>
        <w:t>et al.</w:t>
      </w:r>
      <w:r>
        <w:t xml:space="preserve"> (2011) </w:t>
      </w:r>
      <w:hyperlink r:id="rId36">
        <w:r w:rsidR="0059760D">
          <w:rPr>
            <w:rStyle w:val="Hyperlink"/>
          </w:rPr>
          <w:t>Reconciling the optimal and empirical approaches to modelling stomatal conductance</w:t>
        </w:r>
      </w:hyperlink>
      <w:r>
        <w:t xml:space="preserve">. </w:t>
      </w:r>
      <w:r>
        <w:rPr>
          <w:i/>
          <w:iCs/>
        </w:rPr>
        <w:t>Glob. Chang. Biol.</w:t>
      </w:r>
      <w:r>
        <w:t xml:space="preserve"> 17, 2134–2144</w:t>
      </w:r>
    </w:p>
    <w:p w14:paraId="7EE1A35B" w14:textId="77777777" w:rsidR="0059760D" w:rsidRDefault="00000000" w:rsidP="00557FAC">
      <w:pPr>
        <w:pStyle w:val="Bibliography"/>
        <w:spacing w:line="360" w:lineRule="auto"/>
      </w:pPr>
      <w:bookmarkStart w:id="60" w:name="ref-Porter1973"/>
      <w:bookmarkEnd w:id="59"/>
      <w:r>
        <w:t xml:space="preserve">41. </w:t>
      </w:r>
      <w:r>
        <w:tab/>
        <w:t xml:space="preserve">Porter, W.P. </w:t>
      </w:r>
      <w:r>
        <w:rPr>
          <w:i/>
          <w:iCs/>
        </w:rPr>
        <w:t>et al.</w:t>
      </w:r>
      <w:r>
        <w:t xml:space="preserve"> (1973) </w:t>
      </w:r>
      <w:hyperlink r:id="rId37">
        <w:r w:rsidR="0059760D">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3144D684" w14:textId="77777777" w:rsidR="0059760D" w:rsidRDefault="00000000" w:rsidP="00557FAC">
      <w:pPr>
        <w:pStyle w:val="Bibliography"/>
        <w:spacing w:line="360" w:lineRule="auto"/>
      </w:pPr>
      <w:bookmarkStart w:id="61" w:name="ref-Porter1969"/>
      <w:bookmarkEnd w:id="60"/>
      <w:r>
        <w:t xml:space="preserve">42. </w:t>
      </w:r>
      <w:r>
        <w:tab/>
        <w:t xml:space="preserve">Porter, W.P. and Gates, D.M. (1969) </w:t>
      </w:r>
      <w:hyperlink r:id="rId38">
        <w:r w:rsidR="0059760D">
          <w:rPr>
            <w:rStyle w:val="Hyperlink"/>
          </w:rPr>
          <w:t>Thermodynamic equilibria of animals with environment</w:t>
        </w:r>
      </w:hyperlink>
      <w:r>
        <w:t xml:space="preserve">. </w:t>
      </w:r>
      <w:r>
        <w:rPr>
          <w:i/>
          <w:iCs/>
        </w:rPr>
        <w:t>Ecol. Monogr.</w:t>
      </w:r>
      <w:r>
        <w:t xml:space="preserve"> 39, 227–244</w:t>
      </w:r>
    </w:p>
    <w:p w14:paraId="38E6548E" w14:textId="77777777" w:rsidR="0059760D" w:rsidRDefault="00000000" w:rsidP="00557FAC">
      <w:pPr>
        <w:pStyle w:val="Bibliography"/>
        <w:spacing w:line="360" w:lineRule="auto"/>
      </w:pPr>
      <w:bookmarkStart w:id="62" w:name="ref-Riddell2017"/>
      <w:bookmarkEnd w:id="61"/>
      <w:r>
        <w:t xml:space="preserve">43. </w:t>
      </w:r>
      <w:r>
        <w:tab/>
        <w:t xml:space="preserve">Riddell, E.A. </w:t>
      </w:r>
      <w:r>
        <w:rPr>
          <w:i/>
          <w:iCs/>
        </w:rPr>
        <w:t>et al.</w:t>
      </w:r>
      <w:r>
        <w:t xml:space="preserve"> (2017) </w:t>
      </w:r>
      <w:hyperlink r:id="rId39">
        <w:r w:rsidR="0059760D">
          <w:rPr>
            <w:rStyle w:val="Hyperlink"/>
          </w:rPr>
          <w:t>Physical calculations of resistance to water loss improve predictions of species range models</w:t>
        </w:r>
      </w:hyperlink>
      <w:r>
        <w:t xml:space="preserve">. </w:t>
      </w:r>
      <w:r>
        <w:rPr>
          <w:i/>
          <w:iCs/>
        </w:rPr>
        <w:t>Ecol. Monogr.</w:t>
      </w:r>
      <w:r>
        <w:t xml:space="preserve"> 87, 21–33</w:t>
      </w:r>
    </w:p>
    <w:p w14:paraId="774693D0" w14:textId="77777777" w:rsidR="0059760D" w:rsidRDefault="00000000" w:rsidP="00557FAC">
      <w:pPr>
        <w:pStyle w:val="Bibliography"/>
        <w:spacing w:line="360" w:lineRule="auto"/>
      </w:pPr>
      <w:bookmarkStart w:id="63" w:name="ref-Duursma2015"/>
      <w:bookmarkEnd w:id="62"/>
      <w:r>
        <w:t xml:space="preserve">44. </w:t>
      </w:r>
      <w:r>
        <w:tab/>
        <w:t xml:space="preserve">Duursma, R.A. (2015) </w:t>
      </w:r>
      <w:hyperlink r:id="rId40">
        <w:r w:rsidR="0059760D">
          <w:rPr>
            <w:rStyle w:val="Hyperlink"/>
          </w:rPr>
          <w:t>Plantecophys–an R package for analysing and modelling leaf gas exchange data</w:t>
        </w:r>
      </w:hyperlink>
      <w:r>
        <w:t xml:space="preserve">. </w:t>
      </w:r>
      <w:r>
        <w:rPr>
          <w:i/>
          <w:iCs/>
        </w:rPr>
        <w:t>PLoS One</w:t>
      </w:r>
      <w:r>
        <w:t xml:space="preserve"> 10, e0143346</w:t>
      </w:r>
    </w:p>
    <w:p w14:paraId="69A196A9" w14:textId="77777777" w:rsidR="0059760D" w:rsidRDefault="00000000" w:rsidP="00557FAC">
      <w:pPr>
        <w:pStyle w:val="Bibliography"/>
        <w:spacing w:line="360" w:lineRule="auto"/>
      </w:pPr>
      <w:bookmarkStart w:id="64" w:name="ref-Wild2025"/>
      <w:bookmarkEnd w:id="63"/>
      <w:r>
        <w:t xml:space="preserve">45. </w:t>
      </w:r>
      <w:r>
        <w:tab/>
        <w:t xml:space="preserve">Wild, K.H. </w:t>
      </w:r>
      <w:r>
        <w:rPr>
          <w:i/>
          <w:iCs/>
        </w:rPr>
        <w:t>et al.</w:t>
      </w:r>
      <w:r>
        <w:t xml:space="preserve"> (2025) </w:t>
      </w:r>
      <w:hyperlink r:id="rId41">
        <w:r w:rsidR="0059760D">
          <w:rPr>
            <w:rStyle w:val="Hyperlink"/>
          </w:rPr>
          <w:t>Climate change and the cost-of-living squeeze in desert lizards</w:t>
        </w:r>
      </w:hyperlink>
      <w:r>
        <w:t xml:space="preserve">. </w:t>
      </w:r>
      <w:r>
        <w:rPr>
          <w:i/>
          <w:iCs/>
        </w:rPr>
        <w:t>Science</w:t>
      </w:r>
      <w:r>
        <w:t xml:space="preserve"> 387, 303–309</w:t>
      </w:r>
    </w:p>
    <w:p w14:paraId="771DB439" w14:textId="77777777" w:rsidR="0059760D" w:rsidRDefault="00000000" w:rsidP="00557FAC">
      <w:pPr>
        <w:pStyle w:val="Bibliography"/>
        <w:spacing w:line="360" w:lineRule="auto"/>
      </w:pPr>
      <w:bookmarkStart w:id="65" w:name="ref-Briscoe2022"/>
      <w:bookmarkEnd w:id="64"/>
      <w:r>
        <w:t xml:space="preserve">46. </w:t>
      </w:r>
      <w:r>
        <w:tab/>
        <w:t xml:space="preserve">Briscoe, N.J. </w:t>
      </w:r>
      <w:r>
        <w:rPr>
          <w:i/>
          <w:iCs/>
        </w:rPr>
        <w:t>et al.</w:t>
      </w:r>
      <w:r>
        <w:t xml:space="preserve"> (2022) </w:t>
      </w:r>
      <w:hyperlink r:id="rId42">
        <w:r w:rsidR="0059760D">
          <w:rPr>
            <w:rStyle w:val="Hyperlink"/>
          </w:rPr>
          <w:t>Too hot to hunt: Mechanistic predictions of thermal refuge from cat predation risk</w:t>
        </w:r>
      </w:hyperlink>
      <w:r>
        <w:t xml:space="preserve">. </w:t>
      </w:r>
      <w:r>
        <w:rPr>
          <w:i/>
          <w:iCs/>
        </w:rPr>
        <w:t>Conserv. Lett.</w:t>
      </w:r>
      <w:r>
        <w:t xml:space="preserve"> 15, e12906</w:t>
      </w:r>
    </w:p>
    <w:p w14:paraId="4997DEF3" w14:textId="77777777" w:rsidR="0059760D" w:rsidRDefault="00000000" w:rsidP="00557FAC">
      <w:pPr>
        <w:pStyle w:val="Bibliography"/>
        <w:spacing w:line="360" w:lineRule="auto"/>
      </w:pPr>
      <w:bookmarkStart w:id="66" w:name="ref-Duursma2019"/>
      <w:bookmarkEnd w:id="65"/>
      <w:r>
        <w:t xml:space="preserve">47. </w:t>
      </w:r>
      <w:r>
        <w:tab/>
        <w:t xml:space="preserve">Duursma, R.A. </w:t>
      </w:r>
      <w:r>
        <w:rPr>
          <w:i/>
          <w:iCs/>
        </w:rPr>
        <w:t>et al.</w:t>
      </w:r>
      <w:r>
        <w:t xml:space="preserve"> (2019) </w:t>
      </w:r>
      <w:hyperlink r:id="rId43">
        <w:r w:rsidR="0059760D">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6250EE03" w14:textId="77777777" w:rsidR="0059760D" w:rsidRDefault="00000000" w:rsidP="00557FAC">
      <w:pPr>
        <w:pStyle w:val="Bibliography"/>
        <w:spacing w:line="360" w:lineRule="auto"/>
      </w:pPr>
      <w:bookmarkStart w:id="67" w:name="ref-Loughran2020"/>
      <w:bookmarkEnd w:id="66"/>
      <w:r>
        <w:t xml:space="preserve">48. </w:t>
      </w:r>
      <w:r>
        <w:tab/>
        <w:t xml:space="preserve">Loughran, C.L. and Wolf, B.O. (2020) </w:t>
      </w:r>
      <w:hyperlink r:id="rId44">
        <w:r w:rsidR="0059760D">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55C7CBD8" w14:textId="10D555D6" w:rsidR="0059760D" w:rsidRDefault="00000000" w:rsidP="00557FAC">
      <w:pPr>
        <w:pStyle w:val="Bibliography"/>
        <w:spacing w:line="360" w:lineRule="auto"/>
      </w:pPr>
      <w:bookmarkStart w:id="68" w:name="ref-Sharpe2022"/>
      <w:bookmarkEnd w:id="67"/>
      <w:r>
        <w:t xml:space="preserve">49. </w:t>
      </w:r>
      <w:r>
        <w:tab/>
        <w:t xml:space="preserve">Sharpe, L.L. </w:t>
      </w:r>
      <w:r>
        <w:rPr>
          <w:i/>
          <w:iCs/>
        </w:rPr>
        <w:t>et al.</w:t>
      </w:r>
      <w:r>
        <w:t xml:space="preserve"> (2022) </w:t>
      </w:r>
      <w:hyperlink r:id="rId45">
        <w:r w:rsidR="0059760D">
          <w:rPr>
            <w:rStyle w:val="Hyperlink"/>
          </w:rPr>
          <w:t>In the hot seat: Behavioral change and old-growth trees underpin an australian songbird’s response to extreme heat</w:t>
        </w:r>
      </w:hyperlink>
      <w:r>
        <w:t xml:space="preserve">. </w:t>
      </w:r>
      <w:r>
        <w:rPr>
          <w:i/>
          <w:iCs/>
        </w:rPr>
        <w:t>Front. Ecol. Evol.</w:t>
      </w:r>
      <w:r>
        <w:t xml:space="preserve"> 10</w:t>
      </w:r>
      <w:r w:rsidR="00695A9B">
        <w:t>, 813567</w:t>
      </w:r>
    </w:p>
    <w:p w14:paraId="6CE406BE" w14:textId="77777777" w:rsidR="0059760D" w:rsidRDefault="00000000" w:rsidP="00557FAC">
      <w:pPr>
        <w:pStyle w:val="Bibliography"/>
        <w:spacing w:line="360" w:lineRule="auto"/>
      </w:pPr>
      <w:bookmarkStart w:id="69" w:name="ref-Posch2024"/>
      <w:bookmarkEnd w:id="68"/>
      <w:r>
        <w:t xml:space="preserve">50. </w:t>
      </w:r>
      <w:r>
        <w:tab/>
        <w:t xml:space="preserve">Posch, B.C. </w:t>
      </w:r>
      <w:r>
        <w:rPr>
          <w:i/>
          <w:iCs/>
        </w:rPr>
        <w:t>et al.</w:t>
      </w:r>
      <w:r>
        <w:t xml:space="preserve"> (2024) </w:t>
      </w:r>
      <w:hyperlink r:id="rId46">
        <w:r w:rsidR="0059760D">
          <w:rPr>
            <w:rStyle w:val="Hyperlink"/>
          </w:rPr>
          <w:t>Intensive leaf cooling promotes tree survival during a record heatwave</w:t>
        </w:r>
      </w:hyperlink>
      <w:r>
        <w:t xml:space="preserve">. </w:t>
      </w:r>
      <w:r>
        <w:rPr>
          <w:i/>
          <w:iCs/>
        </w:rPr>
        <w:t>Proc. Natl. Acad. Sci. U. S. A.</w:t>
      </w:r>
      <w:r>
        <w:t xml:space="preserve"> 121, e2408583121</w:t>
      </w:r>
    </w:p>
    <w:p w14:paraId="02E388BC" w14:textId="77777777" w:rsidR="0059760D" w:rsidRDefault="00000000" w:rsidP="00557FAC">
      <w:pPr>
        <w:pStyle w:val="Bibliography"/>
        <w:spacing w:line="360" w:lineRule="auto"/>
      </w:pPr>
      <w:bookmarkStart w:id="70" w:name="ref-Orsted2022"/>
      <w:bookmarkEnd w:id="6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E014260" w14:textId="77777777" w:rsidR="0059760D" w:rsidRDefault="00000000" w:rsidP="00557FAC">
      <w:pPr>
        <w:pStyle w:val="Bibliography"/>
        <w:spacing w:line="360" w:lineRule="auto"/>
      </w:pPr>
      <w:bookmarkStart w:id="71" w:name="ref-Jagadish2021"/>
      <w:bookmarkEnd w:id="70"/>
      <w:r>
        <w:t xml:space="preserve">52. </w:t>
      </w:r>
      <w:r>
        <w:tab/>
        <w:t xml:space="preserve">Jagadish, S.V.K. </w:t>
      </w:r>
      <w:r>
        <w:rPr>
          <w:i/>
          <w:iCs/>
        </w:rPr>
        <w:t>et al.</w:t>
      </w:r>
      <w:r>
        <w:t xml:space="preserve"> (2021) </w:t>
      </w:r>
      <w:hyperlink r:id="rId47">
        <w:r w:rsidR="0059760D">
          <w:rPr>
            <w:rStyle w:val="Hyperlink"/>
          </w:rPr>
          <w:t>Plant heat stress: Concepts directing future research</w:t>
        </w:r>
      </w:hyperlink>
      <w:r>
        <w:t xml:space="preserve">. </w:t>
      </w:r>
      <w:r>
        <w:rPr>
          <w:i/>
          <w:iCs/>
        </w:rPr>
        <w:t>Plant Cell Environ.</w:t>
      </w:r>
      <w:r>
        <w:t xml:space="preserve"> 44, 1992–2005</w:t>
      </w:r>
    </w:p>
    <w:p w14:paraId="415C51EA" w14:textId="77777777" w:rsidR="0059760D" w:rsidRDefault="00000000" w:rsidP="00557FAC">
      <w:pPr>
        <w:pStyle w:val="Bibliography"/>
        <w:spacing w:line="360" w:lineRule="auto"/>
      </w:pPr>
      <w:bookmarkStart w:id="72" w:name="ref-Faber2024"/>
      <w:bookmarkEnd w:id="71"/>
      <w:r>
        <w:t xml:space="preserve">53. </w:t>
      </w:r>
      <w:r>
        <w:tab/>
        <w:t xml:space="preserve">Faber, A.H. </w:t>
      </w:r>
      <w:r>
        <w:rPr>
          <w:i/>
          <w:iCs/>
        </w:rPr>
        <w:t>et al.</w:t>
      </w:r>
      <w:r>
        <w:t xml:space="preserve"> (2024) </w:t>
      </w:r>
      <w:hyperlink r:id="rId48">
        <w:r w:rsidR="0059760D">
          <w:rPr>
            <w:rStyle w:val="Hyperlink"/>
          </w:rPr>
          <w:t>Application of the thermal death time model in predicting thermal damage accumulation in plants</w:t>
        </w:r>
      </w:hyperlink>
      <w:r>
        <w:t xml:space="preserve">. </w:t>
      </w:r>
      <w:r>
        <w:rPr>
          <w:i/>
          <w:iCs/>
        </w:rPr>
        <w:t>J. Exp. Bot.</w:t>
      </w:r>
      <w:r>
        <w:t xml:space="preserve"> 75, 3467–3482</w:t>
      </w:r>
    </w:p>
    <w:p w14:paraId="0DBF644A" w14:textId="77777777" w:rsidR="0059760D" w:rsidRDefault="00000000" w:rsidP="00557FAC">
      <w:pPr>
        <w:pStyle w:val="Bibliography"/>
        <w:spacing w:line="360" w:lineRule="auto"/>
      </w:pPr>
      <w:bookmarkStart w:id="73" w:name="ref-Martinez-De_Leon2024"/>
      <w:bookmarkEnd w:id="72"/>
      <w:r>
        <w:lastRenderedPageBreak/>
        <w:t xml:space="preserve">54. </w:t>
      </w:r>
      <w:r>
        <w:tab/>
        <w:t xml:space="preserve">Martínez-De León, G. and Thakur, M.P. (2024) Ecological debts induced by heat extremes. </w:t>
      </w:r>
      <w:r>
        <w:rPr>
          <w:i/>
          <w:iCs/>
        </w:rPr>
        <w:t>Trends Ecol. Evol.</w:t>
      </w:r>
      <w:r>
        <w:t xml:space="preserve"> 39, 1024–1034</w:t>
      </w:r>
    </w:p>
    <w:p w14:paraId="02771C0A" w14:textId="77777777" w:rsidR="0059760D" w:rsidRDefault="00000000" w:rsidP="00557FAC">
      <w:pPr>
        <w:pStyle w:val="Bibliography"/>
        <w:spacing w:line="360" w:lineRule="auto"/>
      </w:pPr>
      <w:bookmarkStart w:id="74" w:name="ref-Marchin2022"/>
      <w:bookmarkEnd w:id="73"/>
      <w:r>
        <w:t xml:space="preserve">55. </w:t>
      </w:r>
      <w:r>
        <w:tab/>
        <w:t xml:space="preserve">Marchin, R.M. </w:t>
      </w:r>
      <w:r>
        <w:rPr>
          <w:i/>
          <w:iCs/>
        </w:rPr>
        <w:t>et al.</w:t>
      </w:r>
      <w:r>
        <w:t xml:space="preserve"> (2022) </w:t>
      </w:r>
      <w:hyperlink r:id="rId49">
        <w:r w:rsidR="0059760D">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2E7B651B" w14:textId="27879348" w:rsidR="0059760D" w:rsidRDefault="00000000" w:rsidP="00557FAC">
      <w:pPr>
        <w:pStyle w:val="Bibliography"/>
        <w:spacing w:line="360" w:lineRule="auto"/>
      </w:pPr>
      <w:bookmarkStart w:id="75" w:name="ref-Youngblood2025"/>
      <w:bookmarkEnd w:id="74"/>
      <w:r>
        <w:t xml:space="preserve">56.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w:t>
      </w:r>
      <w:r w:rsidR="000D5CE6">
        <w:t xml:space="preserve">39, </w:t>
      </w:r>
      <w:r w:rsidR="000D5CE6" w:rsidRPr="000D5CE6">
        <w:t>1194-1207</w:t>
      </w:r>
    </w:p>
    <w:p w14:paraId="4EE27C80" w14:textId="77777777" w:rsidR="0059760D" w:rsidRDefault="00000000" w:rsidP="00557FAC">
      <w:pPr>
        <w:pStyle w:val="Bibliography"/>
        <w:spacing w:line="360" w:lineRule="auto"/>
      </w:pPr>
      <w:bookmarkStart w:id="76" w:name="ref-Mengutay2013"/>
      <w:bookmarkEnd w:id="75"/>
      <w:r>
        <w:t xml:space="preserve">57. </w:t>
      </w:r>
      <w:r>
        <w:tab/>
        <w:t xml:space="preserve">Mengutay, M. </w:t>
      </w:r>
      <w:r>
        <w:rPr>
          <w:i/>
          <w:iCs/>
        </w:rPr>
        <w:t>et al.</w:t>
      </w:r>
      <w:r>
        <w:t xml:space="preserve"> (2013) </w:t>
      </w:r>
      <w:hyperlink r:id="rId50">
        <w:r w:rsidR="0059760D">
          <w:rPr>
            <w:rStyle w:val="Hyperlink"/>
          </w:rPr>
          <w:t>Adequate magnesium nutrition mitigates adverse effects of heat stress on maize and wheat</w:t>
        </w:r>
      </w:hyperlink>
      <w:r>
        <w:t xml:space="preserve">. </w:t>
      </w:r>
      <w:r>
        <w:rPr>
          <w:i/>
          <w:iCs/>
        </w:rPr>
        <w:t>Plant Soil</w:t>
      </w:r>
      <w:r>
        <w:t xml:space="preserve"> 368, 57–72</w:t>
      </w:r>
    </w:p>
    <w:p w14:paraId="61CF141D" w14:textId="77777777" w:rsidR="0059760D" w:rsidRDefault="00000000" w:rsidP="00557FAC">
      <w:pPr>
        <w:pStyle w:val="Bibliography"/>
        <w:spacing w:line="360" w:lineRule="auto"/>
      </w:pPr>
      <w:bookmarkStart w:id="77" w:name="ref-Andersen2010"/>
      <w:bookmarkEnd w:id="76"/>
      <w:r>
        <w:t xml:space="preserve">58. </w:t>
      </w:r>
      <w:r>
        <w:tab/>
        <w:t xml:space="preserve">Andersen, L.H. </w:t>
      </w:r>
      <w:r>
        <w:rPr>
          <w:i/>
          <w:iCs/>
        </w:rPr>
        <w:t>et al.</w:t>
      </w:r>
      <w:r>
        <w:t xml:space="preserve"> (2010) </w:t>
      </w:r>
      <w:hyperlink r:id="rId51">
        <w:r w:rsidR="0059760D">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437FAA" w14:textId="77777777" w:rsidR="0059760D" w:rsidRDefault="00000000" w:rsidP="00557FAC">
      <w:pPr>
        <w:pStyle w:val="Bibliography"/>
        <w:spacing w:line="360" w:lineRule="auto"/>
      </w:pPr>
      <w:bookmarkStart w:id="78" w:name="ref-Chouhan2023"/>
      <w:bookmarkEnd w:id="77"/>
      <w:r>
        <w:t xml:space="preserve">59. </w:t>
      </w:r>
      <w:r>
        <w:tab/>
        <w:t xml:space="preserve">Chouhan, D. </w:t>
      </w:r>
      <w:r>
        <w:rPr>
          <w:i/>
          <w:iCs/>
        </w:rPr>
        <w:t>et al.</w:t>
      </w:r>
      <w:r>
        <w:t xml:space="preserve"> (2023) </w:t>
      </w:r>
      <w:hyperlink r:id="rId52">
        <w:r w:rsidR="0059760D">
          <w:rPr>
            <w:rStyle w:val="Hyperlink"/>
          </w:rPr>
          <w:t>Plant-microbe interaction and their role in mitigation of heat stress</w:t>
        </w:r>
      </w:hyperlink>
      <w:r>
        <w:t xml:space="preserve">. In </w:t>
      </w:r>
      <w:r>
        <w:rPr>
          <w:i/>
          <w:iCs/>
        </w:rPr>
        <w:t>Rhizosphere biology</w:t>
      </w:r>
      <w:r>
        <w:t>, pp. 127–147, Springer Nature Singapore</w:t>
      </w:r>
    </w:p>
    <w:p w14:paraId="18858283" w14:textId="77777777" w:rsidR="0059760D" w:rsidRDefault="00000000" w:rsidP="00557FAC">
      <w:pPr>
        <w:pStyle w:val="Bibliography"/>
        <w:spacing w:line="360" w:lineRule="auto"/>
      </w:pPr>
      <w:bookmarkStart w:id="79" w:name="ref-Marquez2007"/>
      <w:bookmarkEnd w:id="78"/>
      <w:r>
        <w:t xml:space="preserve">60.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54ECA8B1" w14:textId="77777777" w:rsidR="0059760D" w:rsidRDefault="00000000" w:rsidP="00557FAC">
      <w:pPr>
        <w:pStyle w:val="Bibliography"/>
        <w:spacing w:line="360" w:lineRule="auto"/>
      </w:pPr>
      <w:bookmarkStart w:id="80" w:name="ref-Hoang2019"/>
      <w:bookmarkEnd w:id="79"/>
      <w:r>
        <w:t xml:space="preserve">61. </w:t>
      </w:r>
      <w:r>
        <w:tab/>
        <w:t xml:space="preserve">Hoang, K.L. </w:t>
      </w:r>
      <w:r>
        <w:rPr>
          <w:i/>
          <w:iCs/>
        </w:rPr>
        <w:t>et al.</w:t>
      </w:r>
      <w:r>
        <w:t xml:space="preserve"> (2019) </w:t>
      </w:r>
      <w:hyperlink r:id="rId53">
        <w:r w:rsidR="0059760D">
          <w:rPr>
            <w:rStyle w:val="Hyperlink"/>
          </w:rPr>
          <w:t>The effects of bacillus subtilis on caenorhabditis elegans fitness after heat stress</w:t>
        </w:r>
      </w:hyperlink>
      <w:r>
        <w:t xml:space="preserve">. </w:t>
      </w:r>
      <w:r>
        <w:rPr>
          <w:i/>
          <w:iCs/>
        </w:rPr>
        <w:t>Ecol. Evol.</w:t>
      </w:r>
      <w:r>
        <w:t xml:space="preserve"> 9, 3491–3499</w:t>
      </w:r>
    </w:p>
    <w:p w14:paraId="1610649F" w14:textId="77777777" w:rsidR="0059760D" w:rsidRDefault="00000000" w:rsidP="00557FAC">
      <w:pPr>
        <w:pStyle w:val="Bibliography"/>
        <w:spacing w:line="360" w:lineRule="auto"/>
      </w:pPr>
      <w:bookmarkStart w:id="81" w:name="ref-Jeffrey2001"/>
      <w:bookmarkEnd w:id="80"/>
      <w:r>
        <w:t xml:space="preserve">62. </w:t>
      </w:r>
      <w:r>
        <w:tab/>
        <w:t xml:space="preserve">Jeffrey, S.J. </w:t>
      </w:r>
      <w:r>
        <w:rPr>
          <w:i/>
          <w:iCs/>
        </w:rPr>
        <w:t>et al.</w:t>
      </w:r>
      <w:r>
        <w:t xml:space="preserve"> (2001) </w:t>
      </w:r>
      <w:hyperlink r:id="rId54">
        <w:r w:rsidR="0059760D">
          <w:rPr>
            <w:rStyle w:val="Hyperlink"/>
          </w:rPr>
          <w:t>Using spatial interpolation to construct a comprehensive archive of australian climate data</w:t>
        </w:r>
      </w:hyperlink>
      <w:r>
        <w:t xml:space="preserve">. </w:t>
      </w:r>
      <w:r>
        <w:rPr>
          <w:i/>
          <w:iCs/>
        </w:rPr>
        <w:t>Environ. Model. Softw.</w:t>
      </w:r>
      <w:r>
        <w:t xml:space="preserve"> 16, 309–330</w:t>
      </w:r>
    </w:p>
    <w:p w14:paraId="0DF0E4D5" w14:textId="77777777" w:rsidR="0059760D" w:rsidRDefault="00000000" w:rsidP="00557FAC">
      <w:pPr>
        <w:pStyle w:val="Bibliography"/>
        <w:spacing w:line="360" w:lineRule="auto"/>
      </w:pPr>
      <w:bookmarkStart w:id="82" w:name="ref-Kearney2020a"/>
      <w:bookmarkEnd w:id="81"/>
      <w:r>
        <w:t xml:space="preserve">63. </w:t>
      </w:r>
      <w:r>
        <w:tab/>
        <w:t xml:space="preserve">Kearney, M.R. and Porter, W.P. (2020) </w:t>
      </w:r>
      <w:hyperlink r:id="rId55">
        <w:r w:rsidR="0059760D">
          <w:rPr>
            <w:rStyle w:val="Hyperlink"/>
          </w:rPr>
          <w:t>NicheMapR – an R package for biophysical modelling: The ectotherm and dynamic energy budget models</w:t>
        </w:r>
      </w:hyperlink>
      <w:r>
        <w:t xml:space="preserve">. </w:t>
      </w:r>
      <w:r>
        <w:rPr>
          <w:i/>
          <w:iCs/>
        </w:rPr>
        <w:t>Ecography (Cop.)</w:t>
      </w:r>
      <w:r>
        <w:t xml:space="preserve"> 43, 85–96</w:t>
      </w:r>
    </w:p>
    <w:p w14:paraId="6D877447" w14:textId="77777777" w:rsidR="0059760D" w:rsidRDefault="00000000" w:rsidP="00557FAC">
      <w:pPr>
        <w:pStyle w:val="Bibliography"/>
        <w:spacing w:line="360" w:lineRule="auto"/>
      </w:pPr>
      <w:bookmarkStart w:id="83" w:name="ref-Nisbet2000"/>
      <w:bookmarkEnd w:id="82"/>
      <w:r>
        <w:t xml:space="preserve">64. </w:t>
      </w:r>
      <w:r>
        <w:tab/>
        <w:t xml:space="preserve">Nisbet, R. </w:t>
      </w:r>
      <w:r>
        <w:rPr>
          <w:i/>
          <w:iCs/>
        </w:rPr>
        <w:t>et al.</w:t>
      </w:r>
      <w:r>
        <w:t xml:space="preserve"> (2000) </w:t>
      </w:r>
      <w:hyperlink r:id="rId56">
        <w:r w:rsidR="0059760D">
          <w:rPr>
            <w:rStyle w:val="Hyperlink"/>
          </w:rPr>
          <w:t>From molecules to ecosystems through dynamic energy budget models</w:t>
        </w:r>
      </w:hyperlink>
      <w:r>
        <w:t xml:space="preserve">. </w:t>
      </w:r>
      <w:r>
        <w:rPr>
          <w:i/>
          <w:iCs/>
        </w:rPr>
        <w:t>Journal of Animal Ecology</w:t>
      </w:r>
      <w:r>
        <w:t xml:space="preserve"> 69, 913–926</w:t>
      </w:r>
    </w:p>
    <w:p w14:paraId="0084AAC7" w14:textId="77777777" w:rsidR="0059760D" w:rsidRDefault="00000000" w:rsidP="00557FAC">
      <w:pPr>
        <w:pStyle w:val="Bibliography"/>
        <w:spacing w:line="360" w:lineRule="auto"/>
      </w:pPr>
      <w:bookmarkStart w:id="84" w:name="ref-Jager2020"/>
      <w:bookmarkEnd w:id="83"/>
      <w:r>
        <w:t xml:space="preserve">65. </w:t>
      </w:r>
      <w:r>
        <w:tab/>
        <w:t xml:space="preserve">Jager, T. (2020) </w:t>
      </w:r>
      <w:hyperlink r:id="rId57">
        <w:r w:rsidR="0059760D">
          <w:rPr>
            <w:rStyle w:val="Hyperlink"/>
          </w:rPr>
          <w:t>Revisiting simplified DEBtox models for analysing ecotoxicity data</w:t>
        </w:r>
      </w:hyperlink>
      <w:r>
        <w:t xml:space="preserve">. </w:t>
      </w:r>
      <w:r>
        <w:rPr>
          <w:i/>
          <w:iCs/>
        </w:rPr>
        <w:t>Ecol. Modell.</w:t>
      </w:r>
      <w:r>
        <w:t xml:space="preserve"> 416, 108904</w:t>
      </w:r>
    </w:p>
    <w:p w14:paraId="7C9845D1" w14:textId="77777777" w:rsidR="0059760D" w:rsidRDefault="00000000" w:rsidP="00557FAC">
      <w:pPr>
        <w:pStyle w:val="Bibliography"/>
        <w:spacing w:line="360" w:lineRule="auto"/>
      </w:pPr>
      <w:bookmarkStart w:id="85" w:name="ref-Kearney2013"/>
      <w:bookmarkEnd w:id="8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78BB6599" w14:textId="77777777" w:rsidR="0059760D" w:rsidRDefault="00000000" w:rsidP="00557FAC">
      <w:pPr>
        <w:pStyle w:val="Bibliography"/>
        <w:spacing w:line="360" w:lineRule="auto"/>
      </w:pPr>
      <w:bookmarkStart w:id="86" w:name="ref-Kearney2010"/>
      <w:bookmarkEnd w:id="85"/>
      <w:r>
        <w:t xml:space="preserve">67. </w:t>
      </w:r>
      <w:r>
        <w:tab/>
        <w:t xml:space="preserve">Kearney, M. </w:t>
      </w:r>
      <w:r>
        <w:rPr>
          <w:i/>
          <w:iCs/>
        </w:rPr>
        <w:t>et al.</w:t>
      </w:r>
      <w:r>
        <w:t xml:space="preserve"> (2010) </w:t>
      </w:r>
      <w:hyperlink r:id="rId58">
        <w:r w:rsidR="0059760D">
          <w:rPr>
            <w:rStyle w:val="Hyperlink"/>
          </w:rPr>
          <w:t>Modelling the ecological niche from functional traits</w:t>
        </w:r>
      </w:hyperlink>
      <w:r>
        <w:t xml:space="preserve">. </w:t>
      </w:r>
      <w:r>
        <w:rPr>
          <w:i/>
          <w:iCs/>
        </w:rPr>
        <w:t>Philos. Trans. R. Soc. Lond. B Biol. Sci.</w:t>
      </w:r>
      <w:r>
        <w:t xml:space="preserve"> 365, 3469–3483</w:t>
      </w:r>
    </w:p>
    <w:p w14:paraId="4835A1EE" w14:textId="77777777" w:rsidR="0059760D" w:rsidRDefault="00000000" w:rsidP="00557FAC">
      <w:pPr>
        <w:pStyle w:val="Bibliography"/>
        <w:spacing w:line="360" w:lineRule="auto"/>
      </w:pPr>
      <w:bookmarkStart w:id="87" w:name="ref-Marques2018"/>
      <w:bookmarkEnd w:id="86"/>
      <w:r>
        <w:lastRenderedPageBreak/>
        <w:t xml:space="preserve">68. </w:t>
      </w:r>
      <w:r>
        <w:tab/>
        <w:t xml:space="preserve">Marques, G.M. </w:t>
      </w:r>
      <w:r>
        <w:rPr>
          <w:i/>
          <w:iCs/>
        </w:rPr>
        <w:t>et al.</w:t>
      </w:r>
      <w:r>
        <w:t xml:space="preserve"> (2018) </w:t>
      </w:r>
      <w:hyperlink r:id="rId59">
        <w:r w:rsidR="0059760D">
          <w:rPr>
            <w:rStyle w:val="Hyperlink"/>
          </w:rPr>
          <w:t>The AmP project: Comparing species on the basis of dynamic energy budget parameters</w:t>
        </w:r>
      </w:hyperlink>
      <w:r>
        <w:t xml:space="preserve">. </w:t>
      </w:r>
      <w:r>
        <w:rPr>
          <w:i/>
          <w:iCs/>
        </w:rPr>
        <w:t>PLoS Comput. Biol.</w:t>
      </w:r>
      <w:r>
        <w:t xml:space="preserve"> 14, e1006100</w:t>
      </w:r>
    </w:p>
    <w:p w14:paraId="4C921156" w14:textId="77777777" w:rsidR="0059760D" w:rsidRDefault="00000000" w:rsidP="00557FAC">
      <w:pPr>
        <w:pStyle w:val="Bibliography"/>
        <w:spacing w:line="360" w:lineRule="auto"/>
      </w:pPr>
      <w:bookmarkStart w:id="88" w:name="ref-Kooijman2021"/>
      <w:bookmarkEnd w:id="87"/>
      <w:r>
        <w:t xml:space="preserve">69. </w:t>
      </w:r>
      <w:r>
        <w:tab/>
        <w:t xml:space="preserve">Kooijman, S.A.L.M. </w:t>
      </w:r>
      <w:r>
        <w:rPr>
          <w:i/>
          <w:iCs/>
        </w:rPr>
        <w:t>et al.</w:t>
      </w:r>
      <w:r>
        <w:t xml:space="preserve"> (2021) </w:t>
      </w:r>
      <w:hyperlink r:id="rId60">
        <w:r w:rsidR="0059760D">
          <w:rPr>
            <w:rStyle w:val="Hyperlink"/>
          </w:rPr>
          <w:t>Multidimensional scaling for animal traits in the context of dynamic energy budget theory</w:t>
        </w:r>
      </w:hyperlink>
      <w:r>
        <w:t xml:space="preserve">. </w:t>
      </w:r>
      <w:r>
        <w:rPr>
          <w:i/>
          <w:iCs/>
        </w:rPr>
        <w:t>Conserv. Physiol.</w:t>
      </w:r>
      <w:r>
        <w:t xml:space="preserve"> 9, coab086</w:t>
      </w:r>
    </w:p>
    <w:p w14:paraId="1AAFDCF9" w14:textId="77777777" w:rsidR="0059760D" w:rsidRDefault="00000000" w:rsidP="00557FAC">
      <w:pPr>
        <w:pStyle w:val="Bibliography"/>
        <w:spacing w:line="360" w:lineRule="auto"/>
      </w:pPr>
      <w:bookmarkStart w:id="89" w:name="ref-Bruggeman2009"/>
      <w:bookmarkEnd w:id="88"/>
      <w:r>
        <w:t xml:space="preserve">70. </w:t>
      </w:r>
      <w:r>
        <w:tab/>
        <w:t xml:space="preserve">Bruggeman, J. </w:t>
      </w:r>
      <w:r>
        <w:rPr>
          <w:i/>
          <w:iCs/>
        </w:rPr>
        <w:t>et al.</w:t>
      </w:r>
      <w:r>
        <w:t xml:space="preserve"> (2009) </w:t>
      </w:r>
      <w:hyperlink r:id="rId61">
        <w:r w:rsidR="0059760D">
          <w:rPr>
            <w:rStyle w:val="Hyperlink"/>
          </w:rPr>
          <w:t>PhyloPars: Estimation of missing parameter values using phylogeny</w:t>
        </w:r>
      </w:hyperlink>
      <w:r>
        <w:t xml:space="preserve">. </w:t>
      </w:r>
      <w:r>
        <w:rPr>
          <w:i/>
          <w:iCs/>
        </w:rPr>
        <w:t>Nucleic Acids Research</w:t>
      </w:r>
      <w:r>
        <w:t xml:space="preserve"> 37, W179–W184</w:t>
      </w:r>
    </w:p>
    <w:p w14:paraId="67BCEFEE" w14:textId="7955EFAA" w:rsidR="0059760D" w:rsidRDefault="00000000" w:rsidP="00557FAC">
      <w:pPr>
        <w:pStyle w:val="Bibliography"/>
        <w:spacing w:line="360" w:lineRule="auto"/>
      </w:pPr>
      <w:bookmarkStart w:id="90" w:name="ref-Bonan2019"/>
      <w:bookmarkEnd w:id="89"/>
      <w:r>
        <w:t xml:space="preserve">71. </w:t>
      </w:r>
      <w:r>
        <w:tab/>
        <w:t xml:space="preserve">Bonan, G. (2019) </w:t>
      </w:r>
      <w:r w:rsidRPr="004A4CD9">
        <w:t>Climate change and terrestrial ecosystem modeling</w:t>
      </w:r>
      <w:r w:rsidR="004A4CD9">
        <w:t>.</w:t>
      </w:r>
      <w:r>
        <w:t xml:space="preserve"> Cambridge University Press</w:t>
      </w:r>
    </w:p>
    <w:p w14:paraId="564D757F" w14:textId="77777777" w:rsidR="0059760D" w:rsidRDefault="00000000" w:rsidP="00557FAC">
      <w:pPr>
        <w:pStyle w:val="Bibliography"/>
        <w:spacing w:line="360" w:lineRule="auto"/>
      </w:pPr>
      <w:bookmarkStart w:id="91" w:name="ref-Kumarathunge2019"/>
      <w:bookmarkEnd w:id="90"/>
      <w:r>
        <w:t xml:space="preserve">72. </w:t>
      </w:r>
      <w:r>
        <w:tab/>
        <w:t xml:space="preserve">Kumarathunge, D.P. </w:t>
      </w:r>
      <w:r>
        <w:rPr>
          <w:i/>
          <w:iCs/>
        </w:rPr>
        <w:t>et al.</w:t>
      </w:r>
      <w:r>
        <w:t xml:space="preserve"> (2019) </w:t>
      </w:r>
      <w:hyperlink r:id="rId62">
        <w:r w:rsidR="0059760D">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4A16286" w14:textId="77777777" w:rsidR="0059760D" w:rsidRDefault="00000000" w:rsidP="00557FAC">
      <w:pPr>
        <w:pStyle w:val="Bibliography"/>
        <w:spacing w:line="360" w:lineRule="auto"/>
      </w:pPr>
      <w:bookmarkStart w:id="92" w:name="ref-De_Kauwe2020"/>
      <w:bookmarkEnd w:id="91"/>
      <w:r>
        <w:t xml:space="preserve">73. </w:t>
      </w:r>
      <w:r>
        <w:tab/>
        <w:t xml:space="preserve">De Kauwe, M.G. </w:t>
      </w:r>
      <w:r>
        <w:rPr>
          <w:i/>
          <w:iCs/>
        </w:rPr>
        <w:t>et al.</w:t>
      </w:r>
      <w:r>
        <w:t xml:space="preserve"> (2020) </w:t>
      </w:r>
      <w:hyperlink r:id="rId63">
        <w:r w:rsidR="0059760D">
          <w:rPr>
            <w:rStyle w:val="Hyperlink"/>
          </w:rPr>
          <w:t>Identifying areas at risk of drought-induced tree mortality across south-eastern australia</w:t>
        </w:r>
      </w:hyperlink>
      <w:r>
        <w:t xml:space="preserve">. </w:t>
      </w:r>
      <w:r>
        <w:rPr>
          <w:i/>
          <w:iCs/>
        </w:rPr>
        <w:t>Glob. Chang. Biol.</w:t>
      </w:r>
      <w:r>
        <w:t xml:space="preserve"> 26, 5716–5733</w:t>
      </w:r>
    </w:p>
    <w:p w14:paraId="6E4DA344" w14:textId="77777777" w:rsidR="0059760D" w:rsidRDefault="00000000" w:rsidP="00557FAC">
      <w:pPr>
        <w:pStyle w:val="Bibliography"/>
        <w:spacing w:line="360" w:lineRule="auto"/>
      </w:pPr>
      <w:bookmarkStart w:id="93" w:name="ref-Bimler2023"/>
      <w:bookmarkEnd w:id="92"/>
      <w:r>
        <w:t xml:space="preserve">74. </w:t>
      </w:r>
      <w:r>
        <w:tab/>
        <w:t xml:space="preserve">Bimler, M.D. </w:t>
      </w:r>
      <w:r>
        <w:rPr>
          <w:i/>
          <w:iCs/>
        </w:rPr>
        <w:t>et al.</w:t>
      </w:r>
      <w:r>
        <w:t xml:space="preserve"> (2023) </w:t>
      </w:r>
      <w:hyperlink r:id="rId64">
        <w:r w:rsidR="0059760D">
          <w:rPr>
            <w:rStyle w:val="Hyperlink"/>
          </w:rPr>
          <w:t>Estimating interaction strengths for diverse horizontal systems using performance data</w:t>
        </w:r>
      </w:hyperlink>
      <w:r>
        <w:t xml:space="preserve">. </w:t>
      </w:r>
      <w:r>
        <w:rPr>
          <w:i/>
          <w:iCs/>
        </w:rPr>
        <w:t>Methods Ecol. Evol.</w:t>
      </w:r>
      <w:r>
        <w:t xml:space="preserve"> 14, 968–980</w:t>
      </w:r>
    </w:p>
    <w:p w14:paraId="337D59D2" w14:textId="77777777" w:rsidR="0059760D" w:rsidRDefault="00000000" w:rsidP="00557FAC">
      <w:pPr>
        <w:pStyle w:val="Bibliography"/>
        <w:spacing w:line="360" w:lineRule="auto"/>
      </w:pPr>
      <w:bookmarkStart w:id="94" w:name="ref-Kraft2015"/>
      <w:bookmarkEnd w:id="93"/>
      <w:r>
        <w:t xml:space="preserve">75. </w:t>
      </w:r>
      <w:r>
        <w:tab/>
        <w:t xml:space="preserve">Kraft, N.J.B. </w:t>
      </w:r>
      <w:r>
        <w:rPr>
          <w:i/>
          <w:iCs/>
        </w:rPr>
        <w:t>et al.</w:t>
      </w:r>
      <w:r>
        <w:t xml:space="preserve"> (2015) </w:t>
      </w:r>
      <w:hyperlink r:id="rId65">
        <w:r w:rsidR="0059760D">
          <w:rPr>
            <w:rStyle w:val="Hyperlink"/>
          </w:rPr>
          <w:t>Plant functional traits and the multidimensional nature of species coexistence</w:t>
        </w:r>
      </w:hyperlink>
      <w:r>
        <w:t xml:space="preserve">. </w:t>
      </w:r>
      <w:r>
        <w:rPr>
          <w:i/>
          <w:iCs/>
        </w:rPr>
        <w:t>Proc. Natl. Acad. Sci. U. S. A.</w:t>
      </w:r>
      <w:r>
        <w:t xml:space="preserve"> 112, 797–802</w:t>
      </w:r>
    </w:p>
    <w:p w14:paraId="6AEB9957" w14:textId="77777777" w:rsidR="0059760D" w:rsidRDefault="00000000" w:rsidP="00557FAC">
      <w:pPr>
        <w:pStyle w:val="Bibliography"/>
        <w:spacing w:line="360" w:lineRule="auto"/>
      </w:pPr>
      <w:bookmarkStart w:id="95" w:name="ref-Buche2024"/>
      <w:bookmarkEnd w:id="94"/>
      <w:r>
        <w:t xml:space="preserve">76. </w:t>
      </w:r>
      <w:r>
        <w:tab/>
        <w:t xml:space="preserve">Buche, L. </w:t>
      </w:r>
      <w:r>
        <w:rPr>
          <w:i/>
          <w:iCs/>
        </w:rPr>
        <w:t>et al.</w:t>
      </w:r>
      <w:r>
        <w:t xml:space="preserve"> (2024) </w:t>
      </w:r>
      <w:hyperlink r:id="rId66">
        <w:r w:rsidR="0059760D">
          <w:rPr>
            <w:rStyle w:val="Hyperlink"/>
          </w:rPr>
          <w:t>Multitrophic higher-order interactions modulate species persistence</w:t>
        </w:r>
      </w:hyperlink>
      <w:r>
        <w:t xml:space="preserve">. </w:t>
      </w:r>
      <w:r>
        <w:rPr>
          <w:i/>
          <w:iCs/>
        </w:rPr>
        <w:t>Am. Nat.</w:t>
      </w:r>
      <w:r>
        <w:t xml:space="preserve"> 203, 458–472</w:t>
      </w:r>
    </w:p>
    <w:p w14:paraId="6B668674" w14:textId="77777777" w:rsidR="0059760D" w:rsidRDefault="00000000" w:rsidP="00557FAC">
      <w:pPr>
        <w:pStyle w:val="Bibliography"/>
        <w:spacing w:line="360" w:lineRule="auto"/>
      </w:pPr>
      <w:bookmarkStart w:id="96" w:name="ref-Buche2025"/>
      <w:bookmarkEnd w:id="95"/>
      <w:r>
        <w:t xml:space="preserve">77. </w:t>
      </w:r>
      <w:r>
        <w:tab/>
        <w:t xml:space="preserve">Buche, L. </w:t>
      </w:r>
      <w:r>
        <w:rPr>
          <w:i/>
          <w:iCs/>
        </w:rPr>
        <w:t>et al.</w:t>
      </w:r>
      <w:r>
        <w:t xml:space="preserve"> (2025) </w:t>
      </w:r>
      <w:hyperlink r:id="rId67">
        <w:r w:rsidR="0059760D">
          <w:rPr>
            <w:rStyle w:val="Hyperlink"/>
          </w:rPr>
          <w:t>A continuum from positive to negative interactions drives plant species’ performance in a diverse community</w:t>
        </w:r>
      </w:hyperlink>
      <w:r>
        <w:t xml:space="preserve">. </w:t>
      </w:r>
      <w:r>
        <w:rPr>
          <w:i/>
          <w:iCs/>
        </w:rPr>
        <w:t>Ecol. Lett.</w:t>
      </w:r>
      <w:r>
        <w:t xml:space="preserve"> 28, e70059</w:t>
      </w:r>
    </w:p>
    <w:p w14:paraId="5741070D" w14:textId="77777777" w:rsidR="0059760D" w:rsidRDefault="00000000" w:rsidP="00557FAC">
      <w:pPr>
        <w:pStyle w:val="Bibliography"/>
        <w:spacing w:line="360" w:lineRule="auto"/>
      </w:pPr>
      <w:bookmarkStart w:id="97" w:name="ref-Ricker1954a"/>
      <w:bookmarkEnd w:id="96"/>
      <w:r>
        <w:t xml:space="preserve">78. </w:t>
      </w:r>
      <w:r>
        <w:tab/>
        <w:t xml:space="preserve">Ricker, W.E. (1954) </w:t>
      </w:r>
      <w:hyperlink r:id="rId68">
        <w:r w:rsidR="0059760D">
          <w:rPr>
            <w:rStyle w:val="Hyperlink"/>
          </w:rPr>
          <w:t>Stock and recruitment</w:t>
        </w:r>
      </w:hyperlink>
      <w:r>
        <w:t xml:space="preserve">. </w:t>
      </w:r>
      <w:r>
        <w:rPr>
          <w:i/>
          <w:iCs/>
        </w:rPr>
        <w:t>J. Fish. Res. Board Can.</w:t>
      </w:r>
      <w:r>
        <w:t xml:space="preserve"> 11, 559–623</w:t>
      </w:r>
    </w:p>
    <w:p w14:paraId="74B861C0" w14:textId="3E06A698" w:rsidR="0059760D" w:rsidRDefault="00000000" w:rsidP="00557FAC">
      <w:pPr>
        <w:pStyle w:val="Bibliography"/>
        <w:spacing w:line="360" w:lineRule="auto"/>
      </w:pPr>
      <w:bookmarkStart w:id="98" w:name="ref-Beverton2012"/>
      <w:bookmarkEnd w:id="97"/>
      <w:r>
        <w:t xml:space="preserve">79. </w:t>
      </w:r>
      <w:r>
        <w:tab/>
        <w:t xml:space="preserve">Beverton, R.J.H. and Holt, S. (2012) </w:t>
      </w:r>
      <w:hyperlink r:id="rId69">
        <w:r w:rsidR="0059760D" w:rsidRPr="004A4CD9">
          <w:rPr>
            <w:rStyle w:val="Hyperlink"/>
          </w:rPr>
          <w:t>On the dynamics of exploited fish populations</w:t>
        </w:r>
      </w:hyperlink>
      <w:r w:rsidR="004A4CD9">
        <w:t>.</w:t>
      </w:r>
      <w:r>
        <w:t xml:space="preserve"> Springer</w:t>
      </w:r>
    </w:p>
    <w:p w14:paraId="608AEF65" w14:textId="77777777" w:rsidR="0059760D" w:rsidRDefault="00000000" w:rsidP="00557FAC">
      <w:pPr>
        <w:pStyle w:val="Bibliography"/>
        <w:spacing w:line="360" w:lineRule="auto"/>
      </w:pPr>
      <w:bookmarkStart w:id="99" w:name="ref-Levine2009"/>
      <w:bookmarkEnd w:id="98"/>
      <w:r>
        <w:t xml:space="preserve">80. </w:t>
      </w:r>
      <w:r>
        <w:tab/>
        <w:t xml:space="preserve">Levine, J.M. and HilleRisLambers, J. (2009) </w:t>
      </w:r>
      <w:hyperlink r:id="rId70">
        <w:r w:rsidR="0059760D">
          <w:rPr>
            <w:rStyle w:val="Hyperlink"/>
          </w:rPr>
          <w:t>The importance of niches for the maintenance of species diversity</w:t>
        </w:r>
      </w:hyperlink>
      <w:r>
        <w:t xml:space="preserve">. </w:t>
      </w:r>
      <w:r>
        <w:rPr>
          <w:i/>
          <w:iCs/>
        </w:rPr>
        <w:t>Nature</w:t>
      </w:r>
      <w:r>
        <w:t xml:space="preserve"> 461, 254–257</w:t>
      </w:r>
    </w:p>
    <w:p w14:paraId="4D0EDE37" w14:textId="77777777" w:rsidR="0059760D" w:rsidRDefault="00000000" w:rsidP="00557FAC">
      <w:pPr>
        <w:pStyle w:val="Bibliography"/>
        <w:spacing w:line="360" w:lineRule="auto"/>
      </w:pPr>
      <w:bookmarkStart w:id="100" w:name="ref-Wainwright2019"/>
      <w:bookmarkEnd w:id="99"/>
      <w:r>
        <w:t xml:space="preserve">81. </w:t>
      </w:r>
      <w:r>
        <w:tab/>
        <w:t xml:space="preserve">Wainwright, C.E. </w:t>
      </w:r>
      <w:r>
        <w:rPr>
          <w:i/>
          <w:iCs/>
        </w:rPr>
        <w:t>et al.</w:t>
      </w:r>
      <w:r>
        <w:t xml:space="preserve"> (2019) </w:t>
      </w:r>
      <w:hyperlink r:id="rId71">
        <w:r w:rsidR="0059760D">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4E6FCCBB" w14:textId="77777777" w:rsidR="0059760D" w:rsidRDefault="00000000" w:rsidP="00557FAC">
      <w:pPr>
        <w:pStyle w:val="Bibliography"/>
        <w:spacing w:line="360" w:lineRule="auto"/>
      </w:pPr>
      <w:bookmarkStart w:id="101" w:name="ref-Mayfield2017"/>
      <w:bookmarkEnd w:id="100"/>
      <w:r>
        <w:t xml:space="preserve">82. </w:t>
      </w:r>
      <w:r>
        <w:tab/>
        <w:t xml:space="preserve">Mayfield, M. and Stouffer, D.B. (2017) </w:t>
      </w:r>
      <w:hyperlink r:id="rId72">
        <w:r w:rsidR="0059760D">
          <w:rPr>
            <w:rStyle w:val="Hyperlink"/>
          </w:rPr>
          <w:t>Higher-order interactions capture unexplained complexity in diverse communities</w:t>
        </w:r>
      </w:hyperlink>
      <w:r>
        <w:t xml:space="preserve">. </w:t>
      </w:r>
      <w:r>
        <w:rPr>
          <w:i/>
          <w:iCs/>
        </w:rPr>
        <w:t>Nat. Ecol. Evol.</w:t>
      </w:r>
      <w:r>
        <w:t xml:space="preserve"> 1, 0062</w:t>
      </w:r>
    </w:p>
    <w:p w14:paraId="320DF93A" w14:textId="77777777" w:rsidR="0059760D" w:rsidRDefault="00000000" w:rsidP="00557FAC">
      <w:pPr>
        <w:pStyle w:val="Bibliography"/>
        <w:spacing w:line="360" w:lineRule="auto"/>
      </w:pPr>
      <w:bookmarkStart w:id="102" w:name="ref-Martyn2021"/>
      <w:bookmarkEnd w:id="101"/>
      <w:r>
        <w:lastRenderedPageBreak/>
        <w:t xml:space="preserve">83. </w:t>
      </w:r>
      <w:r>
        <w:tab/>
        <w:t xml:space="preserve">Martyn, T.E. </w:t>
      </w:r>
      <w:r>
        <w:rPr>
          <w:i/>
          <w:iCs/>
        </w:rPr>
        <w:t>et al.</w:t>
      </w:r>
      <w:r>
        <w:t xml:space="preserve"> (2021) </w:t>
      </w:r>
      <w:hyperlink r:id="rId73">
        <w:r w:rsidR="0059760D">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5D1EF0FF" w14:textId="77777777" w:rsidR="0059760D" w:rsidRDefault="00000000" w:rsidP="00557FAC">
      <w:pPr>
        <w:pStyle w:val="Bibliography"/>
        <w:spacing w:line="360" w:lineRule="auto"/>
      </w:pPr>
      <w:bookmarkStart w:id="103" w:name="ref-Llandres2015"/>
      <w:bookmarkEnd w:id="102"/>
      <w:r>
        <w:t xml:space="preserve">84. </w:t>
      </w:r>
      <w:r>
        <w:tab/>
        <w:t xml:space="preserve">Llandres, A.L. </w:t>
      </w:r>
      <w:r>
        <w:rPr>
          <w:i/>
          <w:iCs/>
        </w:rPr>
        <w:t>et al.</w:t>
      </w:r>
      <w:r>
        <w:t xml:space="preserve"> (2015) </w:t>
      </w:r>
      <w:hyperlink r:id="rId74">
        <w:r w:rsidR="0059760D">
          <w:rPr>
            <w:rStyle w:val="Hyperlink"/>
          </w:rPr>
          <w:t>A dynamic energy budget for the whole life-cycle of holometabolous insects</w:t>
        </w:r>
      </w:hyperlink>
      <w:r>
        <w:t xml:space="preserve">. </w:t>
      </w:r>
      <w:r>
        <w:rPr>
          <w:i/>
          <w:iCs/>
        </w:rPr>
        <w:t>Ecol. Monogr.</w:t>
      </w:r>
      <w:r>
        <w:t xml:space="preserve"> 85, 353–371</w:t>
      </w:r>
    </w:p>
    <w:p w14:paraId="0710590E" w14:textId="77777777" w:rsidR="0059760D" w:rsidRDefault="00000000" w:rsidP="00557FAC">
      <w:pPr>
        <w:pStyle w:val="Bibliography"/>
        <w:spacing w:line="360" w:lineRule="auto"/>
      </w:pPr>
      <w:bookmarkStart w:id="104" w:name="ref-Arnold2019a"/>
      <w:bookmarkEnd w:id="103"/>
      <w:r>
        <w:t xml:space="preserve">85. </w:t>
      </w:r>
      <w:r>
        <w:tab/>
        <w:t xml:space="preserve">Arnold, P.A. </w:t>
      </w:r>
      <w:r>
        <w:rPr>
          <w:i/>
          <w:iCs/>
        </w:rPr>
        <w:t>et al.</w:t>
      </w:r>
      <w:r>
        <w:t xml:space="preserve"> (2019) </w:t>
      </w:r>
      <w:hyperlink r:id="rId75">
        <w:r w:rsidR="0059760D">
          <w:rPr>
            <w:rStyle w:val="Hyperlink"/>
          </w:rPr>
          <w:t>Sparse evidence for selection on phenotypic plasticity in response to temperature</w:t>
        </w:r>
      </w:hyperlink>
      <w:r>
        <w:t xml:space="preserve">. </w:t>
      </w:r>
      <w:r>
        <w:rPr>
          <w:i/>
          <w:iCs/>
        </w:rPr>
        <w:t>Philos. Trans. R. Soc. Lond. B Biol. Sci.</w:t>
      </w:r>
      <w:r>
        <w:t xml:space="preserve"> 374, 20180185</w:t>
      </w:r>
    </w:p>
    <w:p w14:paraId="19352F93" w14:textId="77777777" w:rsidR="0059760D" w:rsidRDefault="00000000" w:rsidP="00557FAC">
      <w:pPr>
        <w:pStyle w:val="Bibliography"/>
        <w:spacing w:line="360" w:lineRule="auto"/>
      </w:pPr>
      <w:bookmarkStart w:id="105" w:name="ref-Shekhawat2022"/>
      <w:bookmarkEnd w:id="104"/>
      <w:r>
        <w:t xml:space="preserve">86. </w:t>
      </w:r>
      <w:r>
        <w:tab/>
        <w:t xml:space="preserve">Shekhawat, K. </w:t>
      </w:r>
      <w:r>
        <w:rPr>
          <w:i/>
          <w:iCs/>
        </w:rPr>
        <w:t>et al.</w:t>
      </w:r>
      <w:r>
        <w:t xml:space="preserve"> (2022) </w:t>
      </w:r>
      <w:hyperlink r:id="rId76">
        <w:r w:rsidR="0059760D">
          <w:rPr>
            <w:rStyle w:val="Hyperlink"/>
          </w:rPr>
          <w:t>Beat the heat: Plant- and microbe-mediated strategies for crop thermotolerance</w:t>
        </w:r>
      </w:hyperlink>
      <w:r>
        <w:t xml:space="preserve">. </w:t>
      </w:r>
      <w:r>
        <w:rPr>
          <w:i/>
          <w:iCs/>
        </w:rPr>
        <w:t>Trends Plant Sci.</w:t>
      </w:r>
      <w:r>
        <w:t xml:space="preserve"> 27, 802–813</w:t>
      </w:r>
    </w:p>
    <w:p w14:paraId="286EEACD" w14:textId="77777777" w:rsidR="0059760D" w:rsidRDefault="00000000" w:rsidP="00557FAC">
      <w:pPr>
        <w:pStyle w:val="Bibliography"/>
        <w:spacing w:line="360" w:lineRule="auto"/>
      </w:pPr>
      <w:bookmarkStart w:id="106" w:name="ref-Dandy2019"/>
      <w:bookmarkEnd w:id="105"/>
      <w:r>
        <w:t xml:space="preserve">87. </w:t>
      </w:r>
      <w:r>
        <w:tab/>
        <w:t xml:space="preserve">Dandy, J. </w:t>
      </w:r>
      <w:r>
        <w:rPr>
          <w:i/>
          <w:iCs/>
        </w:rPr>
        <w:t>et al.</w:t>
      </w:r>
      <w:r>
        <w:t xml:space="preserve"> (2019) </w:t>
      </w:r>
      <w:hyperlink r:id="rId77">
        <w:r w:rsidR="0059760D">
          <w:rPr>
            <w:rStyle w:val="Hyperlink"/>
          </w:rPr>
          <w:t>Leaving home: Place attachment and decisions to move in the face of environmental change</w:t>
        </w:r>
      </w:hyperlink>
      <w:r>
        <w:t xml:space="preserve">. </w:t>
      </w:r>
      <w:r>
        <w:rPr>
          <w:i/>
          <w:iCs/>
        </w:rPr>
        <w:t>Reg. Environ. Change</w:t>
      </w:r>
      <w:r>
        <w:t xml:space="preserve"> 19, 615–620</w:t>
      </w:r>
    </w:p>
    <w:p w14:paraId="4232907E" w14:textId="77777777" w:rsidR="0059760D" w:rsidRDefault="00000000" w:rsidP="00557FAC">
      <w:pPr>
        <w:pStyle w:val="Bibliography"/>
        <w:spacing w:line="360" w:lineRule="auto"/>
      </w:pPr>
      <w:bookmarkStart w:id="107" w:name="ref-Leviston2018"/>
      <w:bookmarkEnd w:id="106"/>
      <w:r>
        <w:t xml:space="preserve">88. </w:t>
      </w:r>
      <w:r>
        <w:tab/>
        <w:t xml:space="preserve">Leviston, Z. </w:t>
      </w:r>
      <w:r>
        <w:rPr>
          <w:i/>
          <w:iCs/>
        </w:rPr>
        <w:t>et al.</w:t>
      </w:r>
      <w:r>
        <w:t xml:space="preserve"> (2018) </w:t>
      </w:r>
      <w:hyperlink r:id="rId78">
        <w:r w:rsidR="0059760D">
          <w:rPr>
            <w:rStyle w:val="Hyperlink"/>
          </w:rPr>
          <w:t>Linkages between ecosystem services and human wellbeing: A nexus webs approach</w:t>
        </w:r>
      </w:hyperlink>
      <w:r>
        <w:t xml:space="preserve">. </w:t>
      </w:r>
      <w:r>
        <w:rPr>
          <w:i/>
          <w:iCs/>
        </w:rPr>
        <w:t>Ecol. Indic.</w:t>
      </w:r>
      <w:r>
        <w:t xml:space="preserve"> 93, 658–668</w:t>
      </w:r>
    </w:p>
    <w:p w14:paraId="28DDF955" w14:textId="77777777" w:rsidR="0059760D" w:rsidRDefault="00000000" w:rsidP="00557FAC">
      <w:pPr>
        <w:pStyle w:val="Bibliography"/>
        <w:spacing w:line="360" w:lineRule="auto"/>
      </w:pPr>
      <w:bookmarkStart w:id="108" w:name="ref-Baeckens2025"/>
      <w:bookmarkEnd w:id="107"/>
      <w:r>
        <w:t xml:space="preserve">89. </w:t>
      </w:r>
      <w:r>
        <w:tab/>
        <w:t xml:space="preserve">Baeckens, S. and Donihue, C.M. (2025) Evolutionary consequences of extreme climate events. </w:t>
      </w:r>
      <w:r>
        <w:rPr>
          <w:i/>
          <w:iCs/>
        </w:rPr>
        <w:t>Curr. Biol.</w:t>
      </w:r>
      <w:r>
        <w:t xml:space="preserve"> 35, R850–R864</w:t>
      </w:r>
    </w:p>
    <w:p w14:paraId="66B2F743" w14:textId="77777777" w:rsidR="0059760D" w:rsidRDefault="00000000" w:rsidP="00557FAC">
      <w:pPr>
        <w:pStyle w:val="Bibliography"/>
        <w:spacing w:line="360" w:lineRule="auto"/>
      </w:pPr>
      <w:bookmarkStart w:id="109" w:name="ref-Urban2024"/>
      <w:bookmarkEnd w:id="108"/>
      <w:r>
        <w:t xml:space="preserve">90. </w:t>
      </w:r>
      <w:r>
        <w:tab/>
        <w:t xml:space="preserve">Urban, M.C. (2024) </w:t>
      </w:r>
      <w:hyperlink r:id="rId79">
        <w:r w:rsidR="0059760D">
          <w:rPr>
            <w:rStyle w:val="Hyperlink"/>
          </w:rPr>
          <w:t>Climate change extinctions</w:t>
        </w:r>
      </w:hyperlink>
      <w:r>
        <w:t xml:space="preserve">. </w:t>
      </w:r>
      <w:r>
        <w:rPr>
          <w:i/>
          <w:iCs/>
        </w:rPr>
        <w:t>Science</w:t>
      </w:r>
      <w:r>
        <w:t xml:space="preserve"> 386, 1123–1128</w:t>
      </w:r>
    </w:p>
    <w:p w14:paraId="7AC4A6D1" w14:textId="77777777" w:rsidR="0059760D" w:rsidRDefault="00000000" w:rsidP="00557FAC">
      <w:pPr>
        <w:pStyle w:val="Bibliography"/>
        <w:spacing w:line="360" w:lineRule="auto"/>
      </w:pPr>
      <w:bookmarkStart w:id="110" w:name="ref-Munoz-Sabater2021"/>
      <w:bookmarkEnd w:id="109"/>
      <w:r>
        <w:t xml:space="preserve">91. </w:t>
      </w:r>
      <w:r>
        <w:tab/>
        <w:t xml:space="preserve">Muñoz-Sabater, J. </w:t>
      </w:r>
      <w:r>
        <w:rPr>
          <w:i/>
          <w:iCs/>
        </w:rPr>
        <w:t>et al.</w:t>
      </w:r>
      <w:r>
        <w:t xml:space="preserve"> (2021) ERA5-land: A state-of-the-art global reanalysis dataset for land applications. </w:t>
      </w:r>
      <w:r>
        <w:rPr>
          <w:i/>
          <w:iCs/>
        </w:rPr>
        <w:t>Earth Syst. Sci. Data</w:t>
      </w:r>
      <w:r>
        <w:t xml:space="preserve"> 13, 4349–4383</w:t>
      </w:r>
    </w:p>
    <w:p w14:paraId="6540AC31" w14:textId="77777777" w:rsidR="0059760D" w:rsidRDefault="00000000" w:rsidP="00557FAC">
      <w:pPr>
        <w:pStyle w:val="Bibliography"/>
        <w:spacing w:line="360" w:lineRule="auto"/>
      </w:pPr>
      <w:bookmarkStart w:id="111" w:name="ref-Eyring2016"/>
      <w:bookmarkEnd w:id="110"/>
      <w:r>
        <w:t xml:space="preserve">92. </w:t>
      </w:r>
      <w:r>
        <w:tab/>
        <w:t xml:space="preserve">Eyring, V. </w:t>
      </w:r>
      <w:r>
        <w:rPr>
          <w:i/>
          <w:iCs/>
        </w:rPr>
        <w:t>et al.</w:t>
      </w:r>
      <w:r>
        <w:t xml:space="preserve"> (2016) </w:t>
      </w:r>
      <w:hyperlink r:id="rId80">
        <w:r w:rsidR="0059760D">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7D1AAED6" w14:textId="77777777" w:rsidR="0059760D" w:rsidRDefault="00000000" w:rsidP="00557FAC">
      <w:pPr>
        <w:pStyle w:val="Bibliography"/>
        <w:spacing w:line="360" w:lineRule="auto"/>
      </w:pPr>
      <w:bookmarkStart w:id="112" w:name="ref-Chevin2017"/>
      <w:bookmarkEnd w:id="111"/>
      <w:r>
        <w:t xml:space="preserve">93. </w:t>
      </w:r>
      <w:r>
        <w:tab/>
        <w:t xml:space="preserve">Chevin, L.-M. and Hoffmann, A.A. (2017) </w:t>
      </w:r>
      <w:hyperlink r:id="rId81">
        <w:r w:rsidR="0059760D">
          <w:rPr>
            <w:rStyle w:val="Hyperlink"/>
          </w:rPr>
          <w:t>Evolution of phenotypic plasticity in extreme environments</w:t>
        </w:r>
      </w:hyperlink>
      <w:r>
        <w:t xml:space="preserve">. </w:t>
      </w:r>
      <w:r>
        <w:rPr>
          <w:i/>
          <w:iCs/>
        </w:rPr>
        <w:t>Philos. Trans. R. Soc. Lond. B Biol. Sci.</w:t>
      </w:r>
      <w:r>
        <w:t xml:space="preserve"> 372, 20160138</w:t>
      </w:r>
    </w:p>
    <w:p w14:paraId="03B23C2F" w14:textId="77777777" w:rsidR="0059760D" w:rsidRDefault="00000000" w:rsidP="00557FAC">
      <w:pPr>
        <w:pStyle w:val="Bibliography"/>
        <w:spacing w:line="360" w:lineRule="auto"/>
      </w:pPr>
      <w:bookmarkStart w:id="113" w:name="ref-Hoffmann2022"/>
      <w:bookmarkEnd w:id="112"/>
      <w:r>
        <w:t xml:space="preserve">94. </w:t>
      </w:r>
      <w:r>
        <w:tab/>
        <w:t xml:space="preserve">Hoffmann, A.A. and Bridle, J. (2022) </w:t>
      </w:r>
      <w:hyperlink r:id="rId82">
        <w:r w:rsidR="0059760D">
          <w:rPr>
            <w:rStyle w:val="Hyperlink"/>
          </w:rPr>
          <w:t>The dangers of irreversibility in an age of increased uncertainty: Revisiting plasticity in invertebrates</w:t>
        </w:r>
      </w:hyperlink>
      <w:r>
        <w:t xml:space="preserve">. </w:t>
      </w:r>
      <w:r>
        <w:rPr>
          <w:i/>
          <w:iCs/>
        </w:rPr>
        <w:t>Oikos</w:t>
      </w:r>
      <w:r>
        <w:t xml:space="preserve"> 2022, e08715</w:t>
      </w:r>
    </w:p>
    <w:p w14:paraId="67BB950A" w14:textId="77777777" w:rsidR="0059760D" w:rsidRDefault="00000000" w:rsidP="00557FAC">
      <w:pPr>
        <w:pStyle w:val="Bibliography"/>
        <w:spacing w:line="360" w:lineRule="auto"/>
      </w:pPr>
      <w:bookmarkStart w:id="114" w:name="ref-Hoffmann2011"/>
      <w:bookmarkEnd w:id="113"/>
      <w:r>
        <w:t xml:space="preserve">95. </w:t>
      </w:r>
      <w:r>
        <w:tab/>
        <w:t>Hoffmann, A.A. and Sgrò, C.M. (2011) Climate change and evolutionary adaptation. 470, 479–485</w:t>
      </w:r>
    </w:p>
    <w:p w14:paraId="225182CA" w14:textId="77777777" w:rsidR="0059760D" w:rsidRDefault="00000000" w:rsidP="00557FAC">
      <w:pPr>
        <w:pStyle w:val="Bibliography"/>
        <w:spacing w:line="360" w:lineRule="auto"/>
      </w:pPr>
      <w:bookmarkStart w:id="115" w:name="ref-Catullo2019"/>
      <w:bookmarkEnd w:id="114"/>
      <w:r>
        <w:t xml:space="preserve">96. </w:t>
      </w:r>
      <w:r>
        <w:tab/>
        <w:t xml:space="preserve">Catullo, R.A. </w:t>
      </w:r>
      <w:r>
        <w:rPr>
          <w:i/>
          <w:iCs/>
        </w:rPr>
        <w:t>et al.</w:t>
      </w:r>
      <w:r>
        <w:t xml:space="preserve"> (2019) The potential for rapid evolution under anthropogenic climate change. </w:t>
      </w:r>
      <w:r>
        <w:rPr>
          <w:i/>
          <w:iCs/>
        </w:rPr>
        <w:t>Curr. Biol.</w:t>
      </w:r>
      <w:r>
        <w:t xml:space="preserve"> 29, R996–R1007</w:t>
      </w:r>
    </w:p>
    <w:p w14:paraId="2C135746" w14:textId="77777777" w:rsidR="0059760D" w:rsidRDefault="00000000" w:rsidP="00557FAC">
      <w:pPr>
        <w:pStyle w:val="Bibliography"/>
        <w:spacing w:line="360" w:lineRule="auto"/>
      </w:pPr>
      <w:bookmarkStart w:id="116" w:name="ref-Ghalambor2015"/>
      <w:bookmarkEnd w:id="115"/>
      <w:r>
        <w:lastRenderedPageBreak/>
        <w:t xml:space="preserve">97. </w:t>
      </w:r>
      <w:r>
        <w:tab/>
        <w:t xml:space="preserve">Ghalambor, C. </w:t>
      </w:r>
      <w:r>
        <w:rPr>
          <w:i/>
          <w:iCs/>
        </w:rPr>
        <w:t>et al.</w:t>
      </w:r>
      <w:r>
        <w:t xml:space="preserve"> (2015) </w:t>
      </w:r>
      <w:hyperlink r:id="rId83">
        <w:r w:rsidR="0059760D">
          <w:rPr>
            <w:rStyle w:val="Hyperlink"/>
          </w:rPr>
          <w:t>Non-adaptive plasticity potentiates rapid adaptive evolution of gene expression in nature</w:t>
        </w:r>
      </w:hyperlink>
      <w:r>
        <w:t xml:space="preserve">. </w:t>
      </w:r>
      <w:r>
        <w:rPr>
          <w:i/>
          <w:iCs/>
        </w:rPr>
        <w:t>Nature</w:t>
      </w:r>
      <w:r>
        <w:t xml:space="preserve"> 525, 372–375</w:t>
      </w:r>
    </w:p>
    <w:p w14:paraId="7D07F4BD" w14:textId="77777777" w:rsidR="0059760D" w:rsidRDefault="00000000" w:rsidP="00557FAC">
      <w:pPr>
        <w:pStyle w:val="Bibliography"/>
        <w:spacing w:line="360" w:lineRule="auto"/>
      </w:pPr>
      <w:bookmarkStart w:id="117" w:name="ref-Sousa2010"/>
      <w:bookmarkEnd w:id="116"/>
      <w:r>
        <w:t xml:space="preserve">98. </w:t>
      </w:r>
      <w:r>
        <w:tab/>
        <w:t xml:space="preserve">Sousa, T. </w:t>
      </w:r>
      <w:r>
        <w:rPr>
          <w:i/>
          <w:iCs/>
        </w:rPr>
        <w:t>et al.</w:t>
      </w:r>
      <w:r>
        <w:t xml:space="preserve"> (2010) </w:t>
      </w:r>
      <w:hyperlink r:id="rId84">
        <w:r w:rsidR="0059760D">
          <w:rPr>
            <w:rStyle w:val="Hyperlink"/>
          </w:rPr>
          <w:t>Dynamic energy budget theory restores coherence in biology</w:t>
        </w:r>
      </w:hyperlink>
      <w:r>
        <w:t xml:space="preserve">. </w:t>
      </w:r>
      <w:r>
        <w:rPr>
          <w:i/>
          <w:iCs/>
        </w:rPr>
        <w:t>Philos. Trans. R. Soc. Lond. B Biol. Sci.</w:t>
      </w:r>
      <w:r>
        <w:t xml:space="preserve"> 365, 3413–3428</w:t>
      </w:r>
    </w:p>
    <w:p w14:paraId="3544EE79" w14:textId="77777777" w:rsidR="0059760D" w:rsidRDefault="00000000" w:rsidP="00557FAC">
      <w:pPr>
        <w:pStyle w:val="Bibliography"/>
        <w:spacing w:line="360" w:lineRule="auto"/>
      </w:pPr>
      <w:bookmarkStart w:id="118" w:name="ref-Kearney2009a"/>
      <w:bookmarkEnd w:id="117"/>
      <w:r>
        <w:t xml:space="preserve">99.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307D5C85" w14:textId="77777777" w:rsidR="0059760D" w:rsidRDefault="00000000" w:rsidP="00557FAC">
      <w:pPr>
        <w:pStyle w:val="Bibliography"/>
        <w:spacing w:line="360" w:lineRule="auto"/>
      </w:pPr>
      <w:bookmarkStart w:id="119" w:name="ref-Lande1979"/>
      <w:bookmarkEnd w:id="118"/>
      <w:r>
        <w:t xml:space="preserve">100. </w:t>
      </w:r>
      <w:r>
        <w:tab/>
        <w:t xml:space="preserve">Lande, R. (1979) </w:t>
      </w:r>
      <w:hyperlink r:id="rId85">
        <w:r w:rsidR="0059760D">
          <w:rPr>
            <w:rStyle w:val="Hyperlink"/>
          </w:rPr>
          <w:t>Quantitative genetic analysis of multivariate evolution, applied to brain:body size allometry</w:t>
        </w:r>
      </w:hyperlink>
      <w:r>
        <w:t xml:space="preserve">. </w:t>
      </w:r>
      <w:r>
        <w:rPr>
          <w:i/>
          <w:iCs/>
        </w:rPr>
        <w:t>Evolution</w:t>
      </w:r>
      <w:r>
        <w:t xml:space="preserve"> 33, 402–416</w:t>
      </w:r>
    </w:p>
    <w:p w14:paraId="54531582" w14:textId="256A67C4" w:rsidR="0059760D" w:rsidRDefault="00000000" w:rsidP="00557FAC">
      <w:pPr>
        <w:pStyle w:val="Bibliography"/>
        <w:spacing w:line="360" w:lineRule="auto"/>
      </w:pPr>
      <w:bookmarkStart w:id="120" w:name="ref-Walsh2018"/>
      <w:bookmarkEnd w:id="119"/>
      <w:r>
        <w:t xml:space="preserve">101. </w:t>
      </w:r>
      <w:r>
        <w:tab/>
        <w:t xml:space="preserve">Walsh, B. and Lynch, M. (2018) </w:t>
      </w:r>
      <w:hyperlink r:id="rId86">
        <w:r w:rsidR="0059760D" w:rsidRPr="004A4CD9">
          <w:rPr>
            <w:rStyle w:val="Hyperlink"/>
          </w:rPr>
          <w:t>Evolution and selection of quantitative traits</w:t>
        </w:r>
      </w:hyperlink>
      <w:r w:rsidR="004A4CD9">
        <w:t>.</w:t>
      </w:r>
      <w:r>
        <w:t xml:space="preserve"> Oxford University Press</w:t>
      </w:r>
    </w:p>
    <w:p w14:paraId="126D091A" w14:textId="4DA7B05E" w:rsidR="0059760D" w:rsidRDefault="00000000" w:rsidP="00557FAC">
      <w:pPr>
        <w:pStyle w:val="Bibliography"/>
        <w:spacing w:line="360" w:lineRule="auto"/>
      </w:pPr>
      <w:bookmarkStart w:id="121" w:name="ref-McGlothlin2014a"/>
      <w:bookmarkEnd w:id="120"/>
      <w:r>
        <w:t xml:space="preserve">102. </w:t>
      </w:r>
      <w:r>
        <w:tab/>
        <w:t xml:space="preserve">McGlothlin, J. and Galloway, L. (2014) </w:t>
      </w:r>
      <w:hyperlink r:id="rId87">
        <w:r w:rsidR="0059760D">
          <w:rPr>
            <w:rStyle w:val="Hyperlink"/>
          </w:rPr>
          <w:t>The contribution of maternal effects to selection response: An empirical test of competing models</w:t>
        </w:r>
      </w:hyperlink>
      <w:r>
        <w:t xml:space="preserve">. </w:t>
      </w:r>
      <w:r>
        <w:rPr>
          <w:i/>
          <w:iCs/>
        </w:rPr>
        <w:t>Evol</w:t>
      </w:r>
      <w:r w:rsidR="00D96C26">
        <w:rPr>
          <w:i/>
          <w:iCs/>
        </w:rPr>
        <w:t>.</w:t>
      </w:r>
      <w:r>
        <w:t xml:space="preserve"> 68, 549–558</w:t>
      </w:r>
    </w:p>
    <w:p w14:paraId="7C02DAFF" w14:textId="77777777" w:rsidR="0059760D" w:rsidRDefault="00000000" w:rsidP="00557FAC">
      <w:pPr>
        <w:pStyle w:val="Bibliography"/>
        <w:spacing w:line="360" w:lineRule="auto"/>
      </w:pPr>
      <w:bookmarkStart w:id="122" w:name="ref-Urban2016"/>
      <w:bookmarkEnd w:id="121"/>
      <w:r>
        <w:t xml:space="preserve">103. </w:t>
      </w:r>
      <w:r>
        <w:tab/>
        <w:t xml:space="preserve">Urban, M.C. </w:t>
      </w:r>
      <w:r>
        <w:rPr>
          <w:i/>
          <w:iCs/>
        </w:rPr>
        <w:t>et al.</w:t>
      </w:r>
      <w:r>
        <w:t xml:space="preserve"> (2016) </w:t>
      </w:r>
      <w:hyperlink r:id="rId88">
        <w:r w:rsidR="0059760D">
          <w:rPr>
            <w:rStyle w:val="Hyperlink"/>
          </w:rPr>
          <w:t>Improving the forecast for biodiversity under climate change</w:t>
        </w:r>
      </w:hyperlink>
      <w:r>
        <w:t xml:space="preserve">. </w:t>
      </w:r>
      <w:r>
        <w:rPr>
          <w:i/>
          <w:iCs/>
        </w:rPr>
        <w:t>Science</w:t>
      </w:r>
      <w:r>
        <w:t xml:space="preserve"> 353, aad8466–aad8466</w:t>
      </w:r>
    </w:p>
    <w:p w14:paraId="14985D74" w14:textId="77777777" w:rsidR="0059760D" w:rsidRDefault="00000000" w:rsidP="00557FAC">
      <w:pPr>
        <w:pStyle w:val="Bibliography"/>
        <w:spacing w:line="360" w:lineRule="auto"/>
      </w:pPr>
      <w:bookmarkStart w:id="123" w:name="ref-Kattge2020"/>
      <w:bookmarkEnd w:id="122"/>
      <w:r>
        <w:t xml:space="preserve">104. </w:t>
      </w:r>
      <w:r>
        <w:tab/>
        <w:t xml:space="preserve">Kattge, J. </w:t>
      </w:r>
      <w:r>
        <w:rPr>
          <w:i/>
          <w:iCs/>
        </w:rPr>
        <w:t>et al.</w:t>
      </w:r>
      <w:r>
        <w:t xml:space="preserve"> (2020) </w:t>
      </w:r>
      <w:hyperlink r:id="rId89">
        <w:r w:rsidR="0059760D">
          <w:rPr>
            <w:rStyle w:val="Hyperlink"/>
          </w:rPr>
          <w:t>TRY plant trait database - enhanced coverage and open access</w:t>
        </w:r>
      </w:hyperlink>
      <w:r>
        <w:t xml:space="preserve">. </w:t>
      </w:r>
      <w:r>
        <w:rPr>
          <w:i/>
          <w:iCs/>
        </w:rPr>
        <w:t>Glob. Chang. Biol.</w:t>
      </w:r>
      <w:r>
        <w:t xml:space="preserve"> 26, 119–188</w:t>
      </w:r>
    </w:p>
    <w:p w14:paraId="3445E583" w14:textId="39E0D1A5" w:rsidR="0059760D" w:rsidRDefault="00000000" w:rsidP="00557FAC">
      <w:pPr>
        <w:pStyle w:val="Bibliography"/>
        <w:spacing w:line="360" w:lineRule="auto"/>
      </w:pPr>
      <w:bookmarkStart w:id="124" w:name="ref-Leiva2025"/>
      <w:bookmarkEnd w:id="123"/>
      <w:r>
        <w:t xml:space="preserve">105. </w:t>
      </w:r>
      <w:r>
        <w:tab/>
        <w:t xml:space="preserve">Leiva, F.P. </w:t>
      </w:r>
      <w:r>
        <w:rPr>
          <w:i/>
          <w:iCs/>
        </w:rPr>
        <w:t>et al.</w:t>
      </w:r>
      <w:r>
        <w:t xml:space="preserve"> (2025) ShareTrait: Towards interoperable and reusable individual trait‐based data in ectotherms. </w:t>
      </w:r>
      <w:r>
        <w:rPr>
          <w:i/>
          <w:iCs/>
        </w:rPr>
        <w:t>Funct. Ecol.</w:t>
      </w:r>
      <w:r>
        <w:t xml:space="preserve"> </w:t>
      </w:r>
      <w:r w:rsidR="00D96C26">
        <w:t>39, 3124-3138</w:t>
      </w:r>
    </w:p>
    <w:p w14:paraId="7882992B" w14:textId="77777777" w:rsidR="0059760D" w:rsidRDefault="00000000" w:rsidP="00557FAC">
      <w:pPr>
        <w:pStyle w:val="Bibliography"/>
        <w:spacing w:line="360" w:lineRule="auto"/>
      </w:pPr>
      <w:bookmarkStart w:id="125" w:name="ref-Weiss-Lehman2022"/>
      <w:bookmarkEnd w:id="124"/>
      <w:r>
        <w:t xml:space="preserve">106.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453B0ADF" w14:textId="77777777" w:rsidR="0059760D" w:rsidRDefault="00000000" w:rsidP="00557FAC">
      <w:pPr>
        <w:pStyle w:val="Bibliography"/>
        <w:spacing w:line="360" w:lineRule="auto"/>
      </w:pPr>
      <w:bookmarkStart w:id="126" w:name="ref-Dudney2025"/>
      <w:bookmarkEnd w:id="125"/>
      <w:r>
        <w:t xml:space="preserve">107. </w:t>
      </w:r>
      <w:r>
        <w:tab/>
        <w:t xml:space="preserve">Dudney, J. </w:t>
      </w:r>
      <w:r>
        <w:rPr>
          <w:i/>
          <w:iCs/>
        </w:rPr>
        <w:t>et al.</w:t>
      </w:r>
      <w:r>
        <w:t xml:space="preserve"> (2025) </w:t>
      </w:r>
      <w:hyperlink r:id="rId90">
        <w:r w:rsidR="0059760D">
          <w:rPr>
            <w:rStyle w:val="Hyperlink"/>
          </w:rPr>
          <w:t>A causal inference framework for climate change attribution in ecology</w:t>
        </w:r>
      </w:hyperlink>
      <w:r>
        <w:t xml:space="preserve">. </w:t>
      </w:r>
      <w:r>
        <w:rPr>
          <w:i/>
          <w:iCs/>
        </w:rPr>
        <w:t>Ecol. Lett.</w:t>
      </w:r>
      <w:r>
        <w:t xml:space="preserve"> 28, e70192</w:t>
      </w:r>
    </w:p>
    <w:p w14:paraId="051CD76B" w14:textId="77777777" w:rsidR="0059760D" w:rsidRDefault="00000000" w:rsidP="00557FAC">
      <w:pPr>
        <w:pStyle w:val="Bibliography"/>
        <w:spacing w:line="360" w:lineRule="auto"/>
      </w:pPr>
      <w:bookmarkStart w:id="127" w:name="ref-Carroll2023"/>
      <w:bookmarkEnd w:id="126"/>
      <w:r>
        <w:t xml:space="preserve">108. </w:t>
      </w:r>
      <w:r>
        <w:tab/>
        <w:t xml:space="preserve">Carroll, T. </w:t>
      </w:r>
      <w:r>
        <w:rPr>
          <w:i/>
          <w:iCs/>
        </w:rPr>
        <w:t>et al.</w:t>
      </w:r>
      <w:r>
        <w:t xml:space="preserve"> (2023) </w:t>
      </w:r>
      <w:hyperlink r:id="rId91">
        <w:r w:rsidR="0059760D">
          <w:rPr>
            <w:rStyle w:val="Hyperlink"/>
          </w:rPr>
          <w:t>Biodiversity change under adaptive community dynamics</w:t>
        </w:r>
      </w:hyperlink>
      <w:r>
        <w:t xml:space="preserve">. </w:t>
      </w:r>
      <w:r>
        <w:rPr>
          <w:i/>
          <w:iCs/>
        </w:rPr>
        <w:t>Glob. Chang. Biol.</w:t>
      </w:r>
      <w:r>
        <w:t xml:space="preserve"> 29, 3525–3538</w:t>
      </w:r>
    </w:p>
    <w:p w14:paraId="3E80E582" w14:textId="77777777" w:rsidR="0059760D" w:rsidRDefault="00000000" w:rsidP="00557FAC">
      <w:pPr>
        <w:pStyle w:val="Bibliography"/>
        <w:spacing w:line="360" w:lineRule="auto"/>
      </w:pPr>
      <w:bookmarkStart w:id="128" w:name="ref-Dornhaus2022"/>
      <w:bookmarkEnd w:id="127"/>
      <w:r>
        <w:t xml:space="preserve">109. </w:t>
      </w:r>
      <w:r>
        <w:tab/>
        <w:t xml:space="preserve">Dornhaus, A. </w:t>
      </w:r>
      <w:r>
        <w:rPr>
          <w:i/>
          <w:iCs/>
        </w:rPr>
        <w:t>et al.</w:t>
      </w:r>
      <w:r>
        <w:t xml:space="preserve"> (2022) </w:t>
      </w:r>
      <w:hyperlink r:id="rId92">
        <w:r w:rsidR="0059760D">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8"/>
    <w:bookmarkEnd w:id="20"/>
    <w:bookmarkEnd w:id="128"/>
    <w:p w14:paraId="71F18A8F" w14:textId="77777777" w:rsidR="0059760D" w:rsidRDefault="0059760D" w:rsidP="00557FAC">
      <w:pPr>
        <w:pStyle w:val="BodyText"/>
        <w:spacing w:line="360" w:lineRule="auto"/>
      </w:pPr>
    </w:p>
    <w:sectPr w:rsidR="0059760D"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C9CBE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778330235">
    <w:abstractNumId w:val="10"/>
  </w:num>
  <w:num w:numId="86" w16cid:durableId="9187137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53D9D"/>
    <w:rsid w:val="00096CDB"/>
    <w:rsid w:val="000A7CF1"/>
    <w:rsid w:val="000D5CE6"/>
    <w:rsid w:val="00125950"/>
    <w:rsid w:val="00176022"/>
    <w:rsid w:val="001F534E"/>
    <w:rsid w:val="00214256"/>
    <w:rsid w:val="00243CEC"/>
    <w:rsid w:val="002C0BFC"/>
    <w:rsid w:val="002D372F"/>
    <w:rsid w:val="002D6737"/>
    <w:rsid w:val="0038068E"/>
    <w:rsid w:val="00425EA9"/>
    <w:rsid w:val="004904DE"/>
    <w:rsid w:val="004A4CD9"/>
    <w:rsid w:val="004B3331"/>
    <w:rsid w:val="004D66FF"/>
    <w:rsid w:val="00553B80"/>
    <w:rsid w:val="00557FAC"/>
    <w:rsid w:val="00566D54"/>
    <w:rsid w:val="0059760D"/>
    <w:rsid w:val="005A5007"/>
    <w:rsid w:val="005A7253"/>
    <w:rsid w:val="005C38E5"/>
    <w:rsid w:val="005D3830"/>
    <w:rsid w:val="00670D8D"/>
    <w:rsid w:val="00676013"/>
    <w:rsid w:val="00695A9B"/>
    <w:rsid w:val="006A2A8B"/>
    <w:rsid w:val="006B186C"/>
    <w:rsid w:val="00756986"/>
    <w:rsid w:val="00765644"/>
    <w:rsid w:val="007C6197"/>
    <w:rsid w:val="008335D7"/>
    <w:rsid w:val="008455D5"/>
    <w:rsid w:val="00877794"/>
    <w:rsid w:val="008D53CE"/>
    <w:rsid w:val="008F43C3"/>
    <w:rsid w:val="0090226D"/>
    <w:rsid w:val="00943D83"/>
    <w:rsid w:val="00951576"/>
    <w:rsid w:val="00962B31"/>
    <w:rsid w:val="009C2521"/>
    <w:rsid w:val="00A1133D"/>
    <w:rsid w:val="00A43241"/>
    <w:rsid w:val="00A5574C"/>
    <w:rsid w:val="00A74310"/>
    <w:rsid w:val="00B3094C"/>
    <w:rsid w:val="00B35C3F"/>
    <w:rsid w:val="00BF2A5E"/>
    <w:rsid w:val="00C02E75"/>
    <w:rsid w:val="00D731D8"/>
    <w:rsid w:val="00D81D3F"/>
    <w:rsid w:val="00D83A93"/>
    <w:rsid w:val="00D96C26"/>
    <w:rsid w:val="00E01553"/>
    <w:rsid w:val="00E079B2"/>
    <w:rsid w:val="00E21548"/>
    <w:rsid w:val="00E50CF9"/>
    <w:rsid w:val="00E52370"/>
    <w:rsid w:val="00E535B4"/>
    <w:rsid w:val="00E61408"/>
    <w:rsid w:val="00E65615"/>
    <w:rsid w:val="00E872AD"/>
    <w:rsid w:val="00EB3A0D"/>
    <w:rsid w:val="00ED40B6"/>
    <w:rsid w:val="00FC1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DD6C12"/>
  <w15:docId w15:val="{57D0C3D1-DFF2-DF4B-9E4B-6E51F1EA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PlaceholderText">
    <w:name w:val="Placeholder Text"/>
    <w:basedOn w:val="DefaultParagraphFont"/>
    <w:semiHidden/>
    <w:rsid w:val="006B186C"/>
    <w:rPr>
      <w:color w:val="666666"/>
    </w:rPr>
  </w:style>
  <w:style w:type="character" w:styleId="FollowedHyperlink">
    <w:name w:val="FollowedHyperlink"/>
    <w:basedOn w:val="DefaultParagraphFont"/>
    <w:semiHidden/>
    <w:unhideWhenUsed/>
    <w:rsid w:val="000D5CE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330" TargetMode="External"/><Relationship Id="rId21" Type="http://schemas.openxmlformats.org/officeDocument/2006/relationships/hyperlink" Target="https://doi.org/10.1111/1365-2435.12268" TargetMode="External"/><Relationship Id="rId42" Type="http://schemas.openxmlformats.org/officeDocument/2006/relationships/hyperlink" Target="https://doi.org/10.1111/conl.12906" TargetMode="External"/><Relationship Id="rId47" Type="http://schemas.openxmlformats.org/officeDocument/2006/relationships/hyperlink" Target="https://doi.org/10.1111/pce.14050" TargetMode="External"/><Relationship Id="rId63" Type="http://schemas.openxmlformats.org/officeDocument/2006/relationships/hyperlink" Target="https://doi.org/10.1111/gcb.15215" TargetMode="External"/><Relationship Id="rId68" Type="http://schemas.openxmlformats.org/officeDocument/2006/relationships/hyperlink" Target="https://doi.org/10.1139/f54-039" TargetMode="External"/><Relationship Id="rId84" Type="http://schemas.openxmlformats.org/officeDocument/2006/relationships/hyperlink" Target="https://doi.org/10.1098/rstb.2010.0166" TargetMode="External"/><Relationship Id="rId89" Type="http://schemas.openxmlformats.org/officeDocument/2006/relationships/hyperlink" Target="https://doi.org/10.1111/gcb.14904" TargetMode="External"/><Relationship Id="rId16" Type="http://schemas.openxmlformats.org/officeDocument/2006/relationships/hyperlink" Target="https://doi.org/10.1111/gcb.70315"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02/ecs2.4506" TargetMode="External"/><Relationship Id="rId37" Type="http://schemas.openxmlformats.org/officeDocument/2006/relationships/hyperlink" Target="https://doi.org/10.1007/BF00379617" TargetMode="External"/><Relationship Id="rId53" Type="http://schemas.openxmlformats.org/officeDocument/2006/relationships/hyperlink" Target="https://doi.org/10.1002/ece3.4983" TargetMode="External"/><Relationship Id="rId58" Type="http://schemas.openxmlformats.org/officeDocument/2006/relationships/hyperlink" Target="https://doi.org/10.1098/rstb.2010.0034" TargetMode="External"/><Relationship Id="rId74" Type="http://schemas.openxmlformats.org/officeDocument/2006/relationships/hyperlink" Target="https://doi.org/10.1890/14-0976.1" TargetMode="External"/><Relationship Id="rId79" Type="http://schemas.openxmlformats.org/officeDocument/2006/relationships/hyperlink" Target="https://doi.org/10.1126/science.adp4461" TargetMode="External"/><Relationship Id="rId5" Type="http://schemas.openxmlformats.org/officeDocument/2006/relationships/image" Target="media/image1.png"/><Relationship Id="rId90" Type="http://schemas.openxmlformats.org/officeDocument/2006/relationships/hyperlink" Target="https://doi.org/10.1111/ele.70192" TargetMode="External"/><Relationship Id="rId22" Type="http://schemas.openxmlformats.org/officeDocument/2006/relationships/hyperlink" Target="https://doi.org/10.1111/1365-2745.13030" TargetMode="External"/><Relationship Id="rId27" Type="http://schemas.openxmlformats.org/officeDocument/2006/relationships/hyperlink" Target="https://doi.org/10.1111/2041-210x.13627" TargetMode="External"/><Relationship Id="rId43" Type="http://schemas.openxmlformats.org/officeDocument/2006/relationships/hyperlink" Target="https://doi.org/10.1111/nph.15395" TargetMode="External"/><Relationship Id="rId48" Type="http://schemas.openxmlformats.org/officeDocument/2006/relationships/hyperlink" Target="https://doi.org/10.1093/jxb/erae096" TargetMode="External"/><Relationship Id="rId64" Type="http://schemas.openxmlformats.org/officeDocument/2006/relationships/hyperlink" Target="https://doi.org/10.1111/2041-210x.14068" TargetMode="External"/><Relationship Id="rId69" Type="http://schemas.openxmlformats.org/officeDocument/2006/relationships/hyperlink" Target="https://doi.org/10.1007/978-94-011-2106-4" TargetMode="External"/><Relationship Id="rId8" Type="http://schemas.openxmlformats.org/officeDocument/2006/relationships/image" Target="media/image3.png"/><Relationship Id="rId51" Type="http://schemas.openxmlformats.org/officeDocument/2006/relationships/hyperlink" Target="https://doi.org/10.1016/j.jinsphys.2009.11.006" TargetMode="External"/><Relationship Id="rId72" Type="http://schemas.openxmlformats.org/officeDocument/2006/relationships/hyperlink" Target="https://doi.org/10.1038/s41559-016-0062" TargetMode="External"/><Relationship Id="rId80" Type="http://schemas.openxmlformats.org/officeDocument/2006/relationships/hyperlink" Target="https://doi.org/10.5194/gmd-9-1937-2016" TargetMode="External"/><Relationship Id="rId85" Type="http://schemas.openxmlformats.org/officeDocument/2006/relationships/hyperlink" Target="https://doi.org/10.1111/j.1558-5646.1979.tb04694.x" TargetMode="External"/><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111/ele.14376" TargetMode="External"/><Relationship Id="rId25" Type="http://schemas.openxmlformats.org/officeDocument/2006/relationships/hyperlink" Target="https://doi.org/10.1111/2041-210x.13093" TargetMode="External"/><Relationship Id="rId33" Type="http://schemas.openxmlformats.org/officeDocument/2006/relationships/hyperlink" Target="https://doi.org/10.1029/2019jd030665" TargetMode="External"/><Relationship Id="rId38" Type="http://schemas.openxmlformats.org/officeDocument/2006/relationships/hyperlink" Target="https://doi.org/10.2307/1948545" TargetMode="External"/><Relationship Id="rId46" Type="http://schemas.openxmlformats.org/officeDocument/2006/relationships/hyperlink" Target="https://doi.org/10.1073/pnas.2408583121" TargetMode="External"/><Relationship Id="rId59" Type="http://schemas.openxmlformats.org/officeDocument/2006/relationships/hyperlink" Target="https://doi.org/10.1371/journal.pcbi.1006100" TargetMode="External"/><Relationship Id="rId67" Type="http://schemas.openxmlformats.org/officeDocument/2006/relationships/hyperlink" Target="https://doi.org/10.1111/ele.70059" TargetMode="External"/><Relationship Id="rId20" Type="http://schemas.openxmlformats.org/officeDocument/2006/relationships/hyperlink" Target="https://doi.org/10.1111/2041-210x.14373" TargetMode="External"/><Relationship Id="rId41" Type="http://schemas.openxmlformats.org/officeDocument/2006/relationships/hyperlink" Target="https://doi.org/10.1126/science.adq4372" TargetMode="External"/><Relationship Id="rId54" Type="http://schemas.openxmlformats.org/officeDocument/2006/relationships/hyperlink" Target="https://doi.org/10.1016/s1364-8152(01)00008-1" TargetMode="External"/><Relationship Id="rId62" Type="http://schemas.openxmlformats.org/officeDocument/2006/relationships/hyperlink" Target="https://doi.org/10.1111/nph.15668" TargetMode="External"/><Relationship Id="rId70" Type="http://schemas.openxmlformats.org/officeDocument/2006/relationships/hyperlink" Target="https://doi.org/10.1038/nature08251" TargetMode="External"/><Relationship Id="rId75" Type="http://schemas.openxmlformats.org/officeDocument/2006/relationships/hyperlink" Target="https://doi.org/10.1098/rstb.2018.0185" TargetMode="External"/><Relationship Id="rId83" Type="http://schemas.openxmlformats.org/officeDocument/2006/relationships/hyperlink" Target="https://doi.org/10.1038/nature15256" TargetMode="External"/><Relationship Id="rId88" Type="http://schemas.openxmlformats.org/officeDocument/2006/relationships/hyperlink" Target="https://doi.org/10.1126/science.aad8466" TargetMode="External"/><Relationship Id="rId91" Type="http://schemas.openxmlformats.org/officeDocument/2006/relationships/hyperlink" Target="https://doi.org/10.1111/gcb.16680" TargetMode="External"/><Relationship Id="rId1" Type="http://schemas.openxmlformats.org/officeDocument/2006/relationships/numbering" Target="numbering.xml"/><Relationship Id="rId6" Type="http://schemas.openxmlformats.org/officeDocument/2006/relationships/hyperlink" Target="**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le.14011" TargetMode="External"/><Relationship Id="rId28" Type="http://schemas.openxmlformats.org/officeDocument/2006/relationships/hyperlink" Target="https://doi.org/10.1371/journal.pclm.0000139" TargetMode="External"/><Relationship Id="rId36" Type="http://schemas.openxmlformats.org/officeDocument/2006/relationships/hyperlink" Target="https://doi.org/10.1111/j.1365-2486.2010.02375.x" TargetMode="External"/><Relationship Id="rId49" Type="http://schemas.openxmlformats.org/officeDocument/2006/relationships/hyperlink" Target="https://doi.org/10.1111/gcb.15976" TargetMode="External"/><Relationship Id="rId57" Type="http://schemas.openxmlformats.org/officeDocument/2006/relationships/hyperlink" Target="https://doi.org/10.1016/j.ecolmodel.2019.108904"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029/2010gl042764" TargetMode="External"/><Relationship Id="rId44" Type="http://schemas.openxmlformats.org/officeDocument/2006/relationships/hyperlink" Target="https://doi.org/10.1242/jeb.224139" TargetMode="External"/><Relationship Id="rId52" Type="http://schemas.openxmlformats.org/officeDocument/2006/relationships/hyperlink" Target="https://doi.org/10.1007/978-981-99-0030-5\_6" TargetMode="External"/><Relationship Id="rId60" Type="http://schemas.openxmlformats.org/officeDocument/2006/relationships/hyperlink" Target="https://doi.org/10.1093/conphys/coab086" TargetMode="External"/><Relationship Id="rId65" Type="http://schemas.openxmlformats.org/officeDocument/2006/relationships/hyperlink" Target="https://doi.org/10.1073/pnas.1413650112" TargetMode="External"/><Relationship Id="rId73" Type="http://schemas.openxmlformats.org/officeDocument/2006/relationships/hyperlink" Target="https://doi.org/10.1086/713082" TargetMode="External"/><Relationship Id="rId78" Type="http://schemas.openxmlformats.org/officeDocument/2006/relationships/hyperlink" Target="https://doi.org/10.1016/j.ecolind.2018.05.052" TargetMode="External"/><Relationship Id="rId81" Type="http://schemas.openxmlformats.org/officeDocument/2006/relationships/hyperlink" Target="https://doi.org/10.1098/rstb.2016.0138" TargetMode="External"/><Relationship Id="rId86" Type="http://schemas.openxmlformats.org/officeDocument/2006/relationships/hyperlink" Target="https://doi.org/10.1093/oso/9780198830870.001.0001" TargetMode="External"/><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006/tpbi.2000.1486" TargetMode="External"/><Relationship Id="rId39" Type="http://schemas.openxmlformats.org/officeDocument/2006/relationships/hyperlink" Target="https://doi.org/10.1002/ecm.1240" TargetMode="External"/><Relationship Id="rId34" Type="http://schemas.openxmlformats.org/officeDocument/2006/relationships/hyperlink" Target="https://doi.org/10.1111/gcb.14037" TargetMode="External"/><Relationship Id="rId50" Type="http://schemas.openxmlformats.org/officeDocument/2006/relationships/hyperlink" Target="https://doi.org/10.1007/s11104-013-1761-6" TargetMode="External"/><Relationship Id="rId55" Type="http://schemas.openxmlformats.org/officeDocument/2006/relationships/hyperlink" Target="https://doi.org/10.1111/ecog.04680" TargetMode="External"/><Relationship Id="rId76" Type="http://schemas.openxmlformats.org/officeDocument/2006/relationships/hyperlink" Target="https://doi.org/10.1016/j.tplants.2022.02.008" TargetMode="External"/><Relationship Id="rId7" Type="http://schemas.openxmlformats.org/officeDocument/2006/relationships/image" Target="media/image2.png"/><Relationship Id="rId71" Type="http://schemas.openxmlformats.org/officeDocument/2006/relationships/hyperlink" Target="https://doi.org/10.1111/1365-2745.13056" TargetMode="External"/><Relationship Id="rId92" Type="http://schemas.openxmlformats.org/officeDocument/2006/relationships/hyperlink" Target="https://doi.org/10.1093/icb/icab142" TargetMode="External"/><Relationship Id="rId2" Type="http://schemas.openxmlformats.org/officeDocument/2006/relationships/styles" Target="styles.xml"/><Relationship Id="rId29" Type="http://schemas.openxmlformats.org/officeDocument/2006/relationships/hyperlink" Target="https://doi.org/10.1002/ecy.1444" TargetMode="External"/><Relationship Id="rId24" Type="http://schemas.openxmlformats.org/officeDocument/2006/relationships/hyperlink" Target="https://doi.org/10.1111/ecog.02360" TargetMode="External"/><Relationship Id="rId40" Type="http://schemas.openxmlformats.org/officeDocument/2006/relationships/hyperlink" Target="https://doi.org/10.1371/journal.pone.0143346" TargetMode="External"/><Relationship Id="rId45" Type="http://schemas.openxmlformats.org/officeDocument/2006/relationships/hyperlink" Target="https://doi.org/10.3389/fevo.2022.813567" TargetMode="External"/><Relationship Id="rId66" Type="http://schemas.openxmlformats.org/officeDocument/2006/relationships/hyperlink" Target="https://doi.org/10.1086/729222" TargetMode="External"/><Relationship Id="rId87" Type="http://schemas.openxmlformats.org/officeDocument/2006/relationships/hyperlink" Target="https://doi.org/10.1111/evo.12235" TargetMode="External"/><Relationship Id="rId61" Type="http://schemas.openxmlformats.org/officeDocument/2006/relationships/hyperlink" Target="https://doi.org/10.1093/nar/gkp370" TargetMode="External"/><Relationship Id="rId82" Type="http://schemas.openxmlformats.org/officeDocument/2006/relationships/hyperlink" Target="https://doi.org/10.1111/oik.08715" TargetMode="External"/><Relationship Id="rId19" Type="http://schemas.openxmlformats.org/officeDocument/2006/relationships/hyperlink" Target="https://doi.org/10.1038/s41559-021-01534-9" TargetMode="External"/><Relationship Id="rId14" Type="http://schemas.openxmlformats.org/officeDocument/2006/relationships/hyperlink" Target="https://doi.org/10.1126/science.aba9287" TargetMode="External"/><Relationship Id="rId30" Type="http://schemas.openxmlformats.org/officeDocument/2006/relationships/hyperlink" Target="https://doi.org/10.1093/conphys/coz028" TargetMode="External"/><Relationship Id="rId35" Type="http://schemas.openxmlformats.org/officeDocument/2006/relationships/hyperlink" Target="https://doi.org/10.1016/j.envsoft.2018.02.002" TargetMode="External"/><Relationship Id="rId56" Type="http://schemas.openxmlformats.org/officeDocument/2006/relationships/hyperlink" Target="https://doi.org/10.1111/J.1365-2656.2000.00448.X" TargetMode="External"/><Relationship Id="rId77" Type="http://schemas.openxmlformats.org/officeDocument/2006/relationships/hyperlink" Target="https://doi.org/10.1007/s10113-019-014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TotalTime>
  <Pages>27</Pages>
  <Words>9578</Words>
  <Characters>54601</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60</cp:revision>
  <dcterms:created xsi:type="dcterms:W3CDTF">2025-12-12T04:01:00Z</dcterms:created>
  <dcterms:modified xsi:type="dcterms:W3CDTF">2025-12-12T23:33:00Z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