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089D" w14:textId="77777777" w:rsidR="0059760D" w:rsidRDefault="00000000">
      <w:pPr>
        <w:pStyle w:val="Title"/>
      </w:pPr>
      <w:r>
        <w:t>A systems-modelling approach to predict biological responses to extreme heat</w:t>
      </w:r>
    </w:p>
    <w:p w14:paraId="38503A90" w14:textId="77777777" w:rsidR="0059760D"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78E383BF" w14:textId="77777777" w:rsidR="0059760D" w:rsidRDefault="00000000">
      <w:pPr>
        <w:pStyle w:val="BodyText"/>
      </w:pPr>
      <w:r>
        <w:rPr>
          <w:b/>
          <w:bCs/>
        </w:rPr>
        <w:t>Affiliations</w:t>
      </w:r>
      <w:r>
        <w:t>:</w:t>
      </w:r>
    </w:p>
    <w:p w14:paraId="4B4223A2" w14:textId="77777777" w:rsidR="0059760D" w:rsidRDefault="00000000">
      <w:pPr>
        <w:pStyle w:val="BodyText"/>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35DD166" w14:textId="3C65DF4F" w:rsidR="0059760D" w:rsidRDefault="00000000">
      <w:pPr>
        <w:pStyle w:val="BodyText"/>
      </w:pP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0136FDD7" w14:textId="77777777" w:rsidR="0059760D" w:rsidRDefault="00000000">
      <w:pPr>
        <w:pStyle w:val="Heading4"/>
      </w:pPr>
      <w:bookmarkStart w:id="0" w:name="X456192babd66a3e396aba1ede195d34a3d1f89a"/>
      <w:r>
        <w:t>Keywords: plant-animal interactions, microclimate, biophysical models, thermal load sensitivity, dynamic energy budget models, coexistence theory, ecological modelling, population dynamic models</w:t>
      </w:r>
    </w:p>
    <w:p w14:paraId="35B4D508" w14:textId="77777777" w:rsidR="0059760D" w:rsidRDefault="00000000">
      <w:pPr>
        <w:pStyle w:val="Heading1"/>
      </w:pPr>
      <w:bookmarkStart w:id="1" w:name="abstract"/>
      <w:bookmarkEnd w:id="0"/>
      <w:r>
        <w:t>Abstract</w:t>
      </w:r>
    </w:p>
    <w:p w14:paraId="755D6906" w14:textId="77777777" w:rsidR="0059760D" w:rsidRDefault="00000000">
      <w:pPr>
        <w:pStyle w:val="FirstParagraph"/>
      </w:pPr>
      <w:r>
        <w:t>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1B92FDAC" w14:textId="77777777" w:rsidR="0059760D" w:rsidRDefault="00000000">
      <w:pPr>
        <w:pStyle w:val="Heading1"/>
      </w:pPr>
      <w:bookmarkStart w:id="2" w:name="Xe4b8c356939b3cc7693ee883750fbc90cda6ece"/>
      <w:bookmarkEnd w:id="1"/>
      <w:r>
        <w:t>A systems-modelling approach to understand the biotic impacts of heatwaves</w:t>
      </w:r>
    </w:p>
    <w:p w14:paraId="711A77F0" w14:textId="77777777" w:rsidR="0059760D" w:rsidRDefault="00000000">
      <w:pPr>
        <w:pStyle w:val="FirstParagraph"/>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w:t>
      </w:r>
      <w:r>
        <w:lastRenderedPageBreak/>
        <w:t>effects on interactions (both positive and negative) among species [e.g., 12]. Understanding the dynamic interplay between direct and indirect effects of extreme heat, and how these are mediated by environmental factors (e.g., water and food availability, microbial community),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a community. This approach will require interdisciplinary collaboration to integrate biophysical, physiological, population and community ecology processes so that we can capture and model the dynamic feedbacks, nonlinearities and interactions between species that drive responses across scales [15,16].</w:t>
      </w:r>
    </w:p>
    <w:p w14:paraId="1F7824D5" w14:textId="77777777" w:rsidR="0059760D" w:rsidRDefault="00000000">
      <w:pPr>
        <w:pStyle w:val="BodyText"/>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Pr>
            <w:rStyle w:val="Hyperlink"/>
          </w:rPr>
          <w:t>Figure 1</w:t>
        </w:r>
      </w:hyperlink>
      <w:r>
        <w:t>). We focus on plant and insect communities given the strong interconnections between them, the ease with which they can and have been studied, and their importance to socioecological systems [17]. Physiological models can now be seamlessly integrated with biophysical models to characterize temperatures experienced by organisms and simulate the effects of extreme heat events on the entire life cycle of species within ecological communities [18–21] (</w:t>
      </w:r>
      <w:hyperlink w:anchor="fig-sys">
        <w:r>
          <w:rPr>
            <w:rStyle w:val="Hyperlink"/>
          </w:rPr>
          <w:t>Figure 1</w:t>
        </w:r>
      </w:hyperlink>
      <w:r>
        <w:t>). Physiological models that incorporate estimates of thermal sensitivity across species can capture the delicate balance between damage and repair of physiological systems [10,11,13,22],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[23,24].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9760D" w14:paraId="1AE876A3" w14:textId="77777777">
        <w:tc>
          <w:tcPr>
            <w:tcW w:w="7920" w:type="dxa"/>
          </w:tcPr>
          <w:p w14:paraId="5F29AF8E" w14:textId="77777777" w:rsidR="0059760D" w:rsidRDefault="00000000">
            <w:pPr>
              <w:pStyle w:val="Compact"/>
              <w:jc w:val="center"/>
            </w:pPr>
            <w:bookmarkStart w:id="3" w:name="fig-sys"/>
            <w:r>
              <w:rPr>
                <w:noProof/>
              </w:rPr>
              <w:lastRenderedPageBreak/>
              <w:drawing>
                <wp:inline distT="0" distB="0" distL="0" distR="0" wp14:anchorId="5A5D8416" wp14:editId="50A12ECF">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5D40D2EB" w14:textId="77777777" w:rsidR="0059760D" w:rsidRDefault="00000000">
            <w:pPr>
              <w:pStyle w:val="ImageCaption"/>
              <w:spacing w:before="200"/>
            </w:pPr>
            <w:r w:rsidRPr="00ED40B6">
              <w:rPr>
                <w:b/>
                <w:bCs/>
              </w:rPr>
              <w:t>Figure 1-</w:t>
            </w:r>
            <w:r>
              <w:t xml:space="preserve"> </w:t>
            </w:r>
            <w:r>
              <w:rPr>
                <w:b/>
                <w:bCs/>
              </w:rPr>
              <w:t>A coupled systems modelling framework for predicting the effects of extreme heat on ecological communities</w:t>
            </w:r>
            <w:r>
              <w:t>. The modelling approach we review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(e.g., 50% survival thresholds, LT50)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species). Environment-mediated feedback loops (4) influence organism thermal exposure and sensitivity, including water availability and microbial communities, which can vary across different life stages and organs depending on the microclimates occupied.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631C08F4" w14:textId="77777777" w:rsidR="0059760D" w:rsidRDefault="00000000">
      <w:pPr>
        <w:pStyle w:val="Heading1"/>
      </w:pPr>
      <w:bookmarkStart w:id="4" w:name="X4da05dea4acdb2054c1e59c2f12913febac8a0c"/>
      <w:bookmarkEnd w:id="2"/>
      <w:r>
        <w:lastRenderedPageBreak/>
        <w:t>From weather to microclimates: predicting community wide exposure to extreme heat</w:t>
      </w:r>
    </w:p>
    <w:p w14:paraId="45906C41" w14:textId="28526823" w:rsidR="0059760D" w:rsidRDefault="00000000">
      <w:pPr>
        <w:pStyle w:val="FirstParagraph"/>
      </w:pPr>
      <w:r>
        <w:t>Extreme weather events such as heatwaves are predicted by Global Circulation Models (GCMs), typically at large spatial scales (e.g. 0.5</w:t>
      </w:r>
      <w:r w:rsidR="00ED40B6">
        <w:sym w:font="Symbol" w:char="F0B0"/>
      </w:r>
      <w:r>
        <w:t>grid cells), and can be regionalized by downscaling to smaller spatial scales. However, species within communities experience heatwaves differently because of the varied microhabitats they occupy. For example, while air temperature may be 50°C, an organism a metre below the soil surface may be exposed to temperatures ~20°C cooler (</w:t>
      </w:r>
      <w:hyperlink w:anchor="fig-sys">
        <w:r>
          <w:rPr>
            <w:rStyle w:val="Hyperlink"/>
          </w:rPr>
          <w:t>Figure 1</w:t>
        </w:r>
      </w:hyperlink>
      <w:r>
        <w:t xml:space="preserve">). Therefore, to understand how extreme heat affects a community of organisms, we must characterize the </w:t>
      </w:r>
      <w:r>
        <w:rPr>
          <w:b/>
          <w:bCs/>
        </w:rPr>
        <w:t>microclimates</w:t>
      </w:r>
      <w:r>
        <w:t xml:space="preserve">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[25–32]. Capturing the interaction between soil moisture and temperature in microclimate models is critical because the same atmospheric heat wave can have different implications for microclimatic conditions depending on the recent history of rainfall and temperature [33]. Downscaling to microclimate conditions requires the specification of key environmental properties (e.g. % shade, soil characteristics, surface albedo) at a fine scale (metres) for the local area of interest. Depending on the organism and question of interest, not all input variables are needed to parameterize a given microclimate calculation, as recent guides to microclimate modelling illustrate [e.g., 34,35,36].</w:t>
      </w:r>
    </w:p>
    <w:p w14:paraId="5095DDDE" w14:textId="1AA83B2E" w:rsidR="0059760D" w:rsidRDefault="00000000">
      <w:pPr>
        <w:pStyle w:val="BodyText"/>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While the large-scale feedbacks from plant and soil dynamics to heatwave development are captured in GCMs [e.g. 37], these dynamics are also important in determining thermal regimes at micro-scales. For example, plant water use dynamics can amplify or reduce within-canopy temperatures via effects on photosynthetic capacity, stomatal decoupling, cuticular conductance, leaf damage and plant mortality [20,38].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phenology,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w:t>
      </w:r>
      <w:r w:rsidR="00176022">
        <w:t>(</w:t>
      </w:r>
      <w:r>
        <w:t xml:space="preserve">e.g. Agricultural Production Systems </w:t>
      </w:r>
      <w:proofErr w:type="spellStart"/>
      <w:r>
        <w:t>sIMulator</w:t>
      </w:r>
      <w:proofErr w:type="spellEnd"/>
      <w:r>
        <w:t xml:space="preserve"> (APSIM); [39]</w:t>
      </w:r>
      <w:r w:rsidR="00176022">
        <w:t>)</w:t>
      </w:r>
      <w:r>
        <w:t xml:space="preserve"> up to the dynamic global vegetation models (DGVMs) that simulate vegetation function and distribution at local to global scales [40].</w:t>
      </w:r>
    </w:p>
    <w:p w14:paraId="206D68D7" w14:textId="77777777" w:rsidR="0059760D" w:rsidRDefault="00000000">
      <w:pPr>
        <w:pStyle w:val="Heading1"/>
      </w:pPr>
      <w:bookmarkStart w:id="5" w:name="X5a6e6d313f4187bfc77082e5e5979262b26b081"/>
      <w:bookmarkEnd w:id="4"/>
      <w:r>
        <w:t>Translating exposure to organism temperature: biophysics to the rescue!</w:t>
      </w:r>
    </w:p>
    <w:p w14:paraId="205BB5C2" w14:textId="77777777" w:rsidR="0059760D" w:rsidRDefault="00000000">
      <w:pPr>
        <w:pStyle w:val="FirstParagraph"/>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 [41,42] but have become more widely applied in ecology in the past 20 years, facilitated by developments in environmental datasets, microclimate modelling, and the emergence of high-level programming languages such as R [21]. Biophysical models of ectothermic animals make use of equations for energy and mass exchange between an organism and its environment and can account for complex radiative heat transfer and the role of evaporative water loss across surfaces [21,25,43]. Equivalent models of </w:t>
      </w:r>
      <w:r>
        <w:lastRenderedPageBreak/>
        <w:t xml:space="preserve">leaves incorporate the dynamic role of stomata </w:t>
      </w:r>
      <w:hyperlink r:id="rId6">
        <w:r>
          <w:rPr>
            <w:rStyle w:val="Hyperlink"/>
          </w:rPr>
          <w:t>[44]; [20]</w:t>
        </w:r>
      </w:hyperlink>
      <w:r>
        <w:t>. Biophysical models are powerful because, by translating microclimate conditions to organism body temperature and hydric states, simple regulatory decision-making models can be used [45,46]. For example, given an understanding of an organism’s thermal activity windows, thermal optima, and critical thermal limits we can determine what microclimates the organism should chose to get close to its target body temperature [e.g., 45,46]. Such behavioural thermoregulatory decision making is crucial for mitigating the negative impacts of extreme heat and incorporating it into models can inherently capture the trade-offs such a strategy entails through reduced foraging time [21,45]. Similarly, changes in stomatal behaviour can mitigate or exacerbate the extreme temperatures leaf tissue experiences while simultaneously shaping the microclimate conditions for other organisms [20,47] (</w:t>
      </w:r>
      <w:r>
        <w:rPr>
          <w:b/>
          <w:bCs/>
        </w:rPr>
        <w:t>Box 1</w:t>
      </w:r>
      <w:r>
        <w:t>). 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 can enact emergency cooling, departing from the typical responses to vapor pressure and light intensity [38], though this response may depend on prior soil moisture conditions [50]. Although biophysical models require many traits for parameterization, the models and parameters can be tailored to the question and organism of interest [21]. In addition, many traits can be approximated based on traits of similar species, and then validated and updated as more species-specific data become available.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958890C" w14:textId="77777777" w:rsidR="0059760D" w:rsidRDefault="00000000">
      <w:pPr>
        <w:pStyle w:val="Heading1"/>
      </w:pPr>
      <w:bookmarkStart w:id="6" w:name="X034f8e5698580bf7448238067f484f5e1d792b9"/>
      <w:bookmarkEnd w:id="5"/>
      <w:r>
        <w:t>Capturing both physiological damage and repair to predict multi-species thermal sensitivity</w:t>
      </w:r>
    </w:p>
    <w:p w14:paraId="548E8CB1" w14:textId="77777777" w:rsidR="0059760D"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[22,51]. Sensitivity to extreme heat can be captured by </w:t>
      </w:r>
      <w:r>
        <w:rPr>
          <w:b/>
          <w:bCs/>
        </w:rPr>
        <w:t>thermal load sensitivity (TLS) / thermal death time (TDT)</w:t>
      </w:r>
      <w:r>
        <w:t xml:space="preserve"> models that explicitly account for how heat stress depends on both the body temperature experienced and its duration [13,22].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ins w:id="7"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ins w:id="8"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80</m:t>
            </m:r>
          </m:sub>
        </m:sSub>
      </m:oMath>
      <w:r>
        <w:t xml:space="preserve">) or some measure of reduced fertility, but this need not be the case [13]. Endpoints are predicted by assuming the effect of time at a given temperature decreases survival and/or fertility exponentially, and have been shown to have high predictive power [10,11,22,51]. For example, Ørsted </w:t>
      </w:r>
      <w:r>
        <w:rPr>
          <w:i/>
          <w:iCs/>
        </w:rPr>
        <w:t>et al.</w:t>
      </w:r>
      <w:r>
        <w:t xml:space="preserve"> [11] show that both mortality and fecundity follow a clear exponential relationship with time in the Spotted Wing Drosophila (</w:t>
      </w:r>
      <w:r>
        <w:rPr>
          <w:i/>
          <w:iCs/>
        </w:rPr>
        <w:t>Drosophila suzukii</w:t>
      </w:r>
      <w:r>
        <w:t>), with survival and fecundity being compromised most for long thermal exposures at high temperatures. Importantly, they also show that reproductive sensitivity can be higher than mortality, with heat injury impacts accumulating faster for reproduction than survival [11]. TLS theory also applies well to photosynthetic function in plants [52,53], highlighting its generality. TLS models are crucial for predicting how heat waves affect organisms because accumulated damage to physiological systems can result in lagged responses to heat stress or exacerbate future stress (i.e., future heat waves / droughts) – a common feature of extreme heat events [13,54].</w:t>
      </w:r>
    </w:p>
    <w:p w14:paraId="7BB83B89" w14:textId="77777777" w:rsidR="0059760D" w:rsidRDefault="00000000">
      <w:pPr>
        <w:pStyle w:val="BodyText"/>
      </w:pPr>
      <w:r>
        <w:t>Environmental factors known to impact thermal sensitivity, such as water and drought stress [e.g., 55,56], along with nutritional and dietary changes [e.g., 57,58], can be incorporated into systems modelling approaches through their impacts on thermal sensitivity and tolerance [13] (</w:t>
      </w:r>
      <w:hyperlink w:anchor="fig-sys">
        <w:r>
          <w:rPr>
            <w:rStyle w:val="Hyperlink"/>
          </w:rPr>
          <w:t>Figure 1</w:t>
        </w:r>
      </w:hyperlink>
      <w:r>
        <w:t xml:space="preserve">).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w:t>
      </w:r>
      <w:r>
        <w:lastRenderedPageBreak/>
        <w:t>plants [59,60], and gut microbiota can improve heat tolerance in animals [61].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68157559" w14:textId="77777777">
        <w:trPr>
          <w:cantSplit/>
        </w:trPr>
        <w:tc>
          <w:tcPr>
            <w:tcW w:w="0" w:type="auto"/>
            <w:tcMar>
              <w:left w:w="144" w:type="dxa"/>
            </w:tcMar>
          </w:tcPr>
          <w:p w14:paraId="65D103C8" w14:textId="77777777" w:rsidR="0059760D" w:rsidRDefault="00000000">
            <w:pPr>
              <w:pStyle w:val="BodyText"/>
              <w:spacing w:before="16" w:after="64"/>
            </w:pPr>
            <w:r>
              <w:rPr>
                <w:b/>
                <w:bCs/>
              </w:rPr>
              <w:lastRenderedPageBreak/>
              <w:t>Box 1: Building a systems modelling approach to capture multi-species exposure to extreme heat</w:t>
            </w:r>
          </w:p>
          <w:p w14:paraId="1E8B0A2B" w14:textId="77777777" w:rsidR="0059760D" w:rsidRDefault="00000000">
            <w:pPr>
              <w:pStyle w:val="BodyText"/>
              <w:spacing w:before="16"/>
            </w:pPr>
            <w:r>
              <w:t>Here we outline how a systems-modelling approach can be developed, illustrated with a simple hypothetical community (Figure I).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5711C66C" w14:textId="77777777" w:rsidR="0059760D" w:rsidRDefault="00000000">
            <w:pPr>
              <w:pStyle w:val="BodyText"/>
            </w:pPr>
            <w:r>
              <w:t xml:space="preserve">The context is a heatwave event in January 2018/19 at Renmark, South Australia (Calperum Station). The historical SILO climate dataset (0.05° resolution, 1889 to present) [62] was used as input to the </w:t>
            </w:r>
            <w:r>
              <w:rPr>
                <w:rStyle w:val="VerbatimChar"/>
              </w:rPr>
              <w:t>micro_silo</w:t>
            </w:r>
            <w:r>
              <w:t xml:space="preserve"> function in </w:t>
            </w:r>
            <w:r>
              <w:rPr>
                <w:i/>
                <w:iCs/>
              </w:rPr>
              <w:t>NicheMapR</w:t>
            </w:r>
            <w:r>
              <w:t xml:space="preserve"> [20,63], in conjunction with </w:t>
            </w:r>
            <w:r>
              <w:rPr>
                <w:i/>
                <w:iCs/>
              </w:rPr>
              <w:t>microclima</w:t>
            </w:r>
            <w:r>
              <w:t xml:space="preserve"> [26,27]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5FF5FCEB" w14:textId="77777777" w:rsidR="0059760D" w:rsidRDefault="00000000">
            <w:pPr>
              <w:pStyle w:val="BodyText"/>
            </w:pPr>
            <w:r>
              <w:t xml:space="preserve">With available microclimates predicted, we can compute leaf and body temperatures using biophysical models. However, plant temperatures will impact the temperatures experienced by the grasshoppers because plant stomatal conductance changes in response to extreme heat events. Stomatal responses of leaves to their environment can be captured with the help of the </w:t>
            </w:r>
            <w:r>
              <w:rPr>
                <w:i/>
                <w:iCs/>
              </w:rPr>
              <w:t>plantecophys</w:t>
            </w:r>
            <w:r>
              <w:t xml:space="preserve"> package [44] and used in conjunction with the </w:t>
            </w:r>
            <w:r>
              <w:rPr>
                <w:rStyle w:val="VerbatimChar"/>
              </w:rPr>
              <w:t>ectotherm</w:t>
            </w:r>
            <w:r>
              <w:t xml:space="preserve"> function in </w:t>
            </w:r>
            <w:r>
              <w:rPr>
                <w:i/>
                <w:iCs/>
              </w:rPr>
              <w:t>NicheMapR</w:t>
            </w:r>
            <w:r>
              <w:t xml:space="preserve"> to compute realistic leaf temperatures as stomata open and close in response to temperature and vapor pressure deficit (Figure I). The combination of microclimate, leaf traits (e.g., shape, leaf conductance, emissivity) and stomatal behaviour thereby produces realistic leaf temperature estimates during the heatwave event.</w:t>
            </w:r>
          </w:p>
          <w:p w14:paraId="7AF49B7C" w14:textId="77777777" w:rsidR="0059760D" w:rsidRDefault="00000000">
            <w:pPr>
              <w:pStyle w:val="BodyText"/>
            </w:pPr>
            <w:r>
              <w:t xml:space="preserve">Calculated leaf temperature can then become part of the microclimate of the insects (Figure I).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For example, Species B moves to cooler parts of the plant to minimize thermal stress, when possible (Figure I),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9760D" w14:paraId="277028DD" w14:textId="77777777">
              <w:tc>
                <w:tcPr>
                  <w:tcW w:w="0" w:type="auto"/>
                </w:tcPr>
                <w:p w14:paraId="14FDD544" w14:textId="77777777" w:rsidR="0059760D" w:rsidRDefault="00000000">
                  <w:pPr>
                    <w:pStyle w:val="Compact"/>
                    <w:jc w:val="center"/>
                  </w:pPr>
                  <w:bookmarkStart w:id="9" w:name="fig-box1"/>
                  <w:r>
                    <w:rPr>
                      <w:noProof/>
                    </w:rPr>
                    <w:lastRenderedPageBreak/>
                    <w:drawing>
                      <wp:inline distT="0" distB="0" distL="0" distR="0" wp14:anchorId="528DADD7" wp14:editId="5D64643C">
                        <wp:extent cx="6106886" cy="3952058"/>
                        <wp:effectExtent l="0" t="0" r="190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112902" cy="3955951"/>
                                </a:xfrm>
                                <a:prstGeom prst="rect">
                                  <a:avLst/>
                                </a:prstGeom>
                                <a:noFill/>
                                <a:ln w="9525">
                                  <a:noFill/>
                                  <a:headEnd/>
                                  <a:tailEnd/>
                                </a:ln>
                              </pic:spPr>
                            </pic:pic>
                          </a:graphicData>
                        </a:graphic>
                      </wp:inline>
                    </w:drawing>
                  </w:r>
                </w:p>
                <w:p w14:paraId="68EB56DC" w14:textId="6F662950" w:rsidR="0059760D" w:rsidRDefault="00000000">
                  <w:pPr>
                    <w:pStyle w:val="ImageCaption"/>
                    <w:spacing w:before="200"/>
                  </w:pPr>
                  <w:r>
                    <w:t>Figure I: Predicting and coupling microclimate and biophysical models of a plant and two grasshopper species that vary in their thermal tolerance and life history (A). Biophysical and thermoregulatory models use miroclimate data to predict leaf (B) and grasshopper (C) temperatures through time (coloured lines) incorporating changes in insect and stomatal behaviour. Created with BioRender.com.</w:t>
                  </w:r>
                </w:p>
              </w:tc>
              <w:bookmarkEnd w:id="9"/>
            </w:tr>
          </w:tbl>
          <w:p w14:paraId="14DC7231" w14:textId="77777777" w:rsidR="00000000" w:rsidRDefault="00000000">
            <w:pPr>
              <w:spacing w:after="0"/>
            </w:pPr>
          </w:p>
        </w:tc>
      </w:tr>
    </w:tbl>
    <w:p w14:paraId="1A43D657" w14:textId="77777777" w:rsidR="0059760D"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E336C3C" w14:textId="77777777">
        <w:trPr>
          <w:cantSplit/>
        </w:trPr>
        <w:tc>
          <w:tcPr>
            <w:tcW w:w="0" w:type="auto"/>
            <w:tcMar>
              <w:left w:w="144" w:type="dxa"/>
            </w:tcMar>
          </w:tcPr>
          <w:p w14:paraId="37827683" w14:textId="77777777" w:rsidR="0059760D" w:rsidRDefault="00000000">
            <w:pPr>
              <w:pStyle w:val="BodyText"/>
              <w:spacing w:before="16" w:after="64"/>
            </w:pPr>
            <w:r>
              <w:rPr>
                <w:b/>
                <w:bCs/>
              </w:rPr>
              <w:lastRenderedPageBreak/>
              <w:t>Glossary</w:t>
            </w:r>
          </w:p>
          <w:p w14:paraId="23094E31" w14:textId="77777777" w:rsidR="0059760D" w:rsidRDefault="00000000">
            <w:pPr>
              <w:pStyle w:val="BodyText"/>
              <w:spacing w:before="16"/>
            </w:pPr>
            <w:r>
              <w:rPr>
                <w:b/>
                <w:bCs/>
              </w:rPr>
              <w:t>Coexistence</w:t>
            </w:r>
            <w:r>
              <w:t>: Coexistence occurs when populations of two or more species are able to persist in each other’s presence indefinitely at steady state under constant abiotic conditions.</w:t>
            </w:r>
          </w:p>
          <w:p w14:paraId="37097608" w14:textId="77777777" w:rsidR="0059760D" w:rsidRDefault="00000000">
            <w:pPr>
              <w:pStyle w:val="BodyText"/>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0101EEA5" w14:textId="77777777" w:rsidR="0059760D" w:rsidRDefault="00000000">
            <w:pPr>
              <w:pStyle w:val="BodyText"/>
            </w:pPr>
            <w:r>
              <w:rPr>
                <w:b/>
                <w:bCs/>
              </w:rPr>
              <w:t>Microclimate</w:t>
            </w:r>
            <w:r>
              <w:t>: Microclimates are the local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422CEC55" w14:textId="77777777" w:rsidR="0059760D" w:rsidRDefault="00000000">
            <w:pPr>
              <w:pStyle w:val="BodyText"/>
            </w:pPr>
            <w:r>
              <w:rPr>
                <w:b/>
                <w:bCs/>
              </w:rPr>
              <w:t>Functional traits</w:t>
            </w:r>
            <w:r>
              <w:t>: Functional traits are the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50736227" w14:textId="77777777" w:rsidR="0059760D" w:rsidRDefault="00000000">
            <w:pPr>
              <w:pStyle w:val="BodyText"/>
            </w:pPr>
            <w:r>
              <w:rPr>
                <w:b/>
                <w:bCs/>
              </w:rPr>
              <w:t>Biophysical models</w:t>
            </w:r>
            <w:r>
              <w:t>: Biophysical models capture the balances of heat, water, and other aspects of energy and mass exchange between organisms and their microclimatic environment to predict how organisms function, survive, and behave in varying environments.</w:t>
            </w:r>
          </w:p>
          <w:p w14:paraId="75895F56" w14:textId="77777777" w:rsidR="0059760D" w:rsidRDefault="00000000">
            <w:pPr>
              <w:pStyle w:val="BodyText"/>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321B5909" w14:textId="77777777" w:rsidR="0059760D" w:rsidRDefault="00000000">
            <w:pPr>
              <w:pStyle w:val="BodyText"/>
              <w:spacing w:after="16"/>
            </w:pPr>
            <w:r>
              <w:rPr>
                <w:b/>
                <w:bCs/>
              </w:rPr>
              <w:t>Vital rates</w:t>
            </w:r>
            <w:r>
              <w:t>: Demographic parameters that determine how populations change over time. They include measures of birth, death, growth, and reproduction.</w:t>
            </w:r>
          </w:p>
        </w:tc>
      </w:tr>
    </w:tbl>
    <w:p w14:paraId="75CC1BF3" w14:textId="77777777" w:rsidR="0059760D" w:rsidRDefault="00000000">
      <w:pPr>
        <w:pStyle w:val="Heading1"/>
      </w:pPr>
      <w:bookmarkStart w:id="10" w:name="Xa42fff9f9b55ab8c457a10a6df2c5c7c3edac3c"/>
      <w:bookmarkEnd w:id="6"/>
      <w:r>
        <w:t>Physiological models that capture the effects of extreme heat across life</w:t>
      </w:r>
    </w:p>
    <w:p w14:paraId="32593788" w14:textId="0BD7EEF0" w:rsidR="0059760D" w:rsidRDefault="00000000">
      <w:pPr>
        <w:pStyle w:val="FirstParagraph"/>
      </w:pPr>
      <w:r>
        <w:t>Accumulated damage to an organism from experiencing extreme heat events will impact survival probability in the future and needs to be integrated with a full account of growth, development and reproduction through life to scale effects to populations and communities. Dynamic Energy Budget (DEB) models are physiologically-explicit life-cycle models of energy and mass uptake and conversion that predict key life-history transitions, growth, reproduction and survival (senescence) through time [18,64]. DEB models consider organisms as a thermodynamic system (fully obeying energy-mass conservation) capturing the exchange of food, water, respiratory gases and metabolic waste throughout the life cycle [21]. DEB models can translate short-term (hours) variation in factors such as temperature, toxins (e.g., toxicants, [65]) and resource availability (nutrients) [66,67] into long-term (days, months, years) effects on development, growth, reproduction and survival [19,21]. DEB theory, when combined with biophysical models more generally, allows the full water budget to be computed to account for heat stress impacts of a hydric nature [21].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are parameter-sparse (one parameter per process). Moreover, the necessary parameters have already been estimated for &gt; 7000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[25,63] allow for simulations of life-cycles using </w:t>
      </w:r>
      <w:r>
        <w:lastRenderedPageBreak/>
        <w:t xml:space="preserve">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23B438CB" w14:textId="77777777" w:rsidR="0059760D" w:rsidRDefault="00000000">
      <w:pPr>
        <w:pStyle w:val="BodyText"/>
      </w:pPr>
      <w:r>
        <w:t>Analogously, physiology-based vegetation models simulate plant growth over time as a function of carbon, water and nutrient uptake and use, following mass balance principles [71].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53F39C29" w14:textId="77777777" w:rsidR="0059760D" w:rsidRDefault="00000000">
      <w:pPr>
        <w:pStyle w:val="Heading1"/>
      </w:pPr>
      <w:bookmarkStart w:id="11" w:name="Xe20b556bb99a49ef81dd5b1307d42fae8e49e0c"/>
      <w:bookmarkEnd w:id="10"/>
      <w:r>
        <w:t>Mechanistic approaches that ‘speak’ to population and community ecology under extreme heat</w:t>
      </w:r>
    </w:p>
    <w:p w14:paraId="43BAB79F" w14:textId="77777777" w:rsidR="0059760D" w:rsidRDefault="00000000">
      <w:pPr>
        <w:pStyle w:val="FirstParagraph"/>
      </w:pPr>
      <w:r>
        <w:t xml:space="preserve">Modelling tools developed as part of </w:t>
      </w:r>
      <w:r>
        <w:rPr>
          <w:b/>
          <w:bCs/>
        </w:rPr>
        <w:t>Modern Coexistence Theory</w:t>
      </w:r>
      <w:r>
        <w:t xml:space="preserve"> [MCT, 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[15,74]. Other extensions of MCT tools have integrated environmental variation [24], traits [75] and cross-trophic dynamics [76,77] in predicting the outcomes of species interactions in community contexts. Fundamentally, this approach relies on simple two-species individual-based population growth models [78,79], but key extensions involve the use of whole communities as one “species” [80,81] or the grouping of species to simplify interaction matrices while accounting for a small number of dominant species [77].</w:t>
      </w:r>
    </w:p>
    <w:p w14:paraId="6D2329B9" w14:textId="77777777" w:rsidR="0059760D" w:rsidRDefault="00000000">
      <w:pPr>
        <w:pStyle w:val="BodyText"/>
      </w:pPr>
      <w:r>
        <w:t>Population dynamic models that are used as part of MCT can calculate the individual fitness effect of interactions in relation to environments experienced by organisms [23,77,82] (</w:t>
      </w:r>
      <w:r>
        <w:rPr>
          <w:b/>
          <w:bCs/>
        </w:rPr>
        <w:t>Box 2</w:t>
      </w:r>
      <w:r>
        <w:t xml:space="preserve">).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and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79048BAD" w14:textId="77777777" w:rsidR="0059760D" w:rsidRDefault="00000000">
      <w:pPr>
        <w:pStyle w:val="BodyText"/>
      </w:pPr>
      <w:r>
        <w:t xml:space="preserve">Modified </w:t>
      </w:r>
      <w:r>
        <w:rPr>
          <w:b/>
          <w:bCs/>
        </w:rPr>
        <w:t>vital rate</w:t>
      </w:r>
      <w:r>
        <w:t xml:space="preserve"> functions (which can incorporate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or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w:t>
      </w:r>
      <w:r>
        <w:lastRenderedPageBreak/>
        <w:t>main limitation of these methods is that they are data hungry, but even this can be handled by categorizing species by ‘traits’ or shared phylogenetic relationships, which are simplifications shown to be effective at reducing model complexity without sacrificing model accuracy [83].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40755F5" w14:textId="77777777">
        <w:trPr>
          <w:cantSplit/>
        </w:trPr>
        <w:tc>
          <w:tcPr>
            <w:tcW w:w="0" w:type="auto"/>
            <w:tcMar>
              <w:left w:w="144" w:type="dxa"/>
            </w:tcMar>
          </w:tcPr>
          <w:p w14:paraId="3E6F5439" w14:textId="77777777" w:rsidR="0059760D" w:rsidRDefault="00000000">
            <w:pPr>
              <w:pStyle w:val="BodyText"/>
              <w:spacing w:before="16" w:after="64"/>
            </w:pPr>
            <w:r>
              <w:rPr>
                <w:b/>
                <w:bCs/>
              </w:rPr>
              <w:lastRenderedPageBreak/>
              <w:t>Box 2: Scaling up extreme heat effects from impacts on individuals of species to communities</w:t>
            </w:r>
          </w:p>
          <w:p w14:paraId="4FFEE998" w14:textId="77777777" w:rsidR="0059760D" w:rsidRDefault="00000000">
            <w:pPr>
              <w:pStyle w:val="BodyText"/>
              <w:spacing w:before="16"/>
            </w:pPr>
            <w:r>
              <w:t>We use predicted organismal temperatures (</w:t>
            </w:r>
            <w:r>
              <w:rPr>
                <w:b/>
                <w:bCs/>
              </w:rPr>
              <w:t>Box 1</w:t>
            </w:r>
            <w:r>
              <w:t>) to take stock of how thermal heat stress accumulation impacts survival probability and simulate life cycles for two interacting grasshopper species under their respective microclimates.</w:t>
            </w:r>
          </w:p>
          <w:p w14:paraId="015452BA" w14:textId="77777777" w:rsidR="0059760D" w:rsidRDefault="00000000">
            <w:pPr>
              <w:pStyle w:val="BodyText"/>
            </w:pPr>
            <w:r>
              <w:t xml:space="preserve">To start, using existing parameters for a dynamic energy budget (DEB) model for grasshoppers [84], we can use the </w:t>
            </w:r>
            <w:r>
              <w:rPr>
                <w:rStyle w:val="VerbatimChar"/>
              </w:rPr>
              <w:t>ectotherm</w:t>
            </w:r>
            <w:r>
              <w:t xml:space="preserve"> function in </w:t>
            </w:r>
            <w:r>
              <w:rPr>
                <w:i/>
                <w:iCs/>
              </w:rPr>
              <w:t>NicheMapR</w:t>
            </w:r>
            <w:r>
              <w:t xml:space="preserve"> can be used to simulate life cycles for each of the two species. We assume that both species have similar DEB parameters but vary in their life-history, thermal physiology, size and reproduction, which we include in our DEB model (see Figure I in Box 1).</w:t>
            </w:r>
          </w:p>
          <w:p w14:paraId="1AF64944" w14:textId="77777777" w:rsidR="0059760D" w:rsidRDefault="00000000">
            <w:pPr>
              <w:pStyle w:val="BodyText"/>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through time during stressful temperatures (environmental temperatures </w:t>
            </w:r>
            <m:oMath>
              <m:sSub>
                <m:sSubPr>
                  <m:ctrlPr>
                    <w:ins w:id="12"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e</m:t>
                  </m:r>
                </m:sub>
              </m:sSub>
            </m:oMath>
            <w:r>
              <w:t xml:space="preserve"> &gt; critical temperatures </w:t>
            </w:r>
            <m:oMath>
              <m:sSub>
                <m:sSubPr>
                  <m:ctrlPr>
                    <w:ins w:id="13"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c</m:t>
                  </m:r>
                </m:sub>
              </m:sSub>
            </m:oMath>
            <w:r>
              <w:t xml:space="preserve">) experienced under realistic conditions for each species by calculating heat injury (HI) accumulated between time point </w:t>
            </w:r>
            <m:oMath>
              <m:sSub>
                <m:sSubPr>
                  <m:ctrlPr>
                    <w:ins w:id="14"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sub>
              </m:sSub>
            </m:oMath>
            <w:r>
              <w:t xml:space="preserve"> and </w:t>
            </w:r>
            <m:oMath>
              <m:sSub>
                <m:sSubPr>
                  <m:ctrlPr>
                    <w:ins w:id="15"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the insect’s life (using an </w:t>
            </w:r>
            <m:oMath>
              <m:r>
                <w:rPr>
                  <w:rFonts w:ascii="Cambria Math" w:hAnsi="Cambria Math"/>
                </w:rPr>
                <m:t>L</m:t>
              </m:r>
              <m:sSub>
                <m:sSubPr>
                  <m:ctrlPr>
                    <w:ins w:id="16"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50</m:t>
                  </m:r>
                </m:sub>
              </m:sSub>
            </m:oMath>
            <w:r>
              <w:t xml:space="preserve"> threshold)(</w:t>
            </w:r>
            <w:hyperlink w:anchor="eq-hi">
              <w:r>
                <w:rPr>
                  <w:rStyle w:val="Hyperlink"/>
                </w:rPr>
                <w:t>Equation 1</w:t>
              </w:r>
            </w:hyperlink>
            <w:r>
              <w:t>) (‘red lines’ in Fig IIA) [10,11,13,51].</w:t>
            </w:r>
          </w:p>
          <w:p w14:paraId="7565892C" w14:textId="77777777" w:rsidR="0059760D" w:rsidRDefault="00000000">
            <w:pPr>
              <w:pStyle w:val="BodyText"/>
            </w:pPr>
            <w:bookmarkStart w:id="17" w:name="eq-hi"/>
            <m:oMathPara>
              <m:oMathParaPr>
                <m:jc m:val="center"/>
              </m:oMathParaPr>
              <m:oMath>
                <m:r>
                  <w:rPr>
                    <w:rFonts w:ascii="Cambria Math" w:hAnsi="Cambria Math"/>
                  </w:rPr>
                  <m:t>HI</m:t>
                </m:r>
                <m:r>
                  <m:rPr>
                    <m:sty m:val="p"/>
                  </m:rPr>
                  <w:rPr>
                    <w:rFonts w:ascii="Cambria Math" w:hAnsi="Cambria Math"/>
                  </w:rPr>
                  <m:t>=</m:t>
                </m:r>
                <m:nary>
                  <m:naryPr>
                    <m:chr m:val="∑"/>
                    <m:limLoc m:val="undOvr"/>
                    <m:ctrlPr>
                      <w:ins w:id="18" w:author="Daniel Noble" w:date="2025-12-12T15:01:00Z" w16du:dateUtc="2025-12-12T04:01:00Z">
                        <w:rPr>
                          <w:rFonts w:ascii="Cambria Math" w:hAnsi="Cambria Math"/>
                        </w:rPr>
                      </w:ins>
                    </m:ctrlPr>
                  </m:naryPr>
                  <m:sub>
                    <m:r>
                      <w:rPr>
                        <w:rFonts w:ascii="Cambria Math" w:hAnsi="Cambria Math"/>
                      </w:rPr>
                      <m:t>i</m:t>
                    </m:r>
                    <m:r>
                      <m:rPr>
                        <m:sty m:val="p"/>
                      </m:rPr>
                      <w:rPr>
                        <w:rFonts w:ascii="Cambria Math" w:hAnsi="Cambria Math"/>
                      </w:rPr>
                      <m:t>=</m:t>
                    </m:r>
                    <m:r>
                      <w:rPr>
                        <w:rFonts w:ascii="Cambria Math" w:hAnsi="Cambria Math"/>
                      </w:rPr>
                      <m:t>1</m:t>
                    </m:r>
                  </m:sub>
                  <m:sup>
                    <m:sSub>
                      <m:sSubPr>
                        <m:ctrlPr>
                          <w:ins w:id="19"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ins w:id="20"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c</m:t>
                        </m:r>
                      </m:sub>
                    </m:sSub>
                  </m:sup>
                  <m:e>
                    <m:f>
                      <m:fPr>
                        <m:ctrlPr>
                          <w:ins w:id="21" w:author="Daniel Noble" w:date="2025-12-12T15:01:00Z" w16du:dateUtc="2025-12-12T04:01:00Z">
                            <w:rPr>
                              <w:rFonts w:ascii="Cambria Math" w:hAnsi="Cambria Math"/>
                            </w:rPr>
                          </w:ins>
                        </m:ctrlPr>
                      </m:fPr>
                      <m:num>
                        <m:r>
                          <w:rPr>
                            <w:rFonts w:ascii="Cambria Math" w:hAnsi="Cambria Math"/>
                          </w:rPr>
                          <m:t>100</m:t>
                        </m:r>
                        <m:r>
                          <m:rPr>
                            <m:sty m:val="p"/>
                          </m:rPr>
                          <w:rPr>
                            <w:rFonts w:ascii="Cambria Math" w:hAnsi="Cambria Math"/>
                          </w:rPr>
                          <m:t>⋅</m:t>
                        </m:r>
                        <m:d>
                          <m:dPr>
                            <m:ctrlPr>
                              <w:ins w:id="22" w:author="Daniel Noble" w:date="2025-12-12T15:01:00Z" w16du:dateUtc="2025-12-12T04:01:00Z">
                                <w:rPr>
                                  <w:rFonts w:ascii="Cambria Math" w:hAnsi="Cambria Math"/>
                                </w:rPr>
                              </w:ins>
                            </m:ctrlPr>
                          </m:dPr>
                          <m:e>
                            <m:sSub>
                              <m:sSubPr>
                                <m:ctrlPr>
                                  <w:ins w:id="23"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24"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sub>
                            </m:sSub>
                          </m:e>
                        </m:d>
                      </m:num>
                      <m:den>
                        <m:sSup>
                          <m:sSupPr>
                            <m:ctrlPr>
                              <w:ins w:id="25" w:author="Daniel Noble" w:date="2025-12-12T15:01:00Z" w16du:dateUtc="2025-12-12T04:01:00Z">
                                <w:rPr>
                                  <w:rFonts w:ascii="Cambria Math" w:hAnsi="Cambria Math"/>
                                </w:rPr>
                              </w:ins>
                            </m:ctrlPr>
                          </m:sSupPr>
                          <m:e>
                            <m:r>
                              <w:rPr>
                                <w:rFonts w:ascii="Cambria Math" w:hAnsi="Cambria Math"/>
                              </w:rPr>
                              <m:t>10</m:t>
                            </m:r>
                          </m:e>
                          <m:sup>
                            <m:d>
                              <m:dPr>
                                <m:ctrlPr>
                                  <w:ins w:id="26" w:author="Daniel Noble" w:date="2025-12-12T15:01:00Z" w16du:dateUtc="2025-12-12T04:01:00Z">
                                    <w:rPr>
                                      <w:rFonts w:ascii="Cambria Math" w:hAnsi="Cambria Math"/>
                                    </w:rPr>
                                  </w:ins>
                                </m:ctrlPr>
                              </m:dPr>
                              <m:e>
                                <m:r>
                                  <m:rPr>
                                    <m:sty m:val="p"/>
                                  </m:rPr>
                                  <w:rPr>
                                    <w:rFonts w:ascii="Cambria Math" w:hAnsi="Cambria Math"/>
                                  </w:rPr>
                                  <m:t>-</m:t>
                                </m:r>
                                <m:f>
                                  <m:fPr>
                                    <m:ctrlPr>
                                      <w:ins w:id="27" w:author="Daniel Noble" w:date="2025-12-12T15:01:00Z" w16du:dateUtc="2025-12-12T04:01:00Z">
                                        <w:rPr>
                                          <w:rFonts w:ascii="Cambria Math" w:hAnsi="Cambria Math"/>
                                        </w:rPr>
                                      </w:ins>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ins w:id="28" w:author="Daniel Noble" w:date="2025-12-12T15:01:00Z" w16du:dateUtc="2025-12-12T04:01:00Z">
                                        <w:rPr>
                                          <w:rFonts w:ascii="Cambria Math" w:hAnsi="Cambria Math"/>
                                        </w:rPr>
                                      </w:ins>
                                    </m:ctrlPr>
                                  </m:dPr>
                                  <m:e>
                                    <m:sSub>
                                      <m:sSubPr>
                                        <m:ctrlPr>
                                          <w:ins w:id="29"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ins w:id="30" w:author="Daniel Noble" w:date="2025-12-12T15:01:00Z" w16du:dateUtc="2025-12-12T04:01:00Z">
                                            <w:rPr>
                                              <w:rFonts w:ascii="Cambria Math" w:hAnsi="Cambria Math"/>
                                            </w:rPr>
                                          </w:ins>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ins w:id="31" w:author="Daniel Noble" w:date="2025-12-12T15:01:00Z" w16du:dateUtc="2025-12-12T04:01:00Z">
                        <w:rPr>
                          <w:rFonts w:ascii="Cambria Math" w:hAnsi="Cambria Math"/>
                        </w:rPr>
                      </w:ins>
                    </m:ctrlPr>
                  </m:dPr>
                  <m:e>
                    <m:r>
                      <w:rPr>
                        <w:rFonts w:ascii="Cambria Math" w:hAnsi="Cambria Math"/>
                      </w:rPr>
                      <m:t>1</m:t>
                    </m:r>
                  </m:e>
                </m:d>
              </m:oMath>
            </m:oMathPara>
            <w:bookmarkEnd w:id="17"/>
          </w:p>
          <w:p w14:paraId="4C867445" w14:textId="0EA000E8" w:rsidR="006B186C" w:rsidRPr="006B186C" w:rsidRDefault="00000000" w:rsidP="006B186C">
            <w:pPr>
              <w:pStyle w:val="FirstParagraph"/>
            </w:pPr>
            <w:r>
              <w:t>After calculating HI accounting for repair [85],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 IIB) to estimate population growth rate [</w:t>
            </w:r>
            <m:oMath>
              <m:sSub>
                <m:sSubPr>
                  <m:ctrlPr>
                    <w:ins w:id="32" w:author="Daniel Noble" w:date="2025-12-12T15:01:00Z" w16du:dateUtc="2025-12-12T04:01:00Z">
                      <w:rPr>
                        <w:rFonts w:ascii="Cambria Math" w:hAnsi="Cambria Math"/>
                      </w:rPr>
                    </w:ins>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ins w:id="33" w:author="Daniel Noble" w:date="2025-12-12T15:01:00Z" w16du:dateUtc="2025-12-12T04:01:00Z">
                      <w:rPr>
                        <w:rFonts w:ascii="Cambria Math" w:hAnsi="Cambria Math"/>
                      </w:rPr>
                    </w:ins>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Pr>
                  <w:rStyle w:val="Hyperlink"/>
                </w:rPr>
                <w:t>Equation 2</w:t>
              </w:r>
            </w:hyperlink>
            <w:r>
              <w:t>).</w:t>
            </w:r>
          </w:p>
          <w:p w14:paraId="3198F391" w14:textId="7235DEC7" w:rsidR="0059760D" w:rsidRDefault="00000000">
            <w:pPr>
              <w:pStyle w:val="BodyText"/>
            </w:pPr>
            <w:bookmarkStart w:id="34" w:name="eq-general"/>
            <m:oMathPara>
              <m:oMathParaPr>
                <m:jc m:val="center"/>
              </m:oMathParaPr>
              <m:oMath>
                <m:r>
                  <w:rPr>
                    <w:rFonts w:ascii="Cambria Math" w:hAnsi="Cambria Math"/>
                  </w:rPr>
                  <m:t> </m:t>
                </m:r>
                <m:sSubSup>
                  <m:sSubSupPr>
                    <m:ctrlPr>
                      <w:ins w:id="35" w:author="Unknown" w:date="2025-12-12T15:16:00Z" w16du:dateUtc="2025-12-12T04:16:00Z">
                        <w:rPr>
                          <w:rFonts w:ascii="Cambria Math" w:hAnsi="Cambria Math"/>
                          <w:i/>
                        </w:rPr>
                      </w:ins>
                    </m:ctrlPr>
                  </m:sSubSupPr>
                  <m:e>
                    <m:r>
                      <w:rPr>
                        <w:rFonts w:ascii="Cambria Math" w:hAnsi="Cambria Math"/>
                      </w:rPr>
                      <m:t>N</m:t>
                    </m:r>
                  </m:e>
                  <m:sub>
                    <m:r>
                      <w:rPr>
                        <w:rFonts w:ascii="Cambria Math" w:hAnsi="Cambria Math"/>
                      </w:rPr>
                      <m:t>t+1</m:t>
                    </m:r>
                  </m:sub>
                  <m:sup>
                    <m:r>
                      <w:rPr>
                        <w:rFonts w:ascii="Cambria Math" w:hAnsi="Cambria Math"/>
                      </w:rPr>
                      <m:t>i</m:t>
                    </m:r>
                  </m:sup>
                </m:sSubSup>
                <m:r>
                  <w:rPr>
                    <w:rFonts w:ascii="Cambria Math" w:eastAsiaTheme="minorEastAsia" w:hAnsi="Cambria Math"/>
                  </w:rPr>
                  <m:t xml:space="preserve">= </m:t>
                </m:r>
                <m:sSubSup>
                  <m:sSubSupPr>
                    <m:ctrlPr>
                      <w:ins w:id="36" w:author="Daniel Noble" w:date="2025-12-12T15:01:00Z" w16du:dateUtc="2025-12-12T04:01:00Z">
                        <w:rPr>
                          <w:rFonts w:ascii="Cambria Math" w:hAnsi="Cambria Math"/>
                        </w:rPr>
                      </w:ins>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eastAsiaTheme="minorEastAsia" w:hAnsi="Cambria Math"/>
                  </w:rPr>
                  <m:t xml:space="preserve">∙exp </m:t>
                </m:r>
                <m:d>
                  <m:dPr>
                    <m:begChr m:val="["/>
                    <m:endChr m:val="]"/>
                    <m:ctrlPr>
                      <w:ins w:id="37" w:author="Unknown" w:date="2025-12-12T15:18:00Z" w16du:dateUtc="2025-12-12T04:18:00Z">
                        <w:rPr>
                          <w:rFonts w:ascii="Cambria Math" w:eastAsiaTheme="minorEastAsia" w:hAnsi="Cambria Math"/>
                          <w:i/>
                        </w:rPr>
                      </w:ins>
                    </m:ctrlPr>
                  </m:dPr>
                  <m:e>
                    <m:sSub>
                      <m:sSubPr>
                        <m:ctrlPr>
                          <w:ins w:id="38" w:author="Unknown" w:date="2025-12-12T15:16:00Z" w16du:dateUtc="2025-12-12T04:16:00Z">
                            <w:rPr>
                              <w:rFonts w:ascii="Cambria Math" w:eastAsiaTheme="minorEastAsia" w:hAnsi="Cambria Math"/>
                              <w:i/>
                            </w:rPr>
                          </w:ins>
                        </m:ctrlPr>
                      </m:sSubPr>
                      <m:e>
                        <m:r>
                          <w:rPr>
                            <w:rFonts w:ascii="Cambria Math" w:eastAsiaTheme="minorEastAsia" w:hAnsi="Cambria Math"/>
                          </w:rPr>
                          <m:t>r</m:t>
                        </m:r>
                      </m:e>
                      <m:sub>
                        <m:r>
                          <w:rPr>
                            <w:rFonts w:ascii="Cambria Math" w:eastAsiaTheme="minorEastAsia" w:hAnsi="Cambria Math"/>
                          </w:rPr>
                          <m:t>max,i</m:t>
                        </m:r>
                      </m:sub>
                    </m:sSub>
                    <m:d>
                      <m:dPr>
                        <m:ctrlPr>
                          <w:ins w:id="39" w:author="Unknown" w:date="2025-12-12T15:18:00Z" w16du:dateUtc="2025-12-12T04:18:00Z">
                            <w:rPr>
                              <w:rFonts w:ascii="Cambria Math" w:eastAsiaTheme="minorEastAsia" w:hAnsi="Cambria Math"/>
                              <w:i/>
                            </w:rPr>
                          </w:ins>
                        </m:ctrlPr>
                      </m:dPr>
                      <m:e>
                        <m:r>
                          <w:rPr>
                            <w:rFonts w:ascii="Cambria Math" w:eastAsiaTheme="minorEastAsia" w:hAnsi="Cambria Math"/>
                          </w:rPr>
                          <m:t xml:space="preserve">1- </m:t>
                        </m:r>
                        <m:f>
                          <m:fPr>
                            <m:ctrlPr>
                              <w:ins w:id="40" w:author="Unknown" w:date="2025-12-12T15:19:00Z" w16du:dateUtc="2025-12-12T04:19:00Z">
                                <w:rPr>
                                  <w:rFonts w:ascii="Cambria Math" w:eastAsiaTheme="minorEastAsia" w:hAnsi="Cambria Math"/>
                                  <w:i/>
                                </w:rPr>
                              </w:ins>
                            </m:ctrlPr>
                          </m:fPr>
                          <m:num>
                            <m:sSubSup>
                              <m:sSubSupPr>
                                <m:ctrlPr>
                                  <w:ins w:id="41" w:author="Daniel Noble" w:date="2025-12-12T15:01:00Z" w16du:dateUtc="2025-12-12T04:01:00Z">
                                    <w:rPr>
                                      <w:rFonts w:ascii="Cambria Math" w:hAnsi="Cambria Math"/>
                                    </w:rPr>
                                  </w:ins>
                                </m:ctrlPr>
                              </m:sSubSupPr>
                              <m:e>
                                <m:r>
                                  <w:rPr>
                                    <w:rFonts w:ascii="Cambria Math" w:hAnsi="Cambria Math"/>
                                  </w:rPr>
                                  <m:t>N</m:t>
                                </m:r>
                              </m:e>
                              <m:sub>
                                <m:r>
                                  <w:rPr>
                                    <w:rFonts w:ascii="Cambria Math" w:hAnsi="Cambria Math"/>
                                  </w:rPr>
                                  <m:t>t</m:t>
                                </m:r>
                              </m:sub>
                              <m:sup>
                                <m:r>
                                  <w:rPr>
                                    <w:rFonts w:ascii="Cambria Math" w:hAnsi="Cambria Math"/>
                                  </w:rPr>
                                  <m:t>i</m:t>
                                </m:r>
                              </m:sup>
                            </m:sSubSup>
                            <m:r>
                              <w:rPr>
                                <w:rFonts w:ascii="Cambria Math" w:hAnsi="Cambria Math"/>
                              </w:rPr>
                              <m:t xml:space="preserve">+ </m:t>
                            </m:r>
                            <m:nary>
                              <m:naryPr>
                                <m:chr m:val="∑"/>
                                <m:limLoc m:val="undOvr"/>
                                <m:supHide m:val="1"/>
                                <m:ctrlPr>
                                  <w:ins w:id="42" w:author="Unknown" w:date="2025-12-12T15:20:00Z" w16du:dateUtc="2025-12-12T04:20:00Z">
                                    <w:rPr>
                                      <w:rFonts w:ascii="Cambria Math" w:hAnsi="Cambria Math"/>
                                      <w:i/>
                                    </w:rPr>
                                  </w:ins>
                                </m:ctrlPr>
                              </m:naryPr>
                              <m:sub>
                                <m:r>
                                  <w:rPr>
                                    <w:rFonts w:ascii="Cambria Math" w:hAnsi="Cambria Math"/>
                                  </w:rPr>
                                  <m:t>j≠i</m:t>
                                </m:r>
                              </m:sub>
                              <m:sup/>
                              <m:e>
                                <m:sSub>
                                  <m:sSubPr>
                                    <m:ctrlPr>
                                      <w:ins w:id="43" w:author="Unknown" w:date="2025-12-12T15:16:00Z" w16du:dateUtc="2025-12-12T04:16:00Z">
                                        <w:rPr>
                                          <w:rFonts w:ascii="Cambria Math" w:hAnsi="Cambria Math"/>
                                          <w:i/>
                                        </w:rPr>
                                      </w:ins>
                                    </m:ctrlPr>
                                  </m:sSubPr>
                                  <m:e>
                                    <m:r>
                                      <w:rPr>
                                        <w:rFonts w:ascii="Cambria Math" w:hAnsi="Cambria Math"/>
                                      </w:rPr>
                                      <m:t>α</m:t>
                                    </m:r>
                                  </m:e>
                                  <m:sub>
                                    <m:r>
                                      <w:rPr>
                                        <w:rFonts w:ascii="Cambria Math" w:hAnsi="Cambria Math"/>
                                      </w:rPr>
                                      <m:t>ij</m:t>
                                    </m:r>
                                  </m:sub>
                                </m:sSub>
                                <m:sSubSup>
                                  <m:sSubSupPr>
                                    <m:ctrlPr>
                                      <w:ins w:id="44" w:author="Unknown" w:date="2025-12-12T15:16:00Z" w16du:dateUtc="2025-12-12T04:16:00Z">
                                        <w:rPr>
                                          <w:rFonts w:ascii="Cambria Math" w:hAnsi="Cambria Math"/>
                                          <w:i/>
                                        </w:rPr>
                                      </w:ins>
                                    </m:ctrlPr>
                                  </m:sSubSupPr>
                                  <m:e>
                                    <m:r>
                                      <w:rPr>
                                        <w:rFonts w:ascii="Cambria Math" w:hAnsi="Cambria Math"/>
                                      </w:rPr>
                                      <m:t>N</m:t>
                                    </m:r>
                                  </m:e>
                                  <m:sub>
                                    <m:r>
                                      <w:rPr>
                                        <w:rFonts w:ascii="Cambria Math" w:hAnsi="Cambria Math"/>
                                      </w:rPr>
                                      <m:t>t</m:t>
                                    </m:r>
                                  </m:sub>
                                  <m:sup>
                                    <m:r>
                                      <w:rPr>
                                        <w:rFonts w:ascii="Cambria Math" w:hAnsi="Cambria Math"/>
                                      </w:rPr>
                                      <m:t>j</m:t>
                                    </m:r>
                                  </m:sup>
                                </m:sSubSup>
                              </m:e>
                            </m:nary>
                          </m:num>
                          <m:den>
                            <m:sSub>
                              <m:sSubPr>
                                <m:ctrlPr>
                                  <w:ins w:id="45" w:author="Daniel Noble" w:date="2025-12-12T15:01:00Z" w16du:dateUtc="2025-12-12T04:01:00Z">
                                    <w:rPr>
                                      <w:rFonts w:ascii="Cambria Math" w:hAnsi="Cambria Math"/>
                                    </w:rPr>
                                  </w:ins>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ins w:id="46" w:author="Daniel Noble" w:date="2025-12-12T15:01:00Z" w16du:dateUtc="2025-12-12T04:01:00Z">
                        <w:rPr>
                          <w:rFonts w:ascii="Cambria Math" w:hAnsi="Cambria Math"/>
                        </w:rPr>
                      </w:ins>
                    </m:ctrlPr>
                  </m:dPr>
                  <m:e>
                    <m:r>
                      <w:rPr>
                        <w:rFonts w:ascii="Cambria Math" w:hAnsi="Cambria Math"/>
                      </w:rPr>
                      <m:t>2</m:t>
                    </m:r>
                  </m:e>
                </m:d>
              </m:oMath>
            </m:oMathPara>
            <w:bookmarkEnd w:id="34"/>
          </w:p>
          <w:p w14:paraId="53C4CE1A" w14:textId="77777777" w:rsidR="0059760D" w:rsidRDefault="00000000">
            <w:pPr>
              <w:pStyle w:val="FirstParagraph"/>
            </w:pPr>
            <w:r>
              <w:t xml:space="preserve">where </w:t>
            </w:r>
            <m:oMath>
              <m:sSubSup>
                <m:sSubSupPr>
                  <m:ctrlPr>
                    <w:ins w:id="47" w:author="Daniel Noble" w:date="2025-12-12T15:01:00Z" w16du:dateUtc="2025-12-12T04:01:00Z">
                      <w:rPr>
                        <w:rFonts w:ascii="Cambria Math" w:hAnsi="Cambria Math"/>
                      </w:rPr>
                    </w:ins>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ins w:id="48" w:author="Daniel Noble" w:date="2025-12-12T15:01:00Z" w16du:dateUtc="2025-12-12T04:01:00Z">
                      <w:rPr>
                        <w:rFonts w:ascii="Cambria Math" w:hAnsi="Cambria Math"/>
                      </w:rPr>
                    </w:ins>
                  </m:ctrlPr>
                </m:sSubPr>
                <m:e>
                  <m:r>
                    <w:rPr>
                      <w:rFonts w:ascii="Cambria Math" w:hAnsi="Cambria Math"/>
                    </w:rPr>
                    <m:t>r</m:t>
                  </m:r>
                </m:e>
                <m:sub>
                  <m:sSub>
                    <m:sSubPr>
                      <m:ctrlPr>
                        <w:ins w:id="49" w:author="Daniel Noble" w:date="2025-12-12T15:01:00Z" w16du:dateUtc="2025-12-12T04:01:00Z">
                          <w:rPr>
                            <w:rFonts w:ascii="Cambria Math" w:hAnsi="Cambria Math"/>
                          </w:rPr>
                        </w:ins>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ins w:id="50" w:author="Daniel Noble" w:date="2025-12-12T15:01:00Z" w16du:dateUtc="2025-12-12T04:01:00Z">
                      <w:rPr>
                        <w:rFonts w:ascii="Cambria Math" w:hAnsi="Cambria Math"/>
                      </w:rPr>
                    </w:ins>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ins w:id="51" w:author="Daniel Noble" w:date="2025-12-12T15:01:00Z" w16du:dateUtc="2025-12-12T04:01:00Z">
                      <w:rPr>
                        <w:rFonts w:ascii="Cambria Math" w:hAnsi="Cambria Math"/>
                      </w:rPr>
                    </w:ins>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9760D" w14:paraId="13F490E3" w14:textId="77777777">
              <w:tc>
                <w:tcPr>
                  <w:tcW w:w="0" w:type="auto"/>
                </w:tcPr>
                <w:p w14:paraId="40239FC6" w14:textId="77777777" w:rsidR="0059760D" w:rsidRDefault="00000000">
                  <w:pPr>
                    <w:pStyle w:val="Compact"/>
                    <w:jc w:val="center"/>
                  </w:pPr>
                  <w:bookmarkStart w:id="52" w:name="fig-box2"/>
                  <w:r>
                    <w:rPr>
                      <w:noProof/>
                    </w:rPr>
                    <w:lastRenderedPageBreak/>
                    <w:drawing>
                      <wp:inline distT="0" distB="0" distL="0" distR="0" wp14:anchorId="2787DD89" wp14:editId="224AA7EA">
                        <wp:extent cx="6096000" cy="48768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s_files/figure-docx/fig-box2-1.png"/>
                                <pic:cNvPicPr>
                                  <a:picLocks noChangeAspect="1" noChangeArrowheads="1"/>
                                </pic:cNvPicPr>
                              </pic:nvPicPr>
                              <pic:blipFill>
                                <a:blip r:embed="rId8"/>
                                <a:stretch>
                                  <a:fillRect/>
                                </a:stretch>
                              </pic:blipFill>
                              <pic:spPr bwMode="auto">
                                <a:xfrm>
                                  <a:off x="0" y="0"/>
                                  <a:ext cx="6096000" cy="4876800"/>
                                </a:xfrm>
                                <a:prstGeom prst="rect">
                                  <a:avLst/>
                                </a:prstGeom>
                                <a:noFill/>
                                <a:ln w="9525">
                                  <a:noFill/>
                                  <a:headEnd/>
                                  <a:tailEnd/>
                                </a:ln>
                              </pic:spPr>
                            </pic:pic>
                          </a:graphicData>
                        </a:graphic>
                      </wp:inline>
                    </w:drawing>
                  </w:r>
                </w:p>
                <w:p w14:paraId="31B55116" w14:textId="6ECAF4F1" w:rsidR="0059760D" w:rsidRDefault="00000000">
                  <w:pPr>
                    <w:pStyle w:val="ImageCaption"/>
                    <w:spacing w:before="200"/>
                  </w:pPr>
                  <w:r>
                    <w:t>Figure II: A systems approach to using mechanistic physiological models to capture life-cycle vital rates and thermal load stress on survival to scale up to multi-species population dynamics. Created with BioRender.com.</w:t>
                  </w:r>
                </w:p>
              </w:tc>
              <w:bookmarkEnd w:id="52"/>
            </w:tr>
          </w:tbl>
          <w:p w14:paraId="28670A6A" w14:textId="77777777" w:rsidR="00000000" w:rsidRDefault="00000000">
            <w:pPr>
              <w:spacing w:after="0"/>
            </w:pPr>
          </w:p>
        </w:tc>
      </w:tr>
    </w:tbl>
    <w:p w14:paraId="78795C7C" w14:textId="77777777" w:rsidR="0059760D" w:rsidRDefault="00000000">
      <w:pPr>
        <w:pStyle w:val="Heading1"/>
      </w:pPr>
      <w:bookmarkStart w:id="53" w:name="hot-solutions-for-a-changing-world"/>
      <w:bookmarkEnd w:id="11"/>
      <w:r>
        <w:lastRenderedPageBreak/>
        <w:t>‘Hot’ solutions for a changing world</w:t>
      </w:r>
    </w:p>
    <w:p w14:paraId="62DE01FF" w14:textId="77777777" w:rsidR="0059760D" w:rsidRDefault="00000000">
      <w:pPr>
        <w:pStyle w:val="FirstParagraph"/>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[86], exacerbating food shortages.</w:t>
      </w:r>
    </w:p>
    <w:p w14:paraId="79FF84B3" w14:textId="4B7D5C88" w:rsidR="0059760D" w:rsidRDefault="00000000">
      <w:pPr>
        <w:pStyle w:val="BodyText"/>
      </w:pPr>
      <w:r>
        <w:t>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Pr>
            <w:rStyle w:val="Hyperlink"/>
          </w:rPr>
          <w:t>Figure </w:t>
        </w:r>
        <w:r w:rsidR="00A43241">
          <w:rPr>
            <w:rStyle w:val="Hyperlink"/>
          </w:rPr>
          <w:t>2</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and/or creating better microclimate conditions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Pr>
            <w:rStyle w:val="Hyperlink"/>
          </w:rPr>
          <w:t>Figure </w:t>
        </w:r>
        <w:r w:rsidR="00A43241">
          <w:rPr>
            <w:rStyle w:val="Hyperlink"/>
          </w:rPr>
          <w:t>2</w:t>
        </w:r>
      </w:hyperlink>
      <w:r>
        <w:t>). We can see that adding 2-5 mm d</w:t>
      </w:r>
      <w:r>
        <w:rPr>
          <w:vertAlign w:val="superscript"/>
        </w:rPr>
        <w:t>-1</w:t>
      </w:r>
      <w:r>
        <w:t xml:space="preserve"> of water can decrease leaf temperature by up to 3.87°C (</w:t>
      </w:r>
      <w:hyperlink w:anchor="fig-2">
        <w:r>
          <w:rPr>
            <w:rStyle w:val="Hyperlink"/>
          </w:rPr>
          <w:t>Figure </w:t>
        </w:r>
        <w:r w:rsidR="00A43241">
          <w:rPr>
            <w:rStyle w:val="Hyperlink"/>
          </w:rPr>
          <w:t>2</w:t>
        </w:r>
      </w:hyperlink>
      <w:r>
        <w:t xml:space="preserve">B), but adding more water does not result in significant gains in cooling. In addition, </w:t>
      </w:r>
      <w:r>
        <w:lastRenderedPageBreak/>
        <w:t>2-5 mm of water added each day results in the grasshopper population being suppressed over time, whereas not adding water at all results in grasshopper population growth, leading to potential heatwave-associated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[21]. Additionally, as our understanding of the mechanisms associated with heat tolerance improve, genetic tools, environmental manipulations (e.g., promoting beneficial microbes) and targeted plant breeding can be used to enhance thermal tolerance, creating more resilience to extreme heat events [e.g., 60].</w:t>
      </w:r>
    </w:p>
    <w:p w14:paraId="5A92CAE6" w14:textId="77777777" w:rsidR="0059760D" w:rsidRDefault="00000000">
      <w:pPr>
        <w:pStyle w:val="BodyText"/>
      </w:pPr>
      <w:r>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[87]. Thermal risks to ecosystems may also precipitate declines in individual wellbeing, and these consequences may accrue differently across regions and peoples [88].</w:t>
      </w:r>
    </w:p>
    <w:tbl>
      <w:tblPr>
        <w:tblStyle w:val="Table"/>
        <w:tblW w:w="5000" w:type="pct"/>
        <w:tblLayout w:type="fixed"/>
        <w:tblLook w:val="0000" w:firstRow="0" w:lastRow="0" w:firstColumn="0" w:lastColumn="0" w:noHBand="0" w:noVBand="0"/>
      </w:tblPr>
      <w:tblGrid>
        <w:gridCol w:w="10538"/>
      </w:tblGrid>
      <w:tr w:rsidR="0059760D" w14:paraId="61ED91B0" w14:textId="77777777">
        <w:tc>
          <w:tcPr>
            <w:tcW w:w="7920" w:type="dxa"/>
          </w:tcPr>
          <w:p w14:paraId="4C7ECDC5" w14:textId="77777777" w:rsidR="0059760D" w:rsidRDefault="00000000">
            <w:pPr>
              <w:pStyle w:val="Compact"/>
              <w:jc w:val="center"/>
            </w:pPr>
            <w:bookmarkStart w:id="54" w:name="fig-2"/>
            <w:r>
              <w:rPr>
                <w:noProof/>
              </w:rPr>
              <w:drawing>
                <wp:inline distT="0" distB="0" distL="0" distR="0" wp14:anchorId="25187900" wp14:editId="36E6C94C">
                  <wp:extent cx="6096000" cy="4876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s_files/figure-docx/fig-2-1.png"/>
                          <pic:cNvPicPr>
                            <a:picLocks noChangeAspect="1" noChangeArrowheads="1"/>
                          </pic:cNvPicPr>
                        </pic:nvPicPr>
                        <pic:blipFill>
                          <a:blip r:embed="rId9"/>
                          <a:stretch>
                            <a:fillRect/>
                          </a:stretch>
                        </pic:blipFill>
                        <pic:spPr bwMode="auto">
                          <a:xfrm>
                            <a:off x="0" y="0"/>
                            <a:ext cx="6096000" cy="4876800"/>
                          </a:xfrm>
                          <a:prstGeom prst="rect">
                            <a:avLst/>
                          </a:prstGeom>
                          <a:noFill/>
                          <a:ln w="9525">
                            <a:noFill/>
                            <a:headEnd/>
                            <a:tailEnd/>
                          </a:ln>
                        </pic:spPr>
                      </pic:pic>
                    </a:graphicData>
                  </a:graphic>
                </wp:inline>
              </w:drawing>
            </w:r>
          </w:p>
          <w:p w14:paraId="44EC1BFC" w14:textId="0D0A2112" w:rsidR="0059760D" w:rsidRDefault="00000000">
            <w:pPr>
              <w:pStyle w:val="ImageCaption"/>
              <w:spacing w:before="200"/>
            </w:pPr>
            <w:r w:rsidRPr="00A43241">
              <w:rPr>
                <w:b/>
                <w:bCs/>
              </w:rPr>
              <w:t>Figure </w:t>
            </w:r>
            <w:r w:rsidR="00670D8D" w:rsidRPr="00A43241">
              <w:rPr>
                <w:b/>
                <w:bCs/>
              </w:rPr>
              <w:t>2</w:t>
            </w:r>
            <w:r w:rsidR="00A43241">
              <w:rPr>
                <w:b/>
                <w:bCs/>
              </w:rPr>
              <w:t xml:space="preserve"> </w:t>
            </w:r>
            <w:r w:rsidRPr="00A43241">
              <w:rPr>
                <w:b/>
                <w:bCs/>
              </w:rPr>
              <w:t xml:space="preserve">- How a systems modelling approach to extreme heat can be used to inform solutions. </w:t>
            </w:r>
            <w:r>
              <w:t xml:space="preserve">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w:t>
            </w:r>
            <w:r>
              <w:lastRenderedPageBreak/>
              <w:t>can significantly reduce leaf temperatures by nearly 4°C,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indirectly suppress pest growth through lower body temperatures (C). Created with BioRender.com.</w:t>
            </w:r>
          </w:p>
          <w:p w14:paraId="37A8CDD7" w14:textId="77777777" w:rsidR="006B186C" w:rsidRDefault="006B186C">
            <w:pPr>
              <w:pStyle w:val="ImageCaption"/>
              <w:spacing w:before="200"/>
            </w:pPr>
          </w:p>
        </w:tc>
        <w:bookmarkEnd w:id="5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5570FAB5" w14:textId="77777777">
        <w:trPr>
          <w:cantSplit/>
        </w:trPr>
        <w:tc>
          <w:tcPr>
            <w:tcW w:w="0" w:type="auto"/>
            <w:tcMar>
              <w:left w:w="144" w:type="dxa"/>
            </w:tcMar>
          </w:tcPr>
          <w:p w14:paraId="71FAEBF2" w14:textId="77777777" w:rsidR="0059760D" w:rsidRDefault="00000000">
            <w:pPr>
              <w:pStyle w:val="BodyText"/>
              <w:spacing w:before="16" w:after="64"/>
            </w:pPr>
            <w:r>
              <w:rPr>
                <w:b/>
                <w:bCs/>
              </w:rPr>
              <w:lastRenderedPageBreak/>
              <w:t>Box 3: An important frontier: integrating eco-evolutionary feedback within a systems-modelling framework</w:t>
            </w:r>
          </w:p>
          <w:p w14:paraId="423A890B" w14:textId="77777777" w:rsidR="0059760D" w:rsidRDefault="00000000">
            <w:pPr>
              <w:pStyle w:val="BodyText"/>
              <w:spacing w:before="16"/>
            </w:pPr>
            <w:r>
              <w:t>Extreme climactic events, such as heatwaves and droughts, can result in intense episodes of selection which can lead to rapid evolution of heritable traits [89]. Given the intensity of selection associated with extreme climatic events, these events have the potential to radically alter the phenotypic and genetic variability available to selection [90],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[89].</w:t>
            </w:r>
          </w:p>
          <w:p w14:paraId="5AA834A6" w14:textId="77777777" w:rsidR="0059760D" w:rsidRDefault="00000000">
            <w:pPr>
              <w:pStyle w:val="BodyText"/>
            </w:pPr>
            <w:r>
              <w:t>Predicting evolutionary responses also relies on our ability to predict heatwaves and how organisms experience them in the future – a task that is becoming more feasible with new climate models [e.g., 91,92]. Evolutionary consequences of extreme heat events will depend on the characteristics of these events (e.g., frequency, timing, exposure intensity and duration), the traits under selection and their levels of genetic (co)variation, as well as the demographic and ecological context in which the event occurs [93–95]. Considering various forms of plastic responses (e.g., behavioural, developmental, and physiological plasticity) as environments change through time is also crucial because plasticity can weaken selection and shelter genetic variation while also promoting persistence [96,97]. Many of these processes can now be incorporated into a systems modelling framework (e.g, behavioural plasticity), to capture environment-phenotype feedbacks.</w:t>
            </w:r>
          </w:p>
          <w:p w14:paraId="01F8B35A" w14:textId="77777777" w:rsidR="0059760D" w:rsidRDefault="00000000">
            <w:pPr>
              <w:pStyle w:val="BodyText"/>
            </w:pPr>
            <w:r>
              <w:t>A more complete systems modelling approach that captures eco-evolutionary dynamics needs to treat ‘traits’ more broadly than is typically done in evolutionary ecology (e.g., body mass). For example, ‘traits’ can include the parameters within models that establish functional traits within a population (e.g., DEB parameters)[98,99], which may provide predictions for suites of resulting traits that emerge from such parameters. Furthermore, it is important to consider the evolution of suites of traits as can be done using the multivariate breeders equation [100]:</w:t>
            </w:r>
          </w:p>
          <w:p w14:paraId="3D053E84" w14:textId="77777777" w:rsidR="0059760D" w:rsidRDefault="00000000">
            <w:pPr>
              <w:pStyle w:val="BodyText"/>
            </w:pPr>
            <w:bookmarkStart w:id="55" w:name="eq-breeders"/>
            <m:oMathPara>
              <m:oMathParaPr>
                <m:jc m:val="center"/>
              </m:oMathParaPr>
              <m:oMath>
                <m:r>
                  <w:rPr>
                    <w:rFonts w:ascii="Cambria Math" w:hAnsi="Cambria Math"/>
                  </w:rPr>
                  <m:t>Δ</m:t>
                </m:r>
                <m:acc>
                  <m:accPr>
                    <m:chr m:val="‾"/>
                    <m:ctrlPr>
                      <w:ins w:id="56" w:author="Daniel Noble" w:date="2025-12-12T15:01:00Z" w16du:dateUtc="2025-12-12T04:01:00Z">
                        <w:rPr>
                          <w:rFonts w:ascii="Cambria Math" w:hAnsi="Cambria Math"/>
                        </w:rPr>
                      </w:ins>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ins w:id="57" w:author="Daniel Noble" w:date="2025-12-12T15:01:00Z" w16du:dateUtc="2025-12-12T04:01:00Z">
                        <w:rPr>
                          <w:rFonts w:ascii="Cambria Math" w:hAnsi="Cambria Math"/>
                        </w:rPr>
                      </w:ins>
                    </m:ctrlPr>
                  </m:dPr>
                  <m:e>
                    <m:r>
                      <w:rPr>
                        <w:rFonts w:ascii="Cambria Math" w:hAnsi="Cambria Math"/>
                      </w:rPr>
                      <m:t>3</m:t>
                    </m:r>
                  </m:e>
                </m:d>
              </m:oMath>
            </m:oMathPara>
            <w:bookmarkEnd w:id="55"/>
          </w:p>
          <w:p w14:paraId="0D3C17FD" w14:textId="77777777" w:rsidR="0059760D" w:rsidRDefault="00000000">
            <w:pPr>
              <w:pStyle w:val="FirstParagraph"/>
              <w:spacing w:after="16"/>
            </w:pPr>
            <w:r>
              <w:t xml:space="preserve">where </w:t>
            </w:r>
            <m:oMath>
              <m:r>
                <w:rPr>
                  <w:rFonts w:ascii="Cambria Math" w:hAnsi="Cambria Math"/>
                </w:rPr>
                <m:t>Δ</m:t>
              </m:r>
              <m:acc>
                <m:accPr>
                  <m:chr m:val="‾"/>
                  <m:ctrlPr>
                    <w:ins w:id="58" w:author="Daniel Noble" w:date="2025-12-12T15:01:00Z" w16du:dateUtc="2025-12-12T04:01:00Z">
                      <w:rPr>
                        <w:rFonts w:ascii="Cambria Math" w:hAnsi="Cambria Math"/>
                      </w:rPr>
                    </w:ins>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ins w:id="59" w:author="Daniel Noble" w:date="2025-12-12T15:01:00Z" w16du:dateUtc="2025-12-12T04:01:00Z">
                      <w:rPr>
                        <w:rFonts w:ascii="Cambria Math" w:hAnsi="Cambria Math"/>
                      </w:rPr>
                    </w:ins>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[101]). Plasticity can be captured by mapping trait development to the environment and incorporating environmental variability into the breeders equation [see also, 102]. While the multivariate breeders equation can be useful for predicting short-term evolutionary responses (i.e., one or a few generations) it likely has limited predictive power over longer timespans because of changes in heritability and selection through time, which is a future challenge [95,101].</w:t>
            </w:r>
          </w:p>
        </w:tc>
      </w:tr>
    </w:tbl>
    <w:p w14:paraId="6A4EDBA0" w14:textId="77777777" w:rsidR="0059760D"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9760D" w14:paraId="1B476AAA" w14:textId="77777777">
        <w:trPr>
          <w:cantSplit/>
        </w:trPr>
        <w:tc>
          <w:tcPr>
            <w:tcW w:w="0" w:type="auto"/>
            <w:tcMar>
              <w:left w:w="144" w:type="dxa"/>
            </w:tcMar>
          </w:tcPr>
          <w:p w14:paraId="6E4C7C36" w14:textId="77777777" w:rsidR="0059760D" w:rsidRDefault="00000000">
            <w:pPr>
              <w:pStyle w:val="BodyText"/>
              <w:spacing w:before="16" w:after="64"/>
            </w:pPr>
            <w:r>
              <w:rPr>
                <w:b/>
                <w:bCs/>
              </w:rPr>
              <w:lastRenderedPageBreak/>
              <w:t>Outstanding Questions</w:t>
            </w:r>
          </w:p>
          <w:p w14:paraId="074623D3" w14:textId="77777777" w:rsidR="0059760D" w:rsidRDefault="00000000">
            <w:pPr>
              <w:pStyle w:val="Compact"/>
              <w:numPr>
                <w:ilvl w:val="0"/>
                <w:numId w:val="86"/>
              </w:numPr>
            </w:pPr>
            <w:r>
              <w:t>How effective is using parameters of closely related species for predicting the impacts of extreme heat for data deficient species?</w:t>
            </w:r>
          </w:p>
          <w:p w14:paraId="28D9010A" w14:textId="77777777" w:rsidR="0059760D" w:rsidRDefault="00000000">
            <w:pPr>
              <w:pStyle w:val="Compact"/>
              <w:numPr>
                <w:ilvl w:val="0"/>
                <w:numId w:val="86"/>
              </w:numPr>
            </w:pPr>
            <w:r>
              <w:t>How can we best capture rapid and longer-term evolutionary responses of interacting species to extreme heat in a systems-modelling framework?</w:t>
            </w:r>
          </w:p>
          <w:p w14:paraId="280996A1" w14:textId="77777777" w:rsidR="0059760D" w:rsidRDefault="00000000">
            <w:pPr>
              <w:pStyle w:val="Compact"/>
              <w:numPr>
                <w:ilvl w:val="0"/>
                <w:numId w:val="86"/>
              </w:numPr>
            </w:pPr>
            <w:r>
              <w:t>How can we capture multiple anthropogenic stressors in a systems-modelling framework to explore how they interact with extreme heat to affect organisms, populations and communities?</w:t>
            </w:r>
          </w:p>
          <w:p w14:paraId="12E46898" w14:textId="77777777" w:rsidR="0059760D" w:rsidRDefault="00000000">
            <w:pPr>
              <w:pStyle w:val="Compact"/>
              <w:numPr>
                <w:ilvl w:val="0"/>
                <w:numId w:val="86"/>
              </w:numPr>
            </w:pPr>
            <w:r>
              <w:t>How will extreme heat affect species coexistence and functional trait diversity in natural and agricultural systems?</w:t>
            </w:r>
          </w:p>
          <w:p w14:paraId="5F8D5B58" w14:textId="77777777" w:rsidR="0059760D" w:rsidRDefault="00000000">
            <w:pPr>
              <w:pStyle w:val="Compact"/>
              <w:numPr>
                <w:ilvl w:val="0"/>
                <w:numId w:val="86"/>
              </w:numPr>
            </w:pPr>
            <w:r>
              <w:t>How do we best the model lagged effects of extreme heat events on whole communities?</w:t>
            </w:r>
          </w:p>
          <w:p w14:paraId="4CF62DCA" w14:textId="77777777" w:rsidR="0059760D" w:rsidRDefault="00000000">
            <w:pPr>
              <w:pStyle w:val="Compact"/>
              <w:numPr>
                <w:ilvl w:val="0"/>
                <w:numId w:val="86"/>
              </w:numPr>
            </w:pPr>
            <w:r>
              <w:t>How can we extend a systems modelling approach to understand how thermal stress to natural ecosystems and food production systems impact people?</w:t>
            </w:r>
          </w:p>
        </w:tc>
      </w:tr>
    </w:tbl>
    <w:p w14:paraId="1DD3ABCA" w14:textId="77777777" w:rsidR="0059760D" w:rsidRDefault="00000000">
      <w:pPr>
        <w:pStyle w:val="Heading1"/>
      </w:pPr>
      <w:bookmarkStart w:id="60" w:name="concluding-remarks"/>
      <w:bookmarkEnd w:id="53"/>
      <w:r>
        <w:t>Concluding Remarks</w:t>
      </w:r>
    </w:p>
    <w:p w14:paraId="5C72286B" w14:textId="77777777" w:rsidR="0059760D" w:rsidRDefault="00000000">
      <w:pPr>
        <w:pStyle w:val="FirstParagraph"/>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can capture key biological processes (physiology, behaviour, phenology, species interactions and eco-evolutionary dynamics - </w:t>
      </w:r>
      <w:r>
        <w:rPr>
          <w:b/>
          <w:bCs/>
        </w:rPr>
        <w:t>Box 3</w:t>
      </w:r>
      <w:r>
        <w:t>) to better predict biological responses to extreme heat [54,103]. Coupled mechanistic models within and across species are expected to have improved predictive power when projected to new environmental conditions and will better capture interacting processes [21,103]. Nonetheless, application of a systems modelling approach will require a solid foundation of species natural history, diverse modelling expertise, and a concerted effort to collect and collate trait and environmental data for model building and validation.</w:t>
      </w:r>
    </w:p>
    <w:p w14:paraId="22856804" w14:textId="77777777" w:rsidR="0059760D" w:rsidRDefault="00000000">
      <w:pPr>
        <w:pStyle w:val="BodyText"/>
      </w:pPr>
      <w:r>
        <w:t>There are exciting new tools and data that are helping to overcome these challenges [26], and careful consideration of the key processes important to a system can help alleviate these challenges [21]. For example, large databases of physiological traits for both plants and animals now exist [e.g., 104,105] and advanced missing data approaches can help estimate likely parameters for data deficient species [70,74,106].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[21]. Even simple models that compare counterfactual scenarios may provide important quantitative insights into the impacts of extreme heat on organisms, populations and communities [107–109]. Such insights can form the basis for prediction-driven solutions to mitigate the impacts of extreme heat on biodiversity. By working collaboratively we can develop a more quantitative and predictive understanding of the impacts that extreme heat will have on organisms, populations, and communities, and decide how to mitigate these impacts to preserve diverse systems now and into the future.</w:t>
      </w:r>
    </w:p>
    <w:p w14:paraId="72F41E71" w14:textId="77777777" w:rsidR="0059760D" w:rsidRDefault="00000000">
      <w:pPr>
        <w:pStyle w:val="Heading1"/>
      </w:pPr>
      <w:bookmarkStart w:id="61" w:name="acknowledgements"/>
      <w:bookmarkEnd w:id="60"/>
      <w:r>
        <w:t>Acknowledgements</w:t>
      </w:r>
    </w:p>
    <w:p w14:paraId="1A40CFB6" w14:textId="77777777" w:rsidR="0059760D" w:rsidRDefault="00000000">
      <w:pPr>
        <w:pStyle w:val="FirstParagraph"/>
      </w:pPr>
      <w:r>
        <w:t>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SJL and DW are supported by an ARC Future Fellowship (FT220100276 to DWAN, FT200100381 to SJL and FT230100193 to DW), and MRK by an ARC Laureate Fellowship (FL240100088). We would also like to thank The Australian National University, the University of Melbourne and Western Sydney University for funding to support workshops that helped develop this manuscript.</w:t>
      </w:r>
    </w:p>
    <w:p w14:paraId="436D39EE" w14:textId="77777777" w:rsidR="0059760D" w:rsidRDefault="00000000">
      <w:pPr>
        <w:pStyle w:val="Heading1"/>
      </w:pPr>
      <w:bookmarkStart w:id="62" w:name="code"/>
      <w:bookmarkEnd w:id="61"/>
      <w:r>
        <w:lastRenderedPageBreak/>
        <w:t>Code</w:t>
      </w:r>
    </w:p>
    <w:p w14:paraId="50543DDF" w14:textId="77777777" w:rsidR="0059760D" w:rsidRDefault="00000000">
      <w:pPr>
        <w:pStyle w:val="FirstParagraph"/>
      </w:pPr>
      <w:r>
        <w:t>Link to the code used to for examples in Box 1 and 2, as well as Figure 2, can be found at: https://daniel1noble.github.io/thermal_tol_interactions/ with the full set of files being located on our GitHub repository at https://github.com/daniel1noble/thermal_tol_interactions.</w:t>
      </w:r>
    </w:p>
    <w:p w14:paraId="4AD668C1" w14:textId="77777777" w:rsidR="0059760D" w:rsidRDefault="00000000">
      <w:pPr>
        <w:pStyle w:val="Heading1"/>
      </w:pPr>
      <w:bookmarkStart w:id="63" w:name="references"/>
      <w:bookmarkEnd w:id="62"/>
      <w:r>
        <w:t>References</w:t>
      </w:r>
    </w:p>
    <w:p w14:paraId="1E7D9EAA" w14:textId="77777777" w:rsidR="0059760D" w:rsidRDefault="0059760D">
      <w:pPr>
        <w:pStyle w:val="FirstParagraph"/>
      </w:pPr>
    </w:p>
    <w:p w14:paraId="543C9E79" w14:textId="77777777" w:rsidR="0059760D" w:rsidRDefault="00000000">
      <w:pPr>
        <w:pStyle w:val="Bibliography"/>
      </w:pPr>
      <w:bookmarkStart w:id="64" w:name="ref-Barriopedro2023"/>
      <w:bookmarkStart w:id="65"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4986312" w14:textId="77777777" w:rsidR="0059760D" w:rsidRDefault="00000000">
      <w:pPr>
        <w:pStyle w:val="Bibliography"/>
      </w:pPr>
      <w:bookmarkStart w:id="66" w:name="ref-Perkins-Kirkpatrick2020"/>
      <w:bookmarkEnd w:id="64"/>
      <w:r>
        <w:t xml:space="preserve">2. </w:t>
      </w:r>
      <w:r>
        <w:tab/>
        <w:t xml:space="preserve">Perkins‐Kirkpatrick, S. and Lewis, S.C. (2020) </w:t>
      </w:r>
      <w:hyperlink r:id="rId10">
        <w:r>
          <w:rPr>
            <w:rStyle w:val="Hyperlink"/>
          </w:rPr>
          <w:t>Increasing trends in regional heatwaves</w:t>
        </w:r>
      </w:hyperlink>
      <w:r>
        <w:t xml:space="preserve">. </w:t>
      </w:r>
      <w:r>
        <w:rPr>
          <w:i/>
          <w:iCs/>
        </w:rPr>
        <w:t>Nat. Commun.</w:t>
      </w:r>
      <w:r>
        <w:t xml:space="preserve"> 11, 3357</w:t>
      </w:r>
    </w:p>
    <w:p w14:paraId="551D7E95" w14:textId="77777777" w:rsidR="0059760D" w:rsidRDefault="00000000">
      <w:pPr>
        <w:pStyle w:val="Bibliography"/>
      </w:pPr>
      <w:bookmarkStart w:id="67" w:name="ref-Evans2025"/>
      <w:bookmarkEnd w:id="66"/>
      <w:r>
        <w:t xml:space="preserve">3. </w:t>
      </w:r>
      <w:r>
        <w:tab/>
        <w:t xml:space="preserve">Evans, M.E.K. </w:t>
      </w:r>
      <w:r>
        <w:rPr>
          <w:i/>
          <w:iCs/>
        </w:rPr>
        <w:t>et al.</w:t>
      </w:r>
      <w:r>
        <w:t xml:space="preserve"> (2025) </w:t>
      </w:r>
      <w:hyperlink r:id="rId11">
        <w:r>
          <w:rPr>
            <w:rStyle w:val="Hyperlink"/>
          </w:rPr>
          <w:t>Scaling plant responses to heat: From molecules to the biosphere</w:t>
        </w:r>
      </w:hyperlink>
      <w:r>
        <w:t xml:space="preserve">. </w:t>
      </w:r>
      <w:r>
        <w:rPr>
          <w:i/>
          <w:iCs/>
        </w:rPr>
        <w:t>Science</w:t>
      </w:r>
      <w:r>
        <w:t xml:space="preserve"> 388, 1167–1173</w:t>
      </w:r>
    </w:p>
    <w:p w14:paraId="678DFA2F" w14:textId="77777777" w:rsidR="0059760D" w:rsidRDefault="00000000">
      <w:pPr>
        <w:pStyle w:val="Bibliography"/>
      </w:pPr>
      <w:bookmarkStart w:id="68" w:name="ref-Margalef-Marrase2020"/>
      <w:bookmarkEnd w:id="67"/>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4CC3D808" w14:textId="77777777" w:rsidR="0059760D" w:rsidRDefault="00000000">
      <w:pPr>
        <w:pStyle w:val="Bibliography"/>
      </w:pPr>
      <w:bookmarkStart w:id="69" w:name="ref-Kazenel2024"/>
      <w:bookmarkEnd w:id="68"/>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10438785" w14:textId="77777777" w:rsidR="0059760D" w:rsidRDefault="00000000">
      <w:pPr>
        <w:pStyle w:val="Bibliography"/>
      </w:pPr>
      <w:bookmarkStart w:id="70" w:name="ref-Zhao2017"/>
      <w:bookmarkEnd w:id="69"/>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09B2C047" w14:textId="77777777" w:rsidR="0059760D" w:rsidRDefault="00000000">
      <w:pPr>
        <w:pStyle w:val="Bibliography"/>
      </w:pPr>
      <w:bookmarkStart w:id="71" w:name="ref-Tito2018"/>
      <w:bookmarkEnd w:id="70"/>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298717CB" w14:textId="77777777" w:rsidR="0059760D" w:rsidRDefault="00000000">
      <w:pPr>
        <w:pStyle w:val="Bibliography"/>
      </w:pPr>
      <w:bookmarkStart w:id="72" w:name="ref-Bernacchi2025"/>
      <w:bookmarkEnd w:id="71"/>
      <w:r>
        <w:t xml:space="preserve">8. </w:t>
      </w:r>
      <w:r>
        <w:tab/>
        <w:t xml:space="preserve">Bernacchi, C.J. </w:t>
      </w:r>
      <w:r>
        <w:rPr>
          <w:i/>
          <w:iCs/>
        </w:rPr>
        <w:t>et al.</w:t>
      </w:r>
      <w:r>
        <w:t xml:space="preserve"> (2025) </w:t>
      </w:r>
      <w:hyperlink r:id="rId12">
        <w:r>
          <w:rPr>
            <w:rStyle w:val="Hyperlink"/>
          </w:rPr>
          <w:t>Safeguarding crop photosynthesis in a rapidly warming world</w:t>
        </w:r>
      </w:hyperlink>
      <w:r>
        <w:t xml:space="preserve">. </w:t>
      </w:r>
      <w:r>
        <w:rPr>
          <w:i/>
          <w:iCs/>
        </w:rPr>
        <w:t>Science</w:t>
      </w:r>
      <w:r>
        <w:t xml:space="preserve"> 388, 1153–1160</w:t>
      </w:r>
    </w:p>
    <w:p w14:paraId="3EA8A2D5" w14:textId="77777777" w:rsidR="0059760D" w:rsidRDefault="00000000">
      <w:pPr>
        <w:pStyle w:val="Bibliography"/>
      </w:pPr>
      <w:bookmarkStart w:id="73" w:name="ref-Martinez2023"/>
      <w:bookmarkEnd w:id="72"/>
      <w:r>
        <w:t xml:space="preserve">9. </w:t>
      </w:r>
      <w:r>
        <w:tab/>
        <w:t xml:space="preserve">Martinez, L.D. </w:t>
      </w:r>
      <w:r>
        <w:rPr>
          <w:i/>
          <w:iCs/>
        </w:rPr>
        <w:t>et al.</w:t>
      </w:r>
      <w:r>
        <w:t xml:space="preserve"> (2023) </w:t>
      </w:r>
      <w:hyperlink r:id="rId13">
        <w:r>
          <w:rPr>
            <w:rStyle w:val="Hyperlink"/>
          </w:rPr>
          <w:t>Effect of simulated heat waves on the behaviour of two mirid predators</w:t>
        </w:r>
      </w:hyperlink>
      <w:r>
        <w:t xml:space="preserve">. </w:t>
      </w:r>
      <w:r>
        <w:rPr>
          <w:i/>
          <w:iCs/>
        </w:rPr>
        <w:t>J. Appl. Entomol.</w:t>
      </w:r>
      <w:r>
        <w:t xml:space="preserve"> 147, 486–498</w:t>
      </w:r>
    </w:p>
    <w:p w14:paraId="667BA848" w14:textId="77777777" w:rsidR="0059760D" w:rsidRDefault="00000000">
      <w:pPr>
        <w:pStyle w:val="Bibliography"/>
      </w:pPr>
      <w:bookmarkStart w:id="74" w:name="ref-Rezende2020"/>
      <w:bookmarkEnd w:id="73"/>
      <w:r>
        <w:t xml:space="preserve">10. </w:t>
      </w:r>
      <w:r>
        <w:tab/>
        <w:t xml:space="preserve">Rezende, E.L. </w:t>
      </w:r>
      <w:r>
        <w:rPr>
          <w:i/>
          <w:iCs/>
        </w:rPr>
        <w:t>et al.</w:t>
      </w:r>
      <w:r>
        <w:t xml:space="preserve"> (2020) </w:t>
      </w:r>
      <w:hyperlink r:id="rId14">
        <w:r>
          <w:rPr>
            <w:rStyle w:val="Hyperlink"/>
          </w:rPr>
          <w:t>Predicting temperature mortality and selection in natural drosophila populations</w:t>
        </w:r>
      </w:hyperlink>
      <w:r>
        <w:t xml:space="preserve">. </w:t>
      </w:r>
      <w:r>
        <w:rPr>
          <w:i/>
          <w:iCs/>
        </w:rPr>
        <w:t>Science</w:t>
      </w:r>
      <w:r>
        <w:t xml:space="preserve"> 369, 1242–1245</w:t>
      </w:r>
    </w:p>
    <w:p w14:paraId="30F3C95E" w14:textId="77777777" w:rsidR="0059760D" w:rsidRDefault="00000000">
      <w:pPr>
        <w:pStyle w:val="Bibliography"/>
      </w:pPr>
      <w:bookmarkStart w:id="75" w:name="ref-Orsted2024"/>
      <w:bookmarkEnd w:id="74"/>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380F49E" w14:textId="77777777" w:rsidR="0059760D" w:rsidRDefault="00000000">
      <w:pPr>
        <w:pStyle w:val="Bibliography"/>
      </w:pPr>
      <w:bookmarkStart w:id="76" w:name="ref-Lopez-Goldar2024"/>
      <w:bookmarkEnd w:id="75"/>
      <w:r>
        <w:t xml:space="preserve">12. </w:t>
      </w:r>
      <w:r>
        <w:tab/>
        <w:t xml:space="preserve">López-Goldar, X. </w:t>
      </w:r>
      <w:r>
        <w:rPr>
          <w:i/>
          <w:iCs/>
        </w:rPr>
        <w:t>et al.</w:t>
      </w:r>
      <w:r>
        <w:t xml:space="preserve"> (2024) </w:t>
      </w:r>
      <w:hyperlink r:id="rId15">
        <w:r>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5535003A" w14:textId="77777777" w:rsidR="0059760D" w:rsidRDefault="00000000">
      <w:pPr>
        <w:pStyle w:val="Bibliography"/>
      </w:pPr>
      <w:bookmarkStart w:id="77" w:name="ref-Arnold2025a"/>
      <w:bookmarkEnd w:id="76"/>
      <w:r>
        <w:t xml:space="preserve">13. </w:t>
      </w:r>
      <w:r>
        <w:tab/>
        <w:t xml:space="preserve">Arnold, P.A. </w:t>
      </w:r>
      <w:r>
        <w:rPr>
          <w:i/>
          <w:iCs/>
        </w:rPr>
        <w:t>et al.</w:t>
      </w:r>
      <w:r>
        <w:t xml:space="preserve"> (2025) </w:t>
      </w:r>
      <w:hyperlink r:id="rId16">
        <w:r>
          <w:rPr>
            <w:rStyle w:val="Hyperlink"/>
          </w:rPr>
          <w:t>A framework for modelling thermal load sensitivity across life</w:t>
        </w:r>
      </w:hyperlink>
      <w:r>
        <w:t xml:space="preserve">. </w:t>
      </w:r>
      <w:r>
        <w:rPr>
          <w:i/>
          <w:iCs/>
        </w:rPr>
        <w:t>Glob. Chang. Biol.</w:t>
      </w:r>
      <w:r>
        <w:t xml:space="preserve"> 31, e70315</w:t>
      </w:r>
    </w:p>
    <w:p w14:paraId="6D569F10" w14:textId="77777777" w:rsidR="0059760D" w:rsidRDefault="00000000">
      <w:pPr>
        <w:pStyle w:val="Bibliography"/>
      </w:pPr>
      <w:bookmarkStart w:id="78" w:name="ref-Trivedi2022"/>
      <w:bookmarkEnd w:id="77"/>
      <w:r>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2F211B87" w14:textId="77777777" w:rsidR="0059760D" w:rsidRDefault="00000000">
      <w:pPr>
        <w:pStyle w:val="Bibliography"/>
      </w:pPr>
      <w:bookmarkStart w:id="79" w:name="ref-Bimler2024"/>
      <w:bookmarkEnd w:id="78"/>
      <w:r>
        <w:t xml:space="preserve">15. </w:t>
      </w:r>
      <w:r>
        <w:tab/>
        <w:t xml:space="preserve">Bimler, M.D. </w:t>
      </w:r>
      <w:r>
        <w:rPr>
          <w:i/>
          <w:iCs/>
        </w:rPr>
        <w:t>et al.</w:t>
      </w:r>
      <w:r>
        <w:t xml:space="preserve"> (2024) </w:t>
      </w:r>
      <w:hyperlink r:id="rId17">
        <w:r>
          <w:rPr>
            <w:rStyle w:val="Hyperlink"/>
          </w:rPr>
          <w:t>Plant interaction networks reveal the limits of our understanding of diversity maintenance</w:t>
        </w:r>
      </w:hyperlink>
      <w:r>
        <w:t xml:space="preserve">. </w:t>
      </w:r>
      <w:r>
        <w:rPr>
          <w:i/>
          <w:iCs/>
        </w:rPr>
        <w:t>Ecol. Lett.</w:t>
      </w:r>
      <w:r>
        <w:t xml:space="preserve"> 27, e14376</w:t>
      </w:r>
    </w:p>
    <w:p w14:paraId="2429E77B" w14:textId="77777777" w:rsidR="0059760D" w:rsidRDefault="00000000">
      <w:pPr>
        <w:pStyle w:val="Bibliography"/>
      </w:pPr>
      <w:bookmarkStart w:id="80" w:name="ref-Chesson2000"/>
      <w:bookmarkEnd w:id="79"/>
      <w:r>
        <w:lastRenderedPageBreak/>
        <w:t xml:space="preserve">16. </w:t>
      </w:r>
      <w:r>
        <w:tab/>
        <w:t xml:space="preserve">Chesson, P. (2000) </w:t>
      </w:r>
      <w:hyperlink r:id="rId18">
        <w:r>
          <w:rPr>
            <w:rStyle w:val="Hyperlink"/>
          </w:rPr>
          <w:t>General theory of competitive coexistence in spatially-varying environments</w:t>
        </w:r>
      </w:hyperlink>
      <w:r>
        <w:t xml:space="preserve">. </w:t>
      </w:r>
      <w:r>
        <w:rPr>
          <w:i/>
          <w:iCs/>
        </w:rPr>
        <w:t>Theor. Popul. Biol.</w:t>
      </w:r>
      <w:r>
        <w:t xml:space="preserve"> 58, 211–237</w:t>
      </w:r>
    </w:p>
    <w:p w14:paraId="76A22090" w14:textId="77777777" w:rsidR="0059760D" w:rsidRDefault="00000000">
      <w:pPr>
        <w:pStyle w:val="Bibliography"/>
      </w:pPr>
      <w:bookmarkStart w:id="81" w:name="ref-Dicks2021"/>
      <w:bookmarkEnd w:id="80"/>
      <w:r>
        <w:t xml:space="preserve">17. </w:t>
      </w:r>
      <w:r>
        <w:tab/>
        <w:t xml:space="preserve">Dicks, L.V. </w:t>
      </w:r>
      <w:r>
        <w:rPr>
          <w:i/>
          <w:iCs/>
        </w:rPr>
        <w:t>et al.</w:t>
      </w:r>
      <w:r>
        <w:t xml:space="preserve"> (2021) </w:t>
      </w:r>
      <w:hyperlink r:id="rId19">
        <w:r>
          <w:rPr>
            <w:rStyle w:val="Hyperlink"/>
          </w:rPr>
          <w:t>A global-scale expert assessment of drivers and risks associated with pollinator decline</w:t>
        </w:r>
      </w:hyperlink>
      <w:r>
        <w:t xml:space="preserve">. </w:t>
      </w:r>
      <w:r>
        <w:rPr>
          <w:i/>
          <w:iCs/>
        </w:rPr>
        <w:t>Nat. Ecol. Evol.</w:t>
      </w:r>
      <w:r>
        <w:t xml:space="preserve"> 5, 1453–1461</w:t>
      </w:r>
    </w:p>
    <w:p w14:paraId="44C82E12" w14:textId="77777777" w:rsidR="0059760D" w:rsidRDefault="00000000">
      <w:pPr>
        <w:pStyle w:val="Bibliography"/>
      </w:pPr>
      <w:bookmarkStart w:id="82" w:name="ref-Kooijman2010"/>
      <w:bookmarkEnd w:id="81"/>
      <w:r>
        <w:t xml:space="preserve">18. </w:t>
      </w:r>
      <w:r>
        <w:tab/>
        <w:t xml:space="preserve">Kooijman, S.A.L.M. (2010) </w:t>
      </w:r>
      <w:r>
        <w:rPr>
          <w:i/>
          <w:iCs/>
        </w:rPr>
        <w:t>Dynamic energy budget theory for metabolic organisation</w:t>
      </w:r>
      <w:r>
        <w:t>, Cambridge university press</w:t>
      </w:r>
    </w:p>
    <w:p w14:paraId="4E9C48D2" w14:textId="77777777" w:rsidR="0059760D" w:rsidRDefault="00000000">
      <w:pPr>
        <w:pStyle w:val="Bibliography"/>
      </w:pPr>
      <w:bookmarkStart w:id="83" w:name="ref-Kearney2009b"/>
      <w:bookmarkEnd w:id="82"/>
      <w:r>
        <w:t xml:space="preserve">19. </w:t>
      </w:r>
      <w:r>
        <w:tab/>
        <w:t xml:space="preserve">Kearney, M. and Porter, W. (2009) Mechanistic niche modelling: Combining physiological and spatial data to predict species’ ranges. </w:t>
      </w:r>
      <w:r>
        <w:rPr>
          <w:i/>
          <w:iCs/>
        </w:rPr>
        <w:t>Ecol. Lett.</w:t>
      </w:r>
      <w:r>
        <w:t xml:space="preserve"> 12, 334–350</w:t>
      </w:r>
    </w:p>
    <w:p w14:paraId="5CA289C9" w14:textId="77777777" w:rsidR="0059760D" w:rsidRDefault="00000000">
      <w:pPr>
        <w:pStyle w:val="Bibliography"/>
      </w:pPr>
      <w:bookmarkStart w:id="84" w:name="ref-Kearney2024"/>
      <w:bookmarkEnd w:id="83"/>
      <w:r>
        <w:t xml:space="preserve">20. </w:t>
      </w:r>
      <w:r>
        <w:tab/>
        <w:t xml:space="preserve">Kearney, M.R. and Leigh, A. (2024) </w:t>
      </w:r>
      <w:hyperlink r:id="rId20">
        <w:r>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628CDAA1" w14:textId="77777777" w:rsidR="0059760D" w:rsidRDefault="00000000">
      <w:pPr>
        <w:pStyle w:val="Bibliography"/>
      </w:pPr>
      <w:bookmarkStart w:id="85" w:name="ref-Briscoe2023"/>
      <w:bookmarkEnd w:id="84"/>
      <w:r>
        <w:t xml:space="preserve">21.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50AC40EF" w14:textId="77777777" w:rsidR="0059760D" w:rsidRDefault="00000000">
      <w:pPr>
        <w:pStyle w:val="Bibliography"/>
      </w:pPr>
      <w:bookmarkStart w:id="86" w:name="ref-Rezende2014"/>
      <w:bookmarkEnd w:id="85"/>
      <w:r>
        <w:t xml:space="preserve">22. </w:t>
      </w:r>
      <w:r>
        <w:tab/>
        <w:t xml:space="preserve">Rezende, E.L. </w:t>
      </w:r>
      <w:r>
        <w:rPr>
          <w:i/>
          <w:iCs/>
        </w:rPr>
        <w:t>et al.</w:t>
      </w:r>
      <w:r>
        <w:t xml:space="preserve"> (2014) </w:t>
      </w:r>
      <w:hyperlink r:id="rId21">
        <w:r>
          <w:rPr>
            <w:rStyle w:val="Hyperlink"/>
          </w:rPr>
          <w:t>Tolerance landscapes in thermal ecology</w:t>
        </w:r>
      </w:hyperlink>
      <w:r>
        <w:t xml:space="preserve">. </w:t>
      </w:r>
      <w:r>
        <w:rPr>
          <w:i/>
          <w:iCs/>
        </w:rPr>
        <w:t>Funct. Ecol.</w:t>
      </w:r>
      <w:r>
        <w:t xml:space="preserve"> 28, 799–809</w:t>
      </w:r>
    </w:p>
    <w:p w14:paraId="7B43E09F" w14:textId="77777777" w:rsidR="0059760D" w:rsidRDefault="00000000">
      <w:pPr>
        <w:pStyle w:val="Bibliography"/>
      </w:pPr>
      <w:bookmarkStart w:id="87" w:name="ref-Bimler2018"/>
      <w:bookmarkEnd w:id="86"/>
      <w:r>
        <w:t xml:space="preserve">23. </w:t>
      </w:r>
      <w:r>
        <w:tab/>
        <w:t xml:space="preserve">Bimler, M.D. </w:t>
      </w:r>
      <w:r>
        <w:rPr>
          <w:i/>
          <w:iCs/>
        </w:rPr>
        <w:t>et al.</w:t>
      </w:r>
      <w:r>
        <w:t xml:space="preserve"> (2018) </w:t>
      </w:r>
      <w:hyperlink r:id="rId22">
        <w:r>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760D1EC2" w14:textId="77777777" w:rsidR="0059760D" w:rsidRDefault="00000000">
      <w:pPr>
        <w:pStyle w:val="Bibliography"/>
      </w:pPr>
      <w:bookmarkStart w:id="88" w:name="ref-Bowler2022"/>
      <w:bookmarkEnd w:id="87"/>
      <w:r>
        <w:t xml:space="preserve">24. </w:t>
      </w:r>
      <w:r>
        <w:tab/>
        <w:t xml:space="preserve">Bowler, C.H. </w:t>
      </w:r>
      <w:r>
        <w:rPr>
          <w:i/>
          <w:iCs/>
        </w:rPr>
        <w:t>et al.</w:t>
      </w:r>
      <w:r>
        <w:t xml:space="preserve"> (2022) </w:t>
      </w:r>
      <w:hyperlink r:id="rId23">
        <w:r>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061E100" w14:textId="77777777" w:rsidR="0059760D" w:rsidRDefault="00000000">
      <w:pPr>
        <w:pStyle w:val="Bibliography"/>
      </w:pPr>
      <w:bookmarkStart w:id="89" w:name="ref-Kearney2017"/>
      <w:bookmarkEnd w:id="88"/>
      <w:r>
        <w:t xml:space="preserve">25. </w:t>
      </w:r>
      <w:r>
        <w:tab/>
        <w:t xml:space="preserve">Kearney, M.R. and Porter, W.P. (2017) </w:t>
      </w:r>
      <w:hyperlink r:id="rId24">
        <w:r>
          <w:rPr>
            <w:rStyle w:val="Hyperlink"/>
          </w:rPr>
          <w:t>NicheMapR – an R package for biophysical modelling: The microclimate model</w:t>
        </w:r>
      </w:hyperlink>
      <w:r>
        <w:t xml:space="preserve">. </w:t>
      </w:r>
      <w:r>
        <w:rPr>
          <w:i/>
          <w:iCs/>
        </w:rPr>
        <w:t>Ecography (Cop.)</w:t>
      </w:r>
      <w:r>
        <w:t xml:space="preserve"> 40, 664–674</w:t>
      </w:r>
    </w:p>
    <w:p w14:paraId="7601A5D2" w14:textId="77777777" w:rsidR="0059760D" w:rsidRDefault="00000000">
      <w:pPr>
        <w:pStyle w:val="Bibliography"/>
      </w:pPr>
      <w:bookmarkStart w:id="90" w:name="ref-Maclean2019"/>
      <w:bookmarkEnd w:id="89"/>
      <w:r>
        <w:t xml:space="preserve">26. </w:t>
      </w:r>
      <w:r>
        <w:tab/>
        <w:t xml:space="preserve">Maclean, I.M.D. </w:t>
      </w:r>
      <w:r>
        <w:rPr>
          <w:i/>
          <w:iCs/>
        </w:rPr>
        <w:t>et al.</w:t>
      </w:r>
      <w:r>
        <w:t xml:space="preserve"> (2019) </w:t>
      </w:r>
      <w:hyperlink r:id="rId25">
        <w:r>
          <w:rPr>
            <w:rStyle w:val="Hyperlink"/>
          </w:rPr>
          <w:t>Microclima: An R package for modelling meso‐ and microclimate</w:t>
        </w:r>
      </w:hyperlink>
      <w:r>
        <w:t xml:space="preserve">. </w:t>
      </w:r>
      <w:r>
        <w:rPr>
          <w:i/>
          <w:iCs/>
        </w:rPr>
        <w:t>Methods Ecol. Evol.</w:t>
      </w:r>
      <w:r>
        <w:t xml:space="preserve"> 10, 280–290</w:t>
      </w:r>
    </w:p>
    <w:p w14:paraId="38436DFD" w14:textId="77777777" w:rsidR="0059760D" w:rsidRDefault="00000000">
      <w:pPr>
        <w:pStyle w:val="Bibliography"/>
      </w:pPr>
      <w:bookmarkStart w:id="91" w:name="ref-Kearney2020"/>
      <w:bookmarkEnd w:id="90"/>
      <w:r>
        <w:t xml:space="preserve">27. </w:t>
      </w:r>
      <w:r>
        <w:tab/>
        <w:t xml:space="preserve">Kearney, M.R. </w:t>
      </w:r>
      <w:r>
        <w:rPr>
          <w:i/>
          <w:iCs/>
        </w:rPr>
        <w:t>et al.</w:t>
      </w:r>
      <w:r>
        <w:t xml:space="preserve"> (2020) </w:t>
      </w:r>
      <w:hyperlink r:id="rId26">
        <w:r>
          <w:rPr>
            <w:rStyle w:val="Hyperlink"/>
          </w:rPr>
          <w:t>A method for computing hourly, historical, terrain‐corrected microclimate anywhere on earth</w:t>
        </w:r>
      </w:hyperlink>
      <w:r>
        <w:t xml:space="preserve">. </w:t>
      </w:r>
      <w:r>
        <w:rPr>
          <w:i/>
          <w:iCs/>
        </w:rPr>
        <w:t>Methods Ecol. Evol.</w:t>
      </w:r>
      <w:r>
        <w:t xml:space="preserve"> 11, 38–43</w:t>
      </w:r>
    </w:p>
    <w:p w14:paraId="0DDF50C4" w14:textId="77777777" w:rsidR="0059760D" w:rsidRDefault="00000000">
      <w:pPr>
        <w:pStyle w:val="Bibliography"/>
      </w:pPr>
      <w:bookmarkStart w:id="92" w:name="ref-Maclean2021"/>
      <w:bookmarkEnd w:id="91"/>
      <w:r>
        <w:t xml:space="preserve">28. </w:t>
      </w:r>
      <w:r>
        <w:tab/>
        <w:t xml:space="preserve">Maclean, I.M.D. </w:t>
      </w:r>
      <w:r>
        <w:rPr>
          <w:i/>
          <w:iCs/>
        </w:rPr>
        <w:t>et al.</w:t>
      </w:r>
      <w:r>
        <w:t xml:space="preserve"> (2021) </w:t>
      </w:r>
      <w:hyperlink r:id="rId27">
        <w:r>
          <w:rPr>
            <w:rStyle w:val="Hyperlink"/>
          </w:rPr>
          <w:t>On the measurement of microclimate</w:t>
        </w:r>
      </w:hyperlink>
      <w:r>
        <w:t xml:space="preserve">. </w:t>
      </w:r>
      <w:r>
        <w:rPr>
          <w:i/>
          <w:iCs/>
        </w:rPr>
        <w:t>Methods Ecol. Evol.</w:t>
      </w:r>
      <w:r>
        <w:t xml:space="preserve"> 12, 1397–1410</w:t>
      </w:r>
    </w:p>
    <w:p w14:paraId="4B2A181D" w14:textId="77777777" w:rsidR="0059760D" w:rsidRDefault="00000000">
      <w:pPr>
        <w:pStyle w:val="Bibliography"/>
      </w:pPr>
      <w:bookmarkStart w:id="93" w:name="ref-Buckley2023"/>
      <w:bookmarkEnd w:id="92"/>
      <w:r>
        <w:t xml:space="preserve">29. </w:t>
      </w:r>
      <w:r>
        <w:tab/>
        <w:t xml:space="preserve">Buckley, L.B. </w:t>
      </w:r>
      <w:r>
        <w:rPr>
          <w:i/>
          <w:iCs/>
        </w:rPr>
        <w:t>et al.</w:t>
      </w:r>
      <w:r>
        <w:t xml:space="preserve"> (2023) </w:t>
      </w:r>
      <w:hyperlink r:id="rId28">
        <w:r>
          <w:rPr>
            <w:rStyle w:val="Hyperlink"/>
          </w:rPr>
          <w:t>TrenchR: An R package for modular and accessible microclimate and biophysical ecology</w:t>
        </w:r>
      </w:hyperlink>
      <w:r>
        <w:t xml:space="preserve">. </w:t>
      </w:r>
      <w:r>
        <w:rPr>
          <w:i/>
          <w:iCs/>
        </w:rPr>
        <w:t>PLOS Clim</w:t>
      </w:r>
      <w:r>
        <w:t xml:space="preserve"> 2, e0000139</w:t>
      </w:r>
    </w:p>
    <w:p w14:paraId="28EBF11F" w14:textId="77777777" w:rsidR="0059760D" w:rsidRDefault="00000000">
      <w:pPr>
        <w:pStyle w:val="Bibliography"/>
      </w:pPr>
      <w:bookmarkStart w:id="94" w:name="ref-Bramer2018"/>
      <w:bookmarkEnd w:id="93"/>
      <w:r>
        <w:t xml:space="preserve">30. </w:t>
      </w:r>
      <w:r>
        <w:tab/>
        <w:t xml:space="preserve">Bramer, I. </w:t>
      </w:r>
      <w:r>
        <w:rPr>
          <w:i/>
          <w:iCs/>
        </w:rPr>
        <w:t>et al.</w:t>
      </w:r>
      <w:r>
        <w:t xml:space="preserve"> (2018) Advances in monitoring and modelling climate at ecologically relevant scales. </w:t>
      </w:r>
      <w:r>
        <w:rPr>
          <w:i/>
          <w:iCs/>
        </w:rPr>
        <w:t>Advances in Ecological Research</w:t>
      </w:r>
      <w:r>
        <w:t xml:space="preserve"> 58, 101–161</w:t>
      </w:r>
    </w:p>
    <w:p w14:paraId="7E8DEAE7" w14:textId="77777777" w:rsidR="0059760D" w:rsidRDefault="00000000">
      <w:pPr>
        <w:pStyle w:val="Bibliography"/>
      </w:pPr>
      <w:bookmarkStart w:id="95" w:name="ref-Levy2016"/>
      <w:bookmarkEnd w:id="94"/>
      <w:r>
        <w:t xml:space="preserve">31. </w:t>
      </w:r>
      <w:r>
        <w:tab/>
        <w:t xml:space="preserve">Levy, O. </w:t>
      </w:r>
      <w:r>
        <w:rPr>
          <w:i/>
          <w:iCs/>
        </w:rPr>
        <w:t>et al.</w:t>
      </w:r>
      <w:r>
        <w:t xml:space="preserve"> (2016) </w:t>
      </w:r>
      <w:hyperlink r:id="rId29">
        <w:r>
          <w:rPr>
            <w:rStyle w:val="Hyperlink"/>
          </w:rPr>
          <w:t>A dynamically downscaled projection of past and future microclimates</w:t>
        </w:r>
      </w:hyperlink>
      <w:r>
        <w:t xml:space="preserve">. </w:t>
      </w:r>
      <w:r>
        <w:rPr>
          <w:i/>
          <w:iCs/>
        </w:rPr>
        <w:t>Ecology</w:t>
      </w:r>
      <w:r>
        <w:t xml:space="preserve"> 97, 1888–1888</w:t>
      </w:r>
    </w:p>
    <w:p w14:paraId="2579AC69" w14:textId="77777777" w:rsidR="0059760D" w:rsidRDefault="00000000">
      <w:pPr>
        <w:pStyle w:val="Bibliography"/>
      </w:pPr>
      <w:bookmarkStart w:id="96" w:name="ref-Choi2019"/>
      <w:bookmarkEnd w:id="95"/>
      <w:r>
        <w:t xml:space="preserve">32. </w:t>
      </w:r>
      <w:r>
        <w:tab/>
        <w:t xml:space="preserve">Choi, F. </w:t>
      </w:r>
      <w:r>
        <w:rPr>
          <w:i/>
          <w:iCs/>
        </w:rPr>
        <w:t>et al.</w:t>
      </w:r>
      <w:r>
        <w:t xml:space="preserve"> (2019) </w:t>
      </w:r>
      <w:hyperlink r:id="rId30">
        <w:r>
          <w:rPr>
            <w:rStyle w:val="Hyperlink"/>
          </w:rPr>
          <w:t>Mapping physiology: Biophysical mechanisms define scales of climate change impacts</w:t>
        </w:r>
      </w:hyperlink>
      <w:r>
        <w:t xml:space="preserve">. </w:t>
      </w:r>
      <w:r>
        <w:rPr>
          <w:i/>
          <w:iCs/>
        </w:rPr>
        <w:t>Conserv. Physiol.</w:t>
      </w:r>
      <w:r>
        <w:t xml:space="preserve"> 7, coz028</w:t>
      </w:r>
    </w:p>
    <w:p w14:paraId="47D801CD" w14:textId="77777777" w:rsidR="0059760D" w:rsidRDefault="00000000">
      <w:pPr>
        <w:pStyle w:val="Bibliography"/>
      </w:pPr>
      <w:bookmarkStart w:id="97" w:name="ref-Lorenz2010"/>
      <w:bookmarkEnd w:id="96"/>
      <w:r>
        <w:t xml:space="preserve">33. </w:t>
      </w:r>
      <w:r>
        <w:tab/>
        <w:t xml:space="preserve">Lorenz, R. </w:t>
      </w:r>
      <w:r>
        <w:rPr>
          <w:i/>
          <w:iCs/>
        </w:rPr>
        <w:t>et al.</w:t>
      </w:r>
      <w:r>
        <w:t xml:space="preserve"> (2010) </w:t>
      </w:r>
      <w:hyperlink r:id="rId31">
        <w:r>
          <w:rPr>
            <w:rStyle w:val="Hyperlink"/>
          </w:rPr>
          <w:t>Persistence of heat waves and its link to soil moisture memory</w:t>
        </w:r>
      </w:hyperlink>
      <w:r>
        <w:t xml:space="preserve">. </w:t>
      </w:r>
      <w:r>
        <w:rPr>
          <w:i/>
          <w:iCs/>
        </w:rPr>
        <w:t>Geophys. Res. Lett.</w:t>
      </w:r>
      <w:r>
        <w:t xml:space="preserve"> 37</w:t>
      </w:r>
    </w:p>
    <w:p w14:paraId="44C9DE27" w14:textId="77777777" w:rsidR="0059760D" w:rsidRDefault="00000000">
      <w:pPr>
        <w:pStyle w:val="Bibliography"/>
      </w:pPr>
      <w:bookmarkStart w:id="98" w:name="ref-De_Frenne2024"/>
      <w:bookmarkEnd w:id="97"/>
      <w:r>
        <w:t xml:space="preserve">34.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32">
        <w:r>
          <w:rPr>
            <w:rStyle w:val="Hyperlink"/>
          </w:rPr>
          <w:t>10.1111/2041-210x.14476</w:t>
        </w:r>
      </w:hyperlink>
    </w:p>
    <w:p w14:paraId="0F5C5F5A" w14:textId="77777777" w:rsidR="0059760D" w:rsidRDefault="00000000">
      <w:pPr>
        <w:pStyle w:val="Bibliography"/>
      </w:pPr>
      <w:bookmarkStart w:id="99" w:name="ref-Meyer2023"/>
      <w:bookmarkEnd w:id="98"/>
      <w:r>
        <w:lastRenderedPageBreak/>
        <w:t xml:space="preserve">35. </w:t>
      </w:r>
      <w:r>
        <w:tab/>
        <w:t xml:space="preserve">Meyer, A.V. </w:t>
      </w:r>
      <w:r>
        <w:rPr>
          <w:i/>
          <w:iCs/>
        </w:rPr>
        <w:t>et al.</w:t>
      </w:r>
      <w:r>
        <w:t xml:space="preserve"> (2023) </w:t>
      </w:r>
      <w:hyperlink r:id="rId33">
        <w:r>
          <w:rPr>
            <w:rStyle w:val="Hyperlink"/>
          </w:rPr>
          <w:t>A guide and tools for selecting and accessing microclimate data for mechanistic niche modeling</w:t>
        </w:r>
      </w:hyperlink>
      <w:r>
        <w:t xml:space="preserve">. </w:t>
      </w:r>
      <w:r>
        <w:rPr>
          <w:i/>
          <w:iCs/>
        </w:rPr>
        <w:t>Ecosphere</w:t>
      </w:r>
      <w:r>
        <w:t xml:space="preserve"> 14, e4506</w:t>
      </w:r>
    </w:p>
    <w:p w14:paraId="65C2C9B9" w14:textId="77777777" w:rsidR="0059760D" w:rsidRDefault="00000000">
      <w:pPr>
        <w:pStyle w:val="Bibliography"/>
      </w:pPr>
      <w:bookmarkStart w:id="100" w:name="ref-Klinges2025"/>
      <w:bookmarkEnd w:id="99"/>
      <w:r>
        <w:t xml:space="preserve">36. </w:t>
      </w:r>
      <w:r>
        <w:tab/>
        <w:t xml:space="preserve">Klinges, D.H. </w:t>
      </w:r>
      <w:r>
        <w:rPr>
          <w:i/>
          <w:iCs/>
        </w:rPr>
        <w:t>et al.</w:t>
      </w:r>
      <w:r>
        <w:t xml:space="preserve"> (2025) Matching climate to biological scales. </w:t>
      </w:r>
      <w:r>
        <w:rPr>
          <w:i/>
          <w:iCs/>
        </w:rPr>
        <w:t>Trends Ecol. Evol.</w:t>
      </w:r>
      <w:r>
        <w:t xml:space="preserve"> in press</w:t>
      </w:r>
    </w:p>
    <w:p w14:paraId="7CC1A9BA" w14:textId="77777777" w:rsidR="0059760D" w:rsidRDefault="00000000">
      <w:pPr>
        <w:pStyle w:val="Bibliography"/>
      </w:pPr>
      <w:bookmarkStart w:id="101" w:name="ref-Hirsch2019"/>
      <w:bookmarkEnd w:id="100"/>
      <w:r>
        <w:t xml:space="preserve">37. </w:t>
      </w:r>
      <w:r>
        <w:tab/>
        <w:t xml:space="preserve">Hirsch, A.L. </w:t>
      </w:r>
      <w:r>
        <w:rPr>
          <w:i/>
          <w:iCs/>
        </w:rPr>
        <w:t>et al.</w:t>
      </w:r>
      <w:r>
        <w:t xml:space="preserve"> (2019) </w:t>
      </w:r>
      <w:hyperlink r:id="rId34">
        <w:r>
          <w:rPr>
            <w:rStyle w:val="Hyperlink"/>
          </w:rPr>
          <w:t>Amplification of australian heatwaves via local land‐atmosphere coupling</w:t>
        </w:r>
      </w:hyperlink>
      <w:r>
        <w:t xml:space="preserve">. </w:t>
      </w:r>
      <w:r>
        <w:rPr>
          <w:i/>
          <w:iCs/>
        </w:rPr>
        <w:t>J. Geophys. Res.</w:t>
      </w:r>
      <w:r>
        <w:t xml:space="preserve"> 124, 13625–13647</w:t>
      </w:r>
    </w:p>
    <w:p w14:paraId="2C993783" w14:textId="77777777" w:rsidR="0059760D" w:rsidRDefault="00000000">
      <w:pPr>
        <w:pStyle w:val="Bibliography"/>
      </w:pPr>
      <w:bookmarkStart w:id="102" w:name="ref-Drake2018"/>
      <w:bookmarkEnd w:id="101"/>
      <w:r>
        <w:t xml:space="preserve">38. </w:t>
      </w:r>
      <w:r>
        <w:tab/>
        <w:t xml:space="preserve">Drake, J.E. </w:t>
      </w:r>
      <w:r>
        <w:rPr>
          <w:i/>
          <w:iCs/>
        </w:rPr>
        <w:t>et al.</w:t>
      </w:r>
      <w:r>
        <w:t xml:space="preserve"> (2018) </w:t>
      </w:r>
      <w:hyperlink r:id="rId35">
        <w:r>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0CF368A5" w14:textId="77777777" w:rsidR="0059760D" w:rsidRDefault="00000000">
      <w:pPr>
        <w:pStyle w:val="Bibliography"/>
      </w:pPr>
      <w:bookmarkStart w:id="103" w:name="ref-Holzworth2018"/>
      <w:bookmarkEnd w:id="102"/>
      <w:r>
        <w:t xml:space="preserve">39. </w:t>
      </w:r>
      <w:r>
        <w:tab/>
        <w:t xml:space="preserve">Holzworth, D. </w:t>
      </w:r>
      <w:r>
        <w:rPr>
          <w:i/>
          <w:iCs/>
        </w:rPr>
        <w:t>et al.</w:t>
      </w:r>
      <w:r>
        <w:t xml:space="preserve"> (2018) </w:t>
      </w:r>
      <w:hyperlink r:id="rId36">
        <w:r>
          <w:rPr>
            <w:rStyle w:val="Hyperlink"/>
          </w:rPr>
          <w:t>APSIM next generation: Overcoming challenges in modernising a farming systems model</w:t>
        </w:r>
      </w:hyperlink>
      <w:r>
        <w:t xml:space="preserve">. </w:t>
      </w:r>
      <w:r>
        <w:rPr>
          <w:i/>
          <w:iCs/>
        </w:rPr>
        <w:t>Environ. Model. Softw.</w:t>
      </w:r>
      <w:r>
        <w:t xml:space="preserve"> 103, 43–51</w:t>
      </w:r>
    </w:p>
    <w:p w14:paraId="7102436D" w14:textId="77777777" w:rsidR="0059760D" w:rsidRDefault="00000000">
      <w:pPr>
        <w:pStyle w:val="Bibliography"/>
      </w:pPr>
      <w:bookmarkStart w:id="104" w:name="ref-Medlyn2011"/>
      <w:bookmarkEnd w:id="103"/>
      <w:r>
        <w:t xml:space="preserve">40. </w:t>
      </w:r>
      <w:r>
        <w:tab/>
        <w:t xml:space="preserve">Medlyn, B.E. </w:t>
      </w:r>
      <w:r>
        <w:rPr>
          <w:i/>
          <w:iCs/>
        </w:rPr>
        <w:t>et al.</w:t>
      </w:r>
      <w:r>
        <w:t xml:space="preserve"> (2011) </w:t>
      </w:r>
      <w:hyperlink r:id="rId37">
        <w:r>
          <w:rPr>
            <w:rStyle w:val="Hyperlink"/>
          </w:rPr>
          <w:t>Reconciling the optimal and empirical approaches to modelling stomatal conductance</w:t>
        </w:r>
      </w:hyperlink>
      <w:r>
        <w:t xml:space="preserve">. </w:t>
      </w:r>
      <w:r>
        <w:rPr>
          <w:i/>
          <w:iCs/>
        </w:rPr>
        <w:t>Glob. Chang. Biol.</w:t>
      </w:r>
      <w:r>
        <w:t xml:space="preserve"> 17, 2134–2144</w:t>
      </w:r>
    </w:p>
    <w:p w14:paraId="7EE1A35B" w14:textId="77777777" w:rsidR="0059760D" w:rsidRDefault="00000000">
      <w:pPr>
        <w:pStyle w:val="Bibliography"/>
      </w:pPr>
      <w:bookmarkStart w:id="105" w:name="ref-Porter1973"/>
      <w:bookmarkEnd w:id="104"/>
      <w:r>
        <w:t xml:space="preserve">41. </w:t>
      </w:r>
      <w:r>
        <w:tab/>
        <w:t xml:space="preserve">Porter, W.P. </w:t>
      </w:r>
      <w:r>
        <w:rPr>
          <w:i/>
          <w:iCs/>
        </w:rPr>
        <w:t>et al.</w:t>
      </w:r>
      <w:r>
        <w:t xml:space="preserve"> (1973) </w:t>
      </w:r>
      <w:hyperlink r:id="rId38">
        <w:r>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3144D684" w14:textId="77777777" w:rsidR="0059760D" w:rsidRDefault="00000000">
      <w:pPr>
        <w:pStyle w:val="Bibliography"/>
      </w:pPr>
      <w:bookmarkStart w:id="106" w:name="ref-Porter1969"/>
      <w:bookmarkEnd w:id="105"/>
      <w:r>
        <w:t xml:space="preserve">42. </w:t>
      </w:r>
      <w:r>
        <w:tab/>
        <w:t xml:space="preserve">Porter, W.P. and Gates, D.M. (1969) </w:t>
      </w:r>
      <w:hyperlink r:id="rId39">
        <w:r>
          <w:rPr>
            <w:rStyle w:val="Hyperlink"/>
          </w:rPr>
          <w:t>Thermodynamic equilibria of animals with environment</w:t>
        </w:r>
      </w:hyperlink>
      <w:r>
        <w:t xml:space="preserve">. </w:t>
      </w:r>
      <w:r>
        <w:rPr>
          <w:i/>
          <w:iCs/>
        </w:rPr>
        <w:t>Ecol. Monogr.</w:t>
      </w:r>
      <w:r>
        <w:t xml:space="preserve"> 39, 227–244</w:t>
      </w:r>
    </w:p>
    <w:p w14:paraId="38E6548E" w14:textId="77777777" w:rsidR="0059760D" w:rsidRDefault="00000000">
      <w:pPr>
        <w:pStyle w:val="Bibliography"/>
      </w:pPr>
      <w:bookmarkStart w:id="107" w:name="ref-Riddell2017"/>
      <w:bookmarkEnd w:id="106"/>
      <w:r>
        <w:t xml:space="preserve">43. </w:t>
      </w:r>
      <w:r>
        <w:tab/>
        <w:t xml:space="preserve">Riddell, E.A. </w:t>
      </w:r>
      <w:r>
        <w:rPr>
          <w:i/>
          <w:iCs/>
        </w:rPr>
        <w:t>et al.</w:t>
      </w:r>
      <w:r>
        <w:t xml:space="preserve"> (2017) </w:t>
      </w:r>
      <w:hyperlink r:id="rId40">
        <w:r>
          <w:rPr>
            <w:rStyle w:val="Hyperlink"/>
          </w:rPr>
          <w:t>Physical calculations of resistance to water loss improve predictions of species range models</w:t>
        </w:r>
      </w:hyperlink>
      <w:r>
        <w:t xml:space="preserve">. </w:t>
      </w:r>
      <w:r>
        <w:rPr>
          <w:i/>
          <w:iCs/>
        </w:rPr>
        <w:t>Ecol. Monogr.</w:t>
      </w:r>
      <w:r>
        <w:t xml:space="preserve"> 87, 21–33</w:t>
      </w:r>
    </w:p>
    <w:p w14:paraId="774693D0" w14:textId="77777777" w:rsidR="0059760D" w:rsidRDefault="00000000">
      <w:pPr>
        <w:pStyle w:val="Bibliography"/>
      </w:pPr>
      <w:bookmarkStart w:id="108" w:name="ref-Duursma2015"/>
      <w:bookmarkEnd w:id="107"/>
      <w:r>
        <w:t xml:space="preserve">44. </w:t>
      </w:r>
      <w:r>
        <w:tab/>
        <w:t xml:space="preserve">Duursma, R.A. (2015) </w:t>
      </w:r>
      <w:hyperlink r:id="rId41">
        <w:r>
          <w:rPr>
            <w:rStyle w:val="Hyperlink"/>
          </w:rPr>
          <w:t>Plantecophys–an R package for analysing and modelling leaf gas exchange data</w:t>
        </w:r>
      </w:hyperlink>
      <w:r>
        <w:t xml:space="preserve">. </w:t>
      </w:r>
      <w:r>
        <w:rPr>
          <w:i/>
          <w:iCs/>
        </w:rPr>
        <w:t>PLoS One</w:t>
      </w:r>
      <w:r>
        <w:t xml:space="preserve"> 10, e0143346</w:t>
      </w:r>
    </w:p>
    <w:p w14:paraId="69A196A9" w14:textId="77777777" w:rsidR="0059760D" w:rsidRDefault="00000000">
      <w:pPr>
        <w:pStyle w:val="Bibliography"/>
      </w:pPr>
      <w:bookmarkStart w:id="109" w:name="ref-Wild2025"/>
      <w:bookmarkEnd w:id="108"/>
      <w:r>
        <w:t xml:space="preserve">45. </w:t>
      </w:r>
      <w:r>
        <w:tab/>
        <w:t xml:space="preserve">Wild, K.H. </w:t>
      </w:r>
      <w:r>
        <w:rPr>
          <w:i/>
          <w:iCs/>
        </w:rPr>
        <w:t>et al.</w:t>
      </w:r>
      <w:r>
        <w:t xml:space="preserve"> (2025) </w:t>
      </w:r>
      <w:hyperlink r:id="rId42">
        <w:r>
          <w:rPr>
            <w:rStyle w:val="Hyperlink"/>
          </w:rPr>
          <w:t>Climate change and the cost-of-living squeeze in desert lizards</w:t>
        </w:r>
      </w:hyperlink>
      <w:r>
        <w:t xml:space="preserve">. </w:t>
      </w:r>
      <w:r>
        <w:rPr>
          <w:i/>
          <w:iCs/>
        </w:rPr>
        <w:t>Science</w:t>
      </w:r>
      <w:r>
        <w:t xml:space="preserve"> 387, 303–309</w:t>
      </w:r>
    </w:p>
    <w:p w14:paraId="771DB439" w14:textId="77777777" w:rsidR="0059760D" w:rsidRDefault="00000000">
      <w:pPr>
        <w:pStyle w:val="Bibliography"/>
      </w:pPr>
      <w:bookmarkStart w:id="110" w:name="ref-Briscoe2022"/>
      <w:bookmarkEnd w:id="109"/>
      <w:r>
        <w:t xml:space="preserve">46. </w:t>
      </w:r>
      <w:r>
        <w:tab/>
        <w:t xml:space="preserve">Briscoe, N.J. </w:t>
      </w:r>
      <w:r>
        <w:rPr>
          <w:i/>
          <w:iCs/>
        </w:rPr>
        <w:t>et al.</w:t>
      </w:r>
      <w:r>
        <w:t xml:space="preserve"> (2022) </w:t>
      </w:r>
      <w:hyperlink r:id="rId43">
        <w:r>
          <w:rPr>
            <w:rStyle w:val="Hyperlink"/>
          </w:rPr>
          <w:t>Too hot to hunt: Mechanistic predictions of thermal refuge from cat predation risk</w:t>
        </w:r>
      </w:hyperlink>
      <w:r>
        <w:t xml:space="preserve">. </w:t>
      </w:r>
      <w:r>
        <w:rPr>
          <w:i/>
          <w:iCs/>
        </w:rPr>
        <w:t>Conserv. Lett.</w:t>
      </w:r>
      <w:r>
        <w:t xml:space="preserve"> 15, e12906</w:t>
      </w:r>
    </w:p>
    <w:p w14:paraId="4997DEF3" w14:textId="77777777" w:rsidR="0059760D" w:rsidRDefault="00000000">
      <w:pPr>
        <w:pStyle w:val="Bibliography"/>
      </w:pPr>
      <w:bookmarkStart w:id="111" w:name="ref-Duursma2019"/>
      <w:bookmarkEnd w:id="110"/>
      <w:r>
        <w:t xml:space="preserve">47. </w:t>
      </w:r>
      <w:r>
        <w:tab/>
        <w:t xml:space="preserve">Duursma, R.A. </w:t>
      </w:r>
      <w:r>
        <w:rPr>
          <w:i/>
          <w:iCs/>
        </w:rPr>
        <w:t>et al.</w:t>
      </w:r>
      <w:r>
        <w:t xml:space="preserve"> (2019) </w:t>
      </w:r>
      <w:hyperlink r:id="rId44">
        <w:r>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250EE03" w14:textId="77777777" w:rsidR="0059760D" w:rsidRDefault="00000000">
      <w:pPr>
        <w:pStyle w:val="Bibliography"/>
      </w:pPr>
      <w:bookmarkStart w:id="112" w:name="ref-Loughran2020"/>
      <w:bookmarkEnd w:id="111"/>
      <w:r>
        <w:t xml:space="preserve">48. </w:t>
      </w:r>
      <w:r>
        <w:tab/>
        <w:t xml:space="preserve">Loughran, C.L. and Wolf, B.O. (2020) </w:t>
      </w:r>
      <w:hyperlink r:id="rId45">
        <w:r>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55C7CBD8" w14:textId="77777777" w:rsidR="0059760D" w:rsidRDefault="00000000">
      <w:pPr>
        <w:pStyle w:val="Bibliography"/>
      </w:pPr>
      <w:bookmarkStart w:id="113" w:name="ref-Sharpe2022"/>
      <w:bookmarkEnd w:id="112"/>
      <w:r>
        <w:t xml:space="preserve">49. </w:t>
      </w:r>
      <w:r>
        <w:tab/>
        <w:t xml:space="preserve">Sharpe, L.L. </w:t>
      </w:r>
      <w:r>
        <w:rPr>
          <w:i/>
          <w:iCs/>
        </w:rPr>
        <w:t>et al.</w:t>
      </w:r>
      <w:r>
        <w:t xml:space="preserve"> (2022) </w:t>
      </w:r>
      <w:hyperlink r:id="rId46">
        <w:r>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6CE406BE" w14:textId="77777777" w:rsidR="0059760D" w:rsidRDefault="00000000">
      <w:pPr>
        <w:pStyle w:val="Bibliography"/>
      </w:pPr>
      <w:bookmarkStart w:id="114" w:name="ref-Posch2024"/>
      <w:bookmarkEnd w:id="113"/>
      <w:r>
        <w:t xml:space="preserve">50. </w:t>
      </w:r>
      <w:r>
        <w:tab/>
        <w:t xml:space="preserve">Posch, B.C. </w:t>
      </w:r>
      <w:r>
        <w:rPr>
          <w:i/>
          <w:iCs/>
        </w:rPr>
        <w:t>et al.</w:t>
      </w:r>
      <w:r>
        <w:t xml:space="preserve"> (2024) </w:t>
      </w:r>
      <w:hyperlink r:id="rId47">
        <w:r>
          <w:rPr>
            <w:rStyle w:val="Hyperlink"/>
          </w:rPr>
          <w:t>Intensive leaf cooling promotes tree survival during a record heatwave</w:t>
        </w:r>
      </w:hyperlink>
      <w:r>
        <w:t xml:space="preserve">. </w:t>
      </w:r>
      <w:r>
        <w:rPr>
          <w:i/>
          <w:iCs/>
        </w:rPr>
        <w:t>Proc. Natl. Acad. Sci. U. S. A.</w:t>
      </w:r>
      <w:r>
        <w:t xml:space="preserve"> 121, e2408583121</w:t>
      </w:r>
    </w:p>
    <w:p w14:paraId="02E388BC" w14:textId="77777777" w:rsidR="0059760D" w:rsidRDefault="00000000">
      <w:pPr>
        <w:pStyle w:val="Bibliography"/>
      </w:pPr>
      <w:bookmarkStart w:id="115" w:name="ref-Orsted2022"/>
      <w:bookmarkEnd w:id="114"/>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E014260" w14:textId="77777777" w:rsidR="0059760D" w:rsidRDefault="00000000">
      <w:pPr>
        <w:pStyle w:val="Bibliography"/>
      </w:pPr>
      <w:bookmarkStart w:id="116" w:name="ref-Jagadish2021"/>
      <w:bookmarkEnd w:id="115"/>
      <w:r>
        <w:t xml:space="preserve">52. </w:t>
      </w:r>
      <w:r>
        <w:tab/>
        <w:t xml:space="preserve">Jagadish, S.V.K. </w:t>
      </w:r>
      <w:r>
        <w:rPr>
          <w:i/>
          <w:iCs/>
        </w:rPr>
        <w:t>et al.</w:t>
      </w:r>
      <w:r>
        <w:t xml:space="preserve"> (2021) </w:t>
      </w:r>
      <w:hyperlink r:id="rId48">
        <w:r>
          <w:rPr>
            <w:rStyle w:val="Hyperlink"/>
          </w:rPr>
          <w:t>Plant heat stress: Concepts directing future research</w:t>
        </w:r>
      </w:hyperlink>
      <w:r>
        <w:t xml:space="preserve">. </w:t>
      </w:r>
      <w:r>
        <w:rPr>
          <w:i/>
          <w:iCs/>
        </w:rPr>
        <w:t>Plant Cell Environ.</w:t>
      </w:r>
      <w:r>
        <w:t xml:space="preserve"> 44, 1992–2005</w:t>
      </w:r>
    </w:p>
    <w:p w14:paraId="415C51EA" w14:textId="77777777" w:rsidR="0059760D" w:rsidRDefault="00000000">
      <w:pPr>
        <w:pStyle w:val="Bibliography"/>
      </w:pPr>
      <w:bookmarkStart w:id="117" w:name="ref-Faber2024"/>
      <w:bookmarkEnd w:id="116"/>
      <w:r>
        <w:t xml:space="preserve">53. </w:t>
      </w:r>
      <w:r>
        <w:tab/>
        <w:t xml:space="preserve">Faber, A.H. </w:t>
      </w:r>
      <w:r>
        <w:rPr>
          <w:i/>
          <w:iCs/>
        </w:rPr>
        <w:t>et al.</w:t>
      </w:r>
      <w:r>
        <w:t xml:space="preserve"> (2024) </w:t>
      </w:r>
      <w:hyperlink r:id="rId49">
        <w:r>
          <w:rPr>
            <w:rStyle w:val="Hyperlink"/>
          </w:rPr>
          <w:t>Application of the thermal death time model in predicting thermal damage accumulation in plants</w:t>
        </w:r>
      </w:hyperlink>
      <w:r>
        <w:t xml:space="preserve">. </w:t>
      </w:r>
      <w:r>
        <w:rPr>
          <w:i/>
          <w:iCs/>
        </w:rPr>
        <w:t>J. Exp. Bot.</w:t>
      </w:r>
      <w:r>
        <w:t xml:space="preserve"> 75, 3467–3482</w:t>
      </w:r>
    </w:p>
    <w:p w14:paraId="0DBF644A" w14:textId="77777777" w:rsidR="0059760D" w:rsidRDefault="00000000">
      <w:pPr>
        <w:pStyle w:val="Bibliography"/>
      </w:pPr>
      <w:bookmarkStart w:id="118" w:name="ref-Martinez-De_Leon2024"/>
      <w:bookmarkEnd w:id="117"/>
      <w:r>
        <w:lastRenderedPageBreak/>
        <w:t xml:space="preserve">54. </w:t>
      </w:r>
      <w:r>
        <w:tab/>
        <w:t xml:space="preserve">Martínez-De León, G. and Thakur, M.P. (2024) Ecological debts induced by heat extremes. </w:t>
      </w:r>
      <w:r>
        <w:rPr>
          <w:i/>
          <w:iCs/>
        </w:rPr>
        <w:t>Trends Ecol. Evol.</w:t>
      </w:r>
      <w:r>
        <w:t xml:space="preserve"> 39, 1024–1034</w:t>
      </w:r>
    </w:p>
    <w:p w14:paraId="02771C0A" w14:textId="77777777" w:rsidR="0059760D" w:rsidRDefault="00000000">
      <w:pPr>
        <w:pStyle w:val="Bibliography"/>
      </w:pPr>
      <w:bookmarkStart w:id="119" w:name="ref-Marchin2022"/>
      <w:bookmarkEnd w:id="118"/>
      <w:r>
        <w:t xml:space="preserve">55. </w:t>
      </w:r>
      <w:r>
        <w:tab/>
        <w:t xml:space="preserve">Marchin, R.M. </w:t>
      </w:r>
      <w:r>
        <w:rPr>
          <w:i/>
          <w:iCs/>
        </w:rPr>
        <w:t>et al.</w:t>
      </w:r>
      <w:r>
        <w:t xml:space="preserve"> (2022) </w:t>
      </w:r>
      <w:hyperlink r:id="rId50">
        <w:r>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2E7B651B" w14:textId="77777777" w:rsidR="0059760D" w:rsidRDefault="00000000">
      <w:pPr>
        <w:pStyle w:val="Bibliography"/>
      </w:pPr>
      <w:bookmarkStart w:id="120" w:name="ref-Youngblood2025"/>
      <w:bookmarkEnd w:id="119"/>
      <w:r>
        <w:t xml:space="preserve">56.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51">
        <w:r>
          <w:rPr>
            <w:rStyle w:val="Hyperlink"/>
          </w:rPr>
          <w:t>10.1111/1365-2435.70038</w:t>
        </w:r>
      </w:hyperlink>
    </w:p>
    <w:p w14:paraId="4EE27C80" w14:textId="77777777" w:rsidR="0059760D" w:rsidRDefault="00000000">
      <w:pPr>
        <w:pStyle w:val="Bibliography"/>
      </w:pPr>
      <w:bookmarkStart w:id="121" w:name="ref-Mengutay2013"/>
      <w:bookmarkEnd w:id="120"/>
      <w:r>
        <w:t xml:space="preserve">57. </w:t>
      </w:r>
      <w:r>
        <w:tab/>
        <w:t xml:space="preserve">Mengutay, M. </w:t>
      </w:r>
      <w:r>
        <w:rPr>
          <w:i/>
          <w:iCs/>
        </w:rPr>
        <w:t>et al.</w:t>
      </w:r>
      <w:r>
        <w:t xml:space="preserve"> (2013) </w:t>
      </w:r>
      <w:hyperlink r:id="rId52">
        <w:r>
          <w:rPr>
            <w:rStyle w:val="Hyperlink"/>
          </w:rPr>
          <w:t>Adequate magnesium nutrition mitigates adverse effects of heat stress on maize and wheat</w:t>
        </w:r>
      </w:hyperlink>
      <w:r>
        <w:t xml:space="preserve">. </w:t>
      </w:r>
      <w:r>
        <w:rPr>
          <w:i/>
          <w:iCs/>
        </w:rPr>
        <w:t>Plant Soil</w:t>
      </w:r>
      <w:r>
        <w:t xml:space="preserve"> 368, 57–72</w:t>
      </w:r>
    </w:p>
    <w:p w14:paraId="61CF141D" w14:textId="77777777" w:rsidR="0059760D" w:rsidRDefault="00000000">
      <w:pPr>
        <w:pStyle w:val="Bibliography"/>
      </w:pPr>
      <w:bookmarkStart w:id="122" w:name="ref-Andersen2010"/>
      <w:bookmarkEnd w:id="121"/>
      <w:r>
        <w:t xml:space="preserve">58. </w:t>
      </w:r>
      <w:r>
        <w:tab/>
        <w:t xml:space="preserve">Andersen, L.H. </w:t>
      </w:r>
      <w:r>
        <w:rPr>
          <w:i/>
          <w:iCs/>
        </w:rPr>
        <w:t>et al.</w:t>
      </w:r>
      <w:r>
        <w:t xml:space="preserve"> (2010) </w:t>
      </w:r>
      <w:hyperlink r:id="rId53">
        <w:r>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437FAA" w14:textId="77777777" w:rsidR="0059760D" w:rsidRDefault="00000000">
      <w:pPr>
        <w:pStyle w:val="Bibliography"/>
      </w:pPr>
      <w:bookmarkStart w:id="123" w:name="ref-Chouhan2023"/>
      <w:bookmarkEnd w:id="122"/>
      <w:r>
        <w:t xml:space="preserve">59. </w:t>
      </w:r>
      <w:r>
        <w:tab/>
        <w:t xml:space="preserve">Chouhan, D. </w:t>
      </w:r>
      <w:r>
        <w:rPr>
          <w:i/>
          <w:iCs/>
        </w:rPr>
        <w:t>et al.</w:t>
      </w:r>
      <w:r>
        <w:t xml:space="preserve"> (2023) </w:t>
      </w:r>
      <w:hyperlink r:id="rId54">
        <w:r>
          <w:rPr>
            <w:rStyle w:val="Hyperlink"/>
          </w:rPr>
          <w:t>Plant-microbe interaction and their role in mitigation of heat stress</w:t>
        </w:r>
      </w:hyperlink>
      <w:r>
        <w:t xml:space="preserve">. In </w:t>
      </w:r>
      <w:r>
        <w:rPr>
          <w:i/>
          <w:iCs/>
        </w:rPr>
        <w:t>Rhizosphere biology</w:t>
      </w:r>
      <w:r>
        <w:t>, pp. 127–147, Springer Nature Singapore</w:t>
      </w:r>
    </w:p>
    <w:p w14:paraId="18858283" w14:textId="77777777" w:rsidR="0059760D" w:rsidRDefault="00000000">
      <w:pPr>
        <w:pStyle w:val="Bibliography"/>
      </w:pPr>
      <w:bookmarkStart w:id="124" w:name="ref-Marquez2007"/>
      <w:bookmarkEnd w:id="123"/>
      <w:r>
        <w:t xml:space="preserve">60.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54ECA8B1" w14:textId="77777777" w:rsidR="0059760D" w:rsidRDefault="00000000">
      <w:pPr>
        <w:pStyle w:val="Bibliography"/>
      </w:pPr>
      <w:bookmarkStart w:id="125" w:name="ref-Hoang2019"/>
      <w:bookmarkEnd w:id="124"/>
      <w:r>
        <w:t xml:space="preserve">61. </w:t>
      </w:r>
      <w:r>
        <w:tab/>
        <w:t xml:space="preserve">Hoang, K.L. </w:t>
      </w:r>
      <w:r>
        <w:rPr>
          <w:i/>
          <w:iCs/>
        </w:rPr>
        <w:t>et al.</w:t>
      </w:r>
      <w:r>
        <w:t xml:space="preserve"> (2019) </w:t>
      </w:r>
      <w:hyperlink r:id="rId55">
        <w:r>
          <w:rPr>
            <w:rStyle w:val="Hyperlink"/>
          </w:rPr>
          <w:t>The effects of bacillus subtilis on caenorhabditis elegans fitness after heat stress</w:t>
        </w:r>
      </w:hyperlink>
      <w:r>
        <w:t xml:space="preserve">. </w:t>
      </w:r>
      <w:r>
        <w:rPr>
          <w:i/>
          <w:iCs/>
        </w:rPr>
        <w:t>Ecol. Evol.</w:t>
      </w:r>
      <w:r>
        <w:t xml:space="preserve"> 9, 3491–3499</w:t>
      </w:r>
    </w:p>
    <w:p w14:paraId="1610649F" w14:textId="77777777" w:rsidR="0059760D" w:rsidRDefault="00000000">
      <w:pPr>
        <w:pStyle w:val="Bibliography"/>
      </w:pPr>
      <w:bookmarkStart w:id="126" w:name="ref-Jeffrey2001"/>
      <w:bookmarkEnd w:id="125"/>
      <w:r>
        <w:t xml:space="preserve">62. </w:t>
      </w:r>
      <w:r>
        <w:tab/>
        <w:t xml:space="preserve">Jeffrey, S.J. </w:t>
      </w:r>
      <w:r>
        <w:rPr>
          <w:i/>
          <w:iCs/>
        </w:rPr>
        <w:t>et al.</w:t>
      </w:r>
      <w:r>
        <w:t xml:space="preserve"> (2001) </w:t>
      </w:r>
      <w:hyperlink r:id="rId56">
        <w:r>
          <w:rPr>
            <w:rStyle w:val="Hyperlink"/>
          </w:rPr>
          <w:t>Using spatial interpolation to construct a comprehensive archive of australian climate data</w:t>
        </w:r>
      </w:hyperlink>
      <w:r>
        <w:t xml:space="preserve">. </w:t>
      </w:r>
      <w:r>
        <w:rPr>
          <w:i/>
          <w:iCs/>
        </w:rPr>
        <w:t>Environ. Model. Softw.</w:t>
      </w:r>
      <w:r>
        <w:t xml:space="preserve"> 16, 309–330</w:t>
      </w:r>
    </w:p>
    <w:p w14:paraId="0DF0E4D5" w14:textId="77777777" w:rsidR="0059760D" w:rsidRDefault="00000000">
      <w:pPr>
        <w:pStyle w:val="Bibliography"/>
      </w:pPr>
      <w:bookmarkStart w:id="127" w:name="ref-Kearney2020a"/>
      <w:bookmarkEnd w:id="126"/>
      <w:r>
        <w:t xml:space="preserve">63. </w:t>
      </w:r>
      <w:r>
        <w:tab/>
        <w:t xml:space="preserve">Kearney, M.R. and Porter, W.P. (2020) </w:t>
      </w:r>
      <w:hyperlink r:id="rId57">
        <w:r>
          <w:rPr>
            <w:rStyle w:val="Hyperlink"/>
          </w:rPr>
          <w:t>NicheMapR – an R package for biophysical modelling: The ectotherm and dynamic energy budget models</w:t>
        </w:r>
      </w:hyperlink>
      <w:r>
        <w:t xml:space="preserve">. </w:t>
      </w:r>
      <w:r>
        <w:rPr>
          <w:i/>
          <w:iCs/>
        </w:rPr>
        <w:t>Ecography (Cop.)</w:t>
      </w:r>
      <w:r>
        <w:t xml:space="preserve"> 43, 85–96</w:t>
      </w:r>
    </w:p>
    <w:p w14:paraId="6D877447" w14:textId="77777777" w:rsidR="0059760D" w:rsidRDefault="00000000">
      <w:pPr>
        <w:pStyle w:val="Bibliography"/>
      </w:pPr>
      <w:bookmarkStart w:id="128" w:name="ref-Nisbet2000"/>
      <w:bookmarkEnd w:id="127"/>
      <w:r>
        <w:t xml:space="preserve">64. </w:t>
      </w:r>
      <w:r>
        <w:tab/>
        <w:t xml:space="preserve">Nisbet, R. </w:t>
      </w:r>
      <w:r>
        <w:rPr>
          <w:i/>
          <w:iCs/>
        </w:rPr>
        <w:t>et al.</w:t>
      </w:r>
      <w:r>
        <w:t xml:space="preserve"> (2000) </w:t>
      </w:r>
      <w:hyperlink r:id="rId58">
        <w:r>
          <w:rPr>
            <w:rStyle w:val="Hyperlink"/>
          </w:rPr>
          <w:t>From molecules to ecosystems through dynamic energy budget models</w:t>
        </w:r>
      </w:hyperlink>
      <w:r>
        <w:t xml:space="preserve">. </w:t>
      </w:r>
      <w:r>
        <w:rPr>
          <w:i/>
          <w:iCs/>
        </w:rPr>
        <w:t>Journal of Animal Ecology</w:t>
      </w:r>
      <w:r>
        <w:t xml:space="preserve"> 69, 913–926</w:t>
      </w:r>
    </w:p>
    <w:p w14:paraId="0084AAC7" w14:textId="77777777" w:rsidR="0059760D" w:rsidRDefault="00000000">
      <w:pPr>
        <w:pStyle w:val="Bibliography"/>
      </w:pPr>
      <w:bookmarkStart w:id="129" w:name="ref-Jager2020"/>
      <w:bookmarkEnd w:id="128"/>
      <w:r>
        <w:t xml:space="preserve">65. </w:t>
      </w:r>
      <w:r>
        <w:tab/>
        <w:t xml:space="preserve">Jager, T. (2020) </w:t>
      </w:r>
      <w:hyperlink r:id="rId59">
        <w:r>
          <w:rPr>
            <w:rStyle w:val="Hyperlink"/>
          </w:rPr>
          <w:t>Revisiting simplified DEBtox models for analysing ecotoxicity data</w:t>
        </w:r>
      </w:hyperlink>
      <w:r>
        <w:t xml:space="preserve">. </w:t>
      </w:r>
      <w:r>
        <w:rPr>
          <w:i/>
          <w:iCs/>
        </w:rPr>
        <w:t>Ecol. Modell.</w:t>
      </w:r>
      <w:r>
        <w:t xml:space="preserve"> 416, 108904</w:t>
      </w:r>
    </w:p>
    <w:p w14:paraId="7C9845D1" w14:textId="77777777" w:rsidR="0059760D" w:rsidRDefault="00000000">
      <w:pPr>
        <w:pStyle w:val="Bibliography"/>
      </w:pPr>
      <w:bookmarkStart w:id="130" w:name="ref-Kearney2013"/>
      <w:bookmarkEnd w:id="129"/>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78BB6599" w14:textId="77777777" w:rsidR="0059760D" w:rsidRDefault="00000000">
      <w:pPr>
        <w:pStyle w:val="Bibliography"/>
      </w:pPr>
      <w:bookmarkStart w:id="131" w:name="ref-Kearney2010"/>
      <w:bookmarkEnd w:id="130"/>
      <w:r>
        <w:t xml:space="preserve">67. </w:t>
      </w:r>
      <w:r>
        <w:tab/>
        <w:t xml:space="preserve">Kearney, M. </w:t>
      </w:r>
      <w:r>
        <w:rPr>
          <w:i/>
          <w:iCs/>
        </w:rPr>
        <w:t>et al.</w:t>
      </w:r>
      <w:r>
        <w:t xml:space="preserve"> (2010) </w:t>
      </w:r>
      <w:hyperlink r:id="rId60">
        <w:r>
          <w:rPr>
            <w:rStyle w:val="Hyperlink"/>
          </w:rPr>
          <w:t>Modelling the ecological niche from functional traits</w:t>
        </w:r>
      </w:hyperlink>
      <w:r>
        <w:t xml:space="preserve">. </w:t>
      </w:r>
      <w:r>
        <w:rPr>
          <w:i/>
          <w:iCs/>
        </w:rPr>
        <w:t>Philos. Trans. R. Soc. Lond. B Biol. Sci.</w:t>
      </w:r>
      <w:r>
        <w:t xml:space="preserve"> 365, 3469–3483</w:t>
      </w:r>
    </w:p>
    <w:p w14:paraId="4835A1EE" w14:textId="77777777" w:rsidR="0059760D" w:rsidRDefault="00000000">
      <w:pPr>
        <w:pStyle w:val="Bibliography"/>
      </w:pPr>
      <w:bookmarkStart w:id="132" w:name="ref-Marques2018"/>
      <w:bookmarkEnd w:id="131"/>
      <w:r>
        <w:t xml:space="preserve">68. </w:t>
      </w:r>
      <w:r>
        <w:tab/>
        <w:t xml:space="preserve">Marques, G.M. </w:t>
      </w:r>
      <w:r>
        <w:rPr>
          <w:i/>
          <w:iCs/>
        </w:rPr>
        <w:t>et al.</w:t>
      </w:r>
      <w:r>
        <w:t xml:space="preserve"> (2018) </w:t>
      </w:r>
      <w:hyperlink r:id="rId61">
        <w:r>
          <w:rPr>
            <w:rStyle w:val="Hyperlink"/>
          </w:rPr>
          <w:t>The AmP project: Comparing species on the basis of dynamic energy budget parameters</w:t>
        </w:r>
      </w:hyperlink>
      <w:r>
        <w:t xml:space="preserve">. </w:t>
      </w:r>
      <w:r>
        <w:rPr>
          <w:i/>
          <w:iCs/>
        </w:rPr>
        <w:t>PLoS Comput. Biol.</w:t>
      </w:r>
      <w:r>
        <w:t xml:space="preserve"> 14, e1006100</w:t>
      </w:r>
    </w:p>
    <w:p w14:paraId="4C921156" w14:textId="77777777" w:rsidR="0059760D" w:rsidRDefault="00000000">
      <w:pPr>
        <w:pStyle w:val="Bibliography"/>
      </w:pPr>
      <w:bookmarkStart w:id="133" w:name="ref-Kooijman2021"/>
      <w:bookmarkEnd w:id="132"/>
      <w:r>
        <w:t xml:space="preserve">69. </w:t>
      </w:r>
      <w:r>
        <w:tab/>
        <w:t xml:space="preserve">Kooijman, S.A.L.M. </w:t>
      </w:r>
      <w:r>
        <w:rPr>
          <w:i/>
          <w:iCs/>
        </w:rPr>
        <w:t>et al.</w:t>
      </w:r>
      <w:r>
        <w:t xml:space="preserve"> (2021) </w:t>
      </w:r>
      <w:hyperlink r:id="rId62">
        <w:r>
          <w:rPr>
            <w:rStyle w:val="Hyperlink"/>
          </w:rPr>
          <w:t>Multidimensional scaling for animal traits in the context of dynamic energy budget theory</w:t>
        </w:r>
      </w:hyperlink>
      <w:r>
        <w:t xml:space="preserve">. </w:t>
      </w:r>
      <w:r>
        <w:rPr>
          <w:i/>
          <w:iCs/>
        </w:rPr>
        <w:t>Conserv. Physiol.</w:t>
      </w:r>
      <w:r>
        <w:t xml:space="preserve"> 9, coab086</w:t>
      </w:r>
    </w:p>
    <w:p w14:paraId="1AAFDCF9" w14:textId="77777777" w:rsidR="0059760D" w:rsidRDefault="00000000">
      <w:pPr>
        <w:pStyle w:val="Bibliography"/>
      </w:pPr>
      <w:bookmarkStart w:id="134" w:name="ref-Bruggeman2009"/>
      <w:bookmarkEnd w:id="133"/>
      <w:r>
        <w:t xml:space="preserve">70. </w:t>
      </w:r>
      <w:r>
        <w:tab/>
        <w:t xml:space="preserve">Bruggeman, J. </w:t>
      </w:r>
      <w:r>
        <w:rPr>
          <w:i/>
          <w:iCs/>
        </w:rPr>
        <w:t>et al.</w:t>
      </w:r>
      <w:r>
        <w:t xml:space="preserve"> (2009) </w:t>
      </w:r>
      <w:hyperlink r:id="rId63">
        <w:r>
          <w:rPr>
            <w:rStyle w:val="Hyperlink"/>
          </w:rPr>
          <w:t>PhyloPars: Estimation of missing parameter values using phylogeny</w:t>
        </w:r>
      </w:hyperlink>
      <w:r>
        <w:t xml:space="preserve">. </w:t>
      </w:r>
      <w:r>
        <w:rPr>
          <w:i/>
          <w:iCs/>
        </w:rPr>
        <w:t>Nucleic Acids Research</w:t>
      </w:r>
      <w:r>
        <w:t xml:space="preserve"> 37, W179–W184</w:t>
      </w:r>
    </w:p>
    <w:p w14:paraId="67BCEFEE" w14:textId="77777777" w:rsidR="0059760D" w:rsidRDefault="00000000">
      <w:pPr>
        <w:pStyle w:val="Bibliography"/>
      </w:pPr>
      <w:bookmarkStart w:id="135" w:name="ref-Bonan2019"/>
      <w:bookmarkEnd w:id="134"/>
      <w:r>
        <w:t xml:space="preserve">71. </w:t>
      </w:r>
      <w:r>
        <w:tab/>
        <w:t xml:space="preserve">Bonan, G. (2019) </w:t>
      </w:r>
      <w:r>
        <w:rPr>
          <w:i/>
          <w:iCs/>
        </w:rPr>
        <w:t>Climate change and terrestrial ecosystem modeling</w:t>
      </w:r>
      <w:r>
        <w:t>, Cambridge University Press</w:t>
      </w:r>
    </w:p>
    <w:p w14:paraId="564D757F" w14:textId="77777777" w:rsidR="0059760D" w:rsidRDefault="00000000">
      <w:pPr>
        <w:pStyle w:val="Bibliography"/>
      </w:pPr>
      <w:bookmarkStart w:id="136" w:name="ref-Kumarathunge2019"/>
      <w:bookmarkEnd w:id="135"/>
      <w:r>
        <w:t xml:space="preserve">72. </w:t>
      </w:r>
      <w:r>
        <w:tab/>
        <w:t xml:space="preserve">Kumarathunge, D.P. </w:t>
      </w:r>
      <w:r>
        <w:rPr>
          <w:i/>
          <w:iCs/>
        </w:rPr>
        <w:t>et al.</w:t>
      </w:r>
      <w:r>
        <w:t xml:space="preserve"> (2019) </w:t>
      </w:r>
      <w:hyperlink r:id="rId64">
        <w:r>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4A16286" w14:textId="77777777" w:rsidR="0059760D" w:rsidRDefault="00000000">
      <w:pPr>
        <w:pStyle w:val="Bibliography"/>
      </w:pPr>
      <w:bookmarkStart w:id="137" w:name="ref-De_Kauwe2020"/>
      <w:bookmarkEnd w:id="136"/>
      <w:r>
        <w:lastRenderedPageBreak/>
        <w:t xml:space="preserve">73. </w:t>
      </w:r>
      <w:r>
        <w:tab/>
        <w:t xml:space="preserve">De Kauwe, M.G. </w:t>
      </w:r>
      <w:r>
        <w:rPr>
          <w:i/>
          <w:iCs/>
        </w:rPr>
        <w:t>et al.</w:t>
      </w:r>
      <w:r>
        <w:t xml:space="preserve"> (2020) </w:t>
      </w:r>
      <w:hyperlink r:id="rId65">
        <w:r>
          <w:rPr>
            <w:rStyle w:val="Hyperlink"/>
          </w:rPr>
          <w:t>Identifying areas at risk of drought-induced tree mortality across south-eastern australia</w:t>
        </w:r>
      </w:hyperlink>
      <w:r>
        <w:t xml:space="preserve">. </w:t>
      </w:r>
      <w:r>
        <w:rPr>
          <w:i/>
          <w:iCs/>
        </w:rPr>
        <w:t>Glob. Chang. Biol.</w:t>
      </w:r>
      <w:r>
        <w:t xml:space="preserve"> 26, 5716–5733</w:t>
      </w:r>
    </w:p>
    <w:p w14:paraId="6E4DA344" w14:textId="77777777" w:rsidR="0059760D" w:rsidRDefault="00000000">
      <w:pPr>
        <w:pStyle w:val="Bibliography"/>
      </w:pPr>
      <w:bookmarkStart w:id="138" w:name="ref-Bimler2023"/>
      <w:bookmarkEnd w:id="137"/>
      <w:r>
        <w:t xml:space="preserve">74. </w:t>
      </w:r>
      <w:r>
        <w:tab/>
        <w:t xml:space="preserve">Bimler, M.D. </w:t>
      </w:r>
      <w:r>
        <w:rPr>
          <w:i/>
          <w:iCs/>
        </w:rPr>
        <w:t>et al.</w:t>
      </w:r>
      <w:r>
        <w:t xml:space="preserve"> (2023) </w:t>
      </w:r>
      <w:hyperlink r:id="rId66">
        <w:r>
          <w:rPr>
            <w:rStyle w:val="Hyperlink"/>
          </w:rPr>
          <w:t>Estimating interaction strengths for diverse horizontal systems using performance data</w:t>
        </w:r>
      </w:hyperlink>
      <w:r>
        <w:t xml:space="preserve">. </w:t>
      </w:r>
      <w:r>
        <w:rPr>
          <w:i/>
          <w:iCs/>
        </w:rPr>
        <w:t>Methods Ecol. Evol.</w:t>
      </w:r>
      <w:r>
        <w:t xml:space="preserve"> 14, 968–980</w:t>
      </w:r>
    </w:p>
    <w:p w14:paraId="337D59D2" w14:textId="77777777" w:rsidR="0059760D" w:rsidRDefault="00000000">
      <w:pPr>
        <w:pStyle w:val="Bibliography"/>
      </w:pPr>
      <w:bookmarkStart w:id="139" w:name="ref-Kraft2015"/>
      <w:bookmarkEnd w:id="138"/>
      <w:r>
        <w:t xml:space="preserve">75. </w:t>
      </w:r>
      <w:r>
        <w:tab/>
        <w:t xml:space="preserve">Kraft, N.J.B. </w:t>
      </w:r>
      <w:r>
        <w:rPr>
          <w:i/>
          <w:iCs/>
        </w:rPr>
        <w:t>et al.</w:t>
      </w:r>
      <w:r>
        <w:t xml:space="preserve"> (2015) </w:t>
      </w:r>
      <w:hyperlink r:id="rId67">
        <w:r>
          <w:rPr>
            <w:rStyle w:val="Hyperlink"/>
          </w:rPr>
          <w:t>Plant functional traits and the multidimensional nature of species coexistence</w:t>
        </w:r>
      </w:hyperlink>
      <w:r>
        <w:t xml:space="preserve">. </w:t>
      </w:r>
      <w:r>
        <w:rPr>
          <w:i/>
          <w:iCs/>
        </w:rPr>
        <w:t>Proc. Natl. Acad. Sci. U. S. A.</w:t>
      </w:r>
      <w:r>
        <w:t xml:space="preserve"> 112, 797–802</w:t>
      </w:r>
    </w:p>
    <w:p w14:paraId="6AEB9957" w14:textId="77777777" w:rsidR="0059760D" w:rsidRDefault="00000000">
      <w:pPr>
        <w:pStyle w:val="Bibliography"/>
      </w:pPr>
      <w:bookmarkStart w:id="140" w:name="ref-Buche2024"/>
      <w:bookmarkEnd w:id="139"/>
      <w:r>
        <w:t xml:space="preserve">76. </w:t>
      </w:r>
      <w:r>
        <w:tab/>
        <w:t xml:space="preserve">Buche, L. </w:t>
      </w:r>
      <w:r>
        <w:rPr>
          <w:i/>
          <w:iCs/>
        </w:rPr>
        <w:t>et al.</w:t>
      </w:r>
      <w:r>
        <w:t xml:space="preserve"> (2024) </w:t>
      </w:r>
      <w:hyperlink r:id="rId68">
        <w:r>
          <w:rPr>
            <w:rStyle w:val="Hyperlink"/>
          </w:rPr>
          <w:t>Multitrophic higher-order interactions modulate species persistence</w:t>
        </w:r>
      </w:hyperlink>
      <w:r>
        <w:t xml:space="preserve">. </w:t>
      </w:r>
      <w:r>
        <w:rPr>
          <w:i/>
          <w:iCs/>
        </w:rPr>
        <w:t>Am. Nat.</w:t>
      </w:r>
      <w:r>
        <w:t xml:space="preserve"> 203, 458–472</w:t>
      </w:r>
    </w:p>
    <w:p w14:paraId="6B668674" w14:textId="77777777" w:rsidR="0059760D" w:rsidRDefault="00000000">
      <w:pPr>
        <w:pStyle w:val="Bibliography"/>
      </w:pPr>
      <w:bookmarkStart w:id="141" w:name="ref-Buche2025"/>
      <w:bookmarkEnd w:id="140"/>
      <w:r>
        <w:t xml:space="preserve">77. </w:t>
      </w:r>
      <w:r>
        <w:tab/>
        <w:t xml:space="preserve">Buche, L. </w:t>
      </w:r>
      <w:r>
        <w:rPr>
          <w:i/>
          <w:iCs/>
        </w:rPr>
        <w:t>et al.</w:t>
      </w:r>
      <w:r>
        <w:t xml:space="preserve"> (2025) </w:t>
      </w:r>
      <w:hyperlink r:id="rId69">
        <w:r>
          <w:rPr>
            <w:rStyle w:val="Hyperlink"/>
          </w:rPr>
          <w:t>A continuum from positive to negative interactions drives plant species’ performance in a diverse community</w:t>
        </w:r>
      </w:hyperlink>
      <w:r>
        <w:t xml:space="preserve">. </w:t>
      </w:r>
      <w:r>
        <w:rPr>
          <w:i/>
          <w:iCs/>
        </w:rPr>
        <w:t>Ecol. Lett.</w:t>
      </w:r>
      <w:r>
        <w:t xml:space="preserve"> 28, e70059</w:t>
      </w:r>
    </w:p>
    <w:p w14:paraId="5741070D" w14:textId="77777777" w:rsidR="0059760D" w:rsidRDefault="00000000">
      <w:pPr>
        <w:pStyle w:val="Bibliography"/>
      </w:pPr>
      <w:bookmarkStart w:id="142" w:name="ref-Ricker1954a"/>
      <w:bookmarkEnd w:id="141"/>
      <w:r>
        <w:t xml:space="preserve">78. </w:t>
      </w:r>
      <w:r>
        <w:tab/>
        <w:t xml:space="preserve">Ricker, W.E. (1954) </w:t>
      </w:r>
      <w:hyperlink r:id="rId70">
        <w:r>
          <w:rPr>
            <w:rStyle w:val="Hyperlink"/>
          </w:rPr>
          <w:t>Stock and recruitment</w:t>
        </w:r>
      </w:hyperlink>
      <w:r>
        <w:t xml:space="preserve">. </w:t>
      </w:r>
      <w:r>
        <w:rPr>
          <w:i/>
          <w:iCs/>
        </w:rPr>
        <w:t>J. Fish. Res. Board Can.</w:t>
      </w:r>
      <w:r>
        <w:t xml:space="preserve"> 11, 559–623</w:t>
      </w:r>
    </w:p>
    <w:p w14:paraId="74B861C0" w14:textId="77777777" w:rsidR="0059760D" w:rsidRDefault="00000000">
      <w:pPr>
        <w:pStyle w:val="Bibliography"/>
      </w:pPr>
      <w:bookmarkStart w:id="143" w:name="ref-Beverton2012"/>
      <w:bookmarkEnd w:id="142"/>
      <w:r>
        <w:t xml:space="preserve">79. </w:t>
      </w:r>
      <w:r>
        <w:tab/>
        <w:t xml:space="preserve">Beverton, R.J.H. and Holt, S. (2012) </w:t>
      </w:r>
      <w:hyperlink r:id="rId71">
        <w:r>
          <w:rPr>
            <w:rStyle w:val="Hyperlink"/>
            <w:i/>
            <w:iCs/>
          </w:rPr>
          <w:t>On the dynamics of exploited fish populations</w:t>
        </w:r>
      </w:hyperlink>
      <w:r>
        <w:t>, Springer</w:t>
      </w:r>
    </w:p>
    <w:p w14:paraId="608AEF65" w14:textId="77777777" w:rsidR="0059760D" w:rsidRDefault="00000000">
      <w:pPr>
        <w:pStyle w:val="Bibliography"/>
      </w:pPr>
      <w:bookmarkStart w:id="144" w:name="ref-Levine2009"/>
      <w:bookmarkEnd w:id="143"/>
      <w:r>
        <w:t xml:space="preserve">80. </w:t>
      </w:r>
      <w:r>
        <w:tab/>
        <w:t xml:space="preserve">Levine, J.M. and HilleRisLambers, J. (2009) </w:t>
      </w:r>
      <w:hyperlink r:id="rId72">
        <w:r>
          <w:rPr>
            <w:rStyle w:val="Hyperlink"/>
          </w:rPr>
          <w:t>The importance of niches for the maintenance of species diversity</w:t>
        </w:r>
      </w:hyperlink>
      <w:r>
        <w:t xml:space="preserve">. </w:t>
      </w:r>
      <w:r>
        <w:rPr>
          <w:i/>
          <w:iCs/>
        </w:rPr>
        <w:t>Nature</w:t>
      </w:r>
      <w:r>
        <w:t xml:space="preserve"> 461, 254–257</w:t>
      </w:r>
    </w:p>
    <w:p w14:paraId="4D0EDE37" w14:textId="77777777" w:rsidR="0059760D" w:rsidRDefault="00000000">
      <w:pPr>
        <w:pStyle w:val="Bibliography"/>
      </w:pPr>
      <w:bookmarkStart w:id="145" w:name="ref-Wainwright2019"/>
      <w:bookmarkEnd w:id="144"/>
      <w:r>
        <w:t xml:space="preserve">81. </w:t>
      </w:r>
      <w:r>
        <w:tab/>
        <w:t xml:space="preserve">Wainwright, C.E. </w:t>
      </w:r>
      <w:r>
        <w:rPr>
          <w:i/>
          <w:iCs/>
        </w:rPr>
        <w:t>et al.</w:t>
      </w:r>
      <w:r>
        <w:t xml:space="preserve"> (2019) </w:t>
      </w:r>
      <w:hyperlink r:id="rId73">
        <w:r>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4E6FCCBB" w14:textId="77777777" w:rsidR="0059760D" w:rsidRDefault="00000000">
      <w:pPr>
        <w:pStyle w:val="Bibliography"/>
      </w:pPr>
      <w:bookmarkStart w:id="146" w:name="ref-Mayfield2017"/>
      <w:bookmarkEnd w:id="145"/>
      <w:r>
        <w:t xml:space="preserve">82. </w:t>
      </w:r>
      <w:r>
        <w:tab/>
        <w:t xml:space="preserve">Mayfield, M. and Stouffer, D.B. (2017) </w:t>
      </w:r>
      <w:hyperlink r:id="rId74">
        <w:r>
          <w:rPr>
            <w:rStyle w:val="Hyperlink"/>
          </w:rPr>
          <w:t>Higher-order interactions capture unexplained complexity in diverse communities</w:t>
        </w:r>
      </w:hyperlink>
      <w:r>
        <w:t xml:space="preserve">. </w:t>
      </w:r>
      <w:r>
        <w:rPr>
          <w:i/>
          <w:iCs/>
        </w:rPr>
        <w:t>Nat. Ecol. Evol.</w:t>
      </w:r>
      <w:r>
        <w:t xml:space="preserve"> 1, 0062</w:t>
      </w:r>
    </w:p>
    <w:p w14:paraId="320DF93A" w14:textId="77777777" w:rsidR="0059760D" w:rsidRDefault="00000000">
      <w:pPr>
        <w:pStyle w:val="Bibliography"/>
      </w:pPr>
      <w:bookmarkStart w:id="147" w:name="ref-Martyn2021"/>
      <w:bookmarkEnd w:id="146"/>
      <w:r>
        <w:t xml:space="preserve">83. </w:t>
      </w:r>
      <w:r>
        <w:tab/>
        <w:t xml:space="preserve">Martyn, T.E. </w:t>
      </w:r>
      <w:r>
        <w:rPr>
          <w:i/>
          <w:iCs/>
        </w:rPr>
        <w:t>et al.</w:t>
      </w:r>
      <w:r>
        <w:t xml:space="preserve"> (2021) </w:t>
      </w:r>
      <w:hyperlink r:id="rId75">
        <w:r>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5D1EF0FF" w14:textId="77777777" w:rsidR="0059760D" w:rsidRDefault="00000000">
      <w:pPr>
        <w:pStyle w:val="Bibliography"/>
      </w:pPr>
      <w:bookmarkStart w:id="148" w:name="ref-Llandres2015"/>
      <w:bookmarkEnd w:id="147"/>
      <w:r>
        <w:t xml:space="preserve">84. </w:t>
      </w:r>
      <w:r>
        <w:tab/>
        <w:t xml:space="preserve">Llandres, A.L. </w:t>
      </w:r>
      <w:r>
        <w:rPr>
          <w:i/>
          <w:iCs/>
        </w:rPr>
        <w:t>et al.</w:t>
      </w:r>
      <w:r>
        <w:t xml:space="preserve"> (2015) </w:t>
      </w:r>
      <w:hyperlink r:id="rId76">
        <w:r>
          <w:rPr>
            <w:rStyle w:val="Hyperlink"/>
          </w:rPr>
          <w:t>A dynamic energy budget for the whole life-cycle of holometabolous insects</w:t>
        </w:r>
      </w:hyperlink>
      <w:r>
        <w:t xml:space="preserve">. </w:t>
      </w:r>
      <w:r>
        <w:rPr>
          <w:i/>
          <w:iCs/>
        </w:rPr>
        <w:t>Ecol. Monogr.</w:t>
      </w:r>
      <w:r>
        <w:t xml:space="preserve"> 85, 353–371</w:t>
      </w:r>
    </w:p>
    <w:p w14:paraId="0710590E" w14:textId="77777777" w:rsidR="0059760D" w:rsidRDefault="00000000">
      <w:pPr>
        <w:pStyle w:val="Bibliography"/>
      </w:pPr>
      <w:bookmarkStart w:id="149" w:name="ref-Arnold2019a"/>
      <w:bookmarkEnd w:id="148"/>
      <w:r>
        <w:t xml:space="preserve">85. </w:t>
      </w:r>
      <w:r>
        <w:tab/>
        <w:t xml:space="preserve">Arnold, P.A. </w:t>
      </w:r>
      <w:r>
        <w:rPr>
          <w:i/>
          <w:iCs/>
        </w:rPr>
        <w:t>et al.</w:t>
      </w:r>
      <w:r>
        <w:t xml:space="preserve"> (2019) </w:t>
      </w:r>
      <w:hyperlink r:id="rId77">
        <w:r>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19352F93" w14:textId="77777777" w:rsidR="0059760D" w:rsidRDefault="00000000">
      <w:pPr>
        <w:pStyle w:val="Bibliography"/>
      </w:pPr>
      <w:bookmarkStart w:id="150" w:name="ref-Shekhawat2022"/>
      <w:bookmarkEnd w:id="149"/>
      <w:r>
        <w:t xml:space="preserve">86. </w:t>
      </w:r>
      <w:r>
        <w:tab/>
        <w:t xml:space="preserve">Shekhawat, K. </w:t>
      </w:r>
      <w:r>
        <w:rPr>
          <w:i/>
          <w:iCs/>
        </w:rPr>
        <w:t>et al.</w:t>
      </w:r>
      <w:r>
        <w:t xml:space="preserve"> (2022) </w:t>
      </w:r>
      <w:hyperlink r:id="rId78">
        <w:r>
          <w:rPr>
            <w:rStyle w:val="Hyperlink"/>
          </w:rPr>
          <w:t>Beat the heat: Plant- and microbe-mediated strategies for crop thermotolerance</w:t>
        </w:r>
      </w:hyperlink>
      <w:r>
        <w:t xml:space="preserve">. </w:t>
      </w:r>
      <w:r>
        <w:rPr>
          <w:i/>
          <w:iCs/>
        </w:rPr>
        <w:t>Trends Plant Sci.</w:t>
      </w:r>
      <w:r>
        <w:t xml:space="preserve"> 27, 802–813</w:t>
      </w:r>
    </w:p>
    <w:p w14:paraId="286EEACD" w14:textId="77777777" w:rsidR="0059760D" w:rsidRDefault="00000000">
      <w:pPr>
        <w:pStyle w:val="Bibliography"/>
      </w:pPr>
      <w:bookmarkStart w:id="151" w:name="ref-Dandy2019"/>
      <w:bookmarkEnd w:id="150"/>
      <w:r>
        <w:t xml:space="preserve">87. </w:t>
      </w:r>
      <w:r>
        <w:tab/>
        <w:t xml:space="preserve">Dandy, J. </w:t>
      </w:r>
      <w:r>
        <w:rPr>
          <w:i/>
          <w:iCs/>
        </w:rPr>
        <w:t>et al.</w:t>
      </w:r>
      <w:r>
        <w:t xml:space="preserve"> (2019) </w:t>
      </w:r>
      <w:hyperlink r:id="rId79">
        <w:r>
          <w:rPr>
            <w:rStyle w:val="Hyperlink"/>
          </w:rPr>
          <w:t>Leaving home: Place attachment and decisions to move in the face of environmental change</w:t>
        </w:r>
      </w:hyperlink>
      <w:r>
        <w:t xml:space="preserve">. </w:t>
      </w:r>
      <w:r>
        <w:rPr>
          <w:i/>
          <w:iCs/>
        </w:rPr>
        <w:t>Reg. Environ. Change</w:t>
      </w:r>
      <w:r>
        <w:t xml:space="preserve"> 19, 615–620</w:t>
      </w:r>
    </w:p>
    <w:p w14:paraId="4232907E" w14:textId="77777777" w:rsidR="0059760D" w:rsidRDefault="00000000">
      <w:pPr>
        <w:pStyle w:val="Bibliography"/>
      </w:pPr>
      <w:bookmarkStart w:id="152" w:name="ref-Leviston2018"/>
      <w:bookmarkEnd w:id="151"/>
      <w:r>
        <w:t xml:space="preserve">88. </w:t>
      </w:r>
      <w:r>
        <w:tab/>
        <w:t xml:space="preserve">Leviston, Z. </w:t>
      </w:r>
      <w:r>
        <w:rPr>
          <w:i/>
          <w:iCs/>
        </w:rPr>
        <w:t>et al.</w:t>
      </w:r>
      <w:r>
        <w:t xml:space="preserve"> (2018) </w:t>
      </w:r>
      <w:hyperlink r:id="rId80">
        <w:r>
          <w:rPr>
            <w:rStyle w:val="Hyperlink"/>
          </w:rPr>
          <w:t>Linkages between ecosystem services and human wellbeing: A nexus webs approach</w:t>
        </w:r>
      </w:hyperlink>
      <w:r>
        <w:t xml:space="preserve">. </w:t>
      </w:r>
      <w:r>
        <w:rPr>
          <w:i/>
          <w:iCs/>
        </w:rPr>
        <w:t>Ecol. Indic.</w:t>
      </w:r>
      <w:r>
        <w:t xml:space="preserve"> 93, 658–668</w:t>
      </w:r>
    </w:p>
    <w:p w14:paraId="28DDF955" w14:textId="77777777" w:rsidR="0059760D" w:rsidRDefault="00000000">
      <w:pPr>
        <w:pStyle w:val="Bibliography"/>
      </w:pPr>
      <w:bookmarkStart w:id="153" w:name="ref-Baeckens2025"/>
      <w:bookmarkEnd w:id="152"/>
      <w:r>
        <w:t xml:space="preserve">89. </w:t>
      </w:r>
      <w:r>
        <w:tab/>
        <w:t xml:space="preserve">Baeckens, S. and Donihue, C.M. (2025) Evolutionary consequences of extreme climate events. </w:t>
      </w:r>
      <w:r>
        <w:rPr>
          <w:i/>
          <w:iCs/>
        </w:rPr>
        <w:t>Curr. Biol.</w:t>
      </w:r>
      <w:r>
        <w:t xml:space="preserve"> 35, R850–R864</w:t>
      </w:r>
    </w:p>
    <w:p w14:paraId="66B2F743" w14:textId="77777777" w:rsidR="0059760D" w:rsidRDefault="00000000">
      <w:pPr>
        <w:pStyle w:val="Bibliography"/>
      </w:pPr>
      <w:bookmarkStart w:id="154" w:name="ref-Urban2024"/>
      <w:bookmarkEnd w:id="153"/>
      <w:r>
        <w:t xml:space="preserve">90. </w:t>
      </w:r>
      <w:r>
        <w:tab/>
        <w:t xml:space="preserve">Urban, M.C. (2024) </w:t>
      </w:r>
      <w:hyperlink r:id="rId81">
        <w:r>
          <w:rPr>
            <w:rStyle w:val="Hyperlink"/>
          </w:rPr>
          <w:t>Climate change extinctions</w:t>
        </w:r>
      </w:hyperlink>
      <w:r>
        <w:t xml:space="preserve">. </w:t>
      </w:r>
      <w:r>
        <w:rPr>
          <w:i/>
          <w:iCs/>
        </w:rPr>
        <w:t>Science</w:t>
      </w:r>
      <w:r>
        <w:t xml:space="preserve"> 386, 1123–1128</w:t>
      </w:r>
    </w:p>
    <w:p w14:paraId="7AC4A6D1" w14:textId="77777777" w:rsidR="0059760D" w:rsidRDefault="00000000">
      <w:pPr>
        <w:pStyle w:val="Bibliography"/>
      </w:pPr>
      <w:bookmarkStart w:id="155" w:name="ref-Munoz-Sabater2021"/>
      <w:bookmarkEnd w:id="154"/>
      <w:r>
        <w:t xml:space="preserve">91.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6540AC31" w14:textId="77777777" w:rsidR="0059760D" w:rsidRDefault="00000000">
      <w:pPr>
        <w:pStyle w:val="Bibliography"/>
      </w:pPr>
      <w:bookmarkStart w:id="156" w:name="ref-Eyring2016"/>
      <w:bookmarkEnd w:id="155"/>
      <w:r>
        <w:t xml:space="preserve">92. </w:t>
      </w:r>
      <w:r>
        <w:tab/>
        <w:t xml:space="preserve">Eyring, V. </w:t>
      </w:r>
      <w:r>
        <w:rPr>
          <w:i/>
          <w:iCs/>
        </w:rPr>
        <w:t>et al.</w:t>
      </w:r>
      <w:r>
        <w:t xml:space="preserve"> (2016) </w:t>
      </w:r>
      <w:hyperlink r:id="rId82">
        <w:r>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7D1AAED6" w14:textId="77777777" w:rsidR="0059760D" w:rsidRDefault="00000000">
      <w:pPr>
        <w:pStyle w:val="Bibliography"/>
      </w:pPr>
      <w:bookmarkStart w:id="157" w:name="ref-Chevin2017"/>
      <w:bookmarkEnd w:id="156"/>
      <w:r>
        <w:lastRenderedPageBreak/>
        <w:t xml:space="preserve">93. </w:t>
      </w:r>
      <w:r>
        <w:tab/>
        <w:t xml:space="preserve">Chevin, L.-M. and Hoffmann, A.A. (2017) </w:t>
      </w:r>
      <w:hyperlink r:id="rId83">
        <w:r>
          <w:rPr>
            <w:rStyle w:val="Hyperlink"/>
          </w:rPr>
          <w:t>Evolution of phenotypic plasticity in extreme environments</w:t>
        </w:r>
      </w:hyperlink>
      <w:r>
        <w:t xml:space="preserve">. </w:t>
      </w:r>
      <w:r>
        <w:rPr>
          <w:i/>
          <w:iCs/>
        </w:rPr>
        <w:t>Philos. Trans. R. Soc. Lond. B Biol. Sci.</w:t>
      </w:r>
      <w:r>
        <w:t xml:space="preserve"> 372, 20160138</w:t>
      </w:r>
    </w:p>
    <w:p w14:paraId="03B23C2F" w14:textId="77777777" w:rsidR="0059760D" w:rsidRDefault="00000000">
      <w:pPr>
        <w:pStyle w:val="Bibliography"/>
      </w:pPr>
      <w:bookmarkStart w:id="158" w:name="ref-Hoffmann2022"/>
      <w:bookmarkEnd w:id="157"/>
      <w:r>
        <w:t xml:space="preserve">94. </w:t>
      </w:r>
      <w:r>
        <w:tab/>
        <w:t xml:space="preserve">Hoffmann, A.A. and Bridle, J. (2022) </w:t>
      </w:r>
      <w:hyperlink r:id="rId84">
        <w:r>
          <w:rPr>
            <w:rStyle w:val="Hyperlink"/>
          </w:rPr>
          <w:t>The dangers of irreversibility in an age of increased uncertainty: Revisiting plasticity in invertebrates</w:t>
        </w:r>
      </w:hyperlink>
      <w:r>
        <w:t xml:space="preserve">. </w:t>
      </w:r>
      <w:r>
        <w:rPr>
          <w:i/>
          <w:iCs/>
        </w:rPr>
        <w:t>Oikos</w:t>
      </w:r>
      <w:r>
        <w:t xml:space="preserve"> 2022, e08715</w:t>
      </w:r>
    </w:p>
    <w:p w14:paraId="67BB950A" w14:textId="77777777" w:rsidR="0059760D" w:rsidRDefault="00000000">
      <w:pPr>
        <w:pStyle w:val="Bibliography"/>
      </w:pPr>
      <w:bookmarkStart w:id="159" w:name="ref-Hoffmann2011"/>
      <w:bookmarkEnd w:id="158"/>
      <w:r>
        <w:t xml:space="preserve">95. </w:t>
      </w:r>
      <w:r>
        <w:tab/>
        <w:t>Hoffmann, A.A. and Sgrò, C.M. (2011) Climate change and evolutionary adaptation. 470, 479–485</w:t>
      </w:r>
    </w:p>
    <w:p w14:paraId="225182CA" w14:textId="77777777" w:rsidR="0059760D" w:rsidRDefault="00000000">
      <w:pPr>
        <w:pStyle w:val="Bibliography"/>
      </w:pPr>
      <w:bookmarkStart w:id="160" w:name="ref-Catullo2019"/>
      <w:bookmarkEnd w:id="159"/>
      <w:r>
        <w:t xml:space="preserve">96.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2C135746" w14:textId="77777777" w:rsidR="0059760D" w:rsidRDefault="00000000">
      <w:pPr>
        <w:pStyle w:val="Bibliography"/>
      </w:pPr>
      <w:bookmarkStart w:id="161" w:name="ref-Ghalambor2015"/>
      <w:bookmarkEnd w:id="160"/>
      <w:r>
        <w:t xml:space="preserve">97. </w:t>
      </w:r>
      <w:r>
        <w:tab/>
        <w:t xml:space="preserve">Ghalambor, C. </w:t>
      </w:r>
      <w:r>
        <w:rPr>
          <w:i/>
          <w:iCs/>
        </w:rPr>
        <w:t>et al.</w:t>
      </w:r>
      <w:r>
        <w:t xml:space="preserve"> (2015) </w:t>
      </w:r>
      <w:hyperlink r:id="rId85">
        <w:r>
          <w:rPr>
            <w:rStyle w:val="Hyperlink"/>
          </w:rPr>
          <w:t>Non-adaptive plasticity potentiates rapid adaptive evolution of gene expression in nature</w:t>
        </w:r>
      </w:hyperlink>
      <w:r>
        <w:t xml:space="preserve">. </w:t>
      </w:r>
      <w:r>
        <w:rPr>
          <w:i/>
          <w:iCs/>
        </w:rPr>
        <w:t>Nature</w:t>
      </w:r>
      <w:r>
        <w:t xml:space="preserve"> 525, 372–375</w:t>
      </w:r>
    </w:p>
    <w:p w14:paraId="7D07F4BD" w14:textId="77777777" w:rsidR="0059760D" w:rsidRDefault="00000000">
      <w:pPr>
        <w:pStyle w:val="Bibliography"/>
      </w:pPr>
      <w:bookmarkStart w:id="162" w:name="ref-Sousa2010"/>
      <w:bookmarkEnd w:id="161"/>
      <w:r>
        <w:t xml:space="preserve">98. </w:t>
      </w:r>
      <w:r>
        <w:tab/>
        <w:t xml:space="preserve">Sousa, T. </w:t>
      </w:r>
      <w:r>
        <w:rPr>
          <w:i/>
          <w:iCs/>
        </w:rPr>
        <w:t>et al.</w:t>
      </w:r>
      <w:r>
        <w:t xml:space="preserve"> (2010) </w:t>
      </w:r>
      <w:hyperlink r:id="rId86">
        <w:r>
          <w:rPr>
            <w:rStyle w:val="Hyperlink"/>
          </w:rPr>
          <w:t>Dynamic energy budget theory restores coherence in biology</w:t>
        </w:r>
      </w:hyperlink>
      <w:r>
        <w:t xml:space="preserve">. </w:t>
      </w:r>
      <w:r>
        <w:rPr>
          <w:i/>
          <w:iCs/>
        </w:rPr>
        <w:t>Philos. Trans. R. Soc. Lond. B Biol. Sci.</w:t>
      </w:r>
      <w:r>
        <w:t xml:space="preserve"> 365, 3413–3428</w:t>
      </w:r>
    </w:p>
    <w:p w14:paraId="3544EE79" w14:textId="77777777" w:rsidR="0059760D" w:rsidRDefault="00000000">
      <w:pPr>
        <w:pStyle w:val="Bibliography"/>
      </w:pPr>
      <w:bookmarkStart w:id="163" w:name="ref-Kearney2009a"/>
      <w:bookmarkEnd w:id="162"/>
      <w:r>
        <w:t xml:space="preserve">99.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307D5C85" w14:textId="77777777" w:rsidR="0059760D" w:rsidRDefault="00000000">
      <w:pPr>
        <w:pStyle w:val="Bibliography"/>
      </w:pPr>
      <w:bookmarkStart w:id="164" w:name="ref-Lande1979"/>
      <w:bookmarkEnd w:id="163"/>
      <w:r>
        <w:t xml:space="preserve">100. </w:t>
      </w:r>
      <w:r>
        <w:tab/>
        <w:t xml:space="preserve">Lande, R. (1979) </w:t>
      </w:r>
      <w:hyperlink r:id="rId87">
        <w:r>
          <w:rPr>
            <w:rStyle w:val="Hyperlink"/>
          </w:rPr>
          <w:t>Quantitative genetic analysis of multivariate evolution, applied to brain:body size allometry</w:t>
        </w:r>
      </w:hyperlink>
      <w:r>
        <w:t xml:space="preserve">. </w:t>
      </w:r>
      <w:r>
        <w:rPr>
          <w:i/>
          <w:iCs/>
        </w:rPr>
        <w:t>Evolution</w:t>
      </w:r>
      <w:r>
        <w:t xml:space="preserve"> 33, 402–416</w:t>
      </w:r>
    </w:p>
    <w:p w14:paraId="54531582" w14:textId="77777777" w:rsidR="0059760D" w:rsidRDefault="00000000">
      <w:pPr>
        <w:pStyle w:val="Bibliography"/>
      </w:pPr>
      <w:bookmarkStart w:id="165" w:name="ref-Walsh2018"/>
      <w:bookmarkEnd w:id="164"/>
      <w:r>
        <w:t xml:space="preserve">101. </w:t>
      </w:r>
      <w:r>
        <w:tab/>
        <w:t xml:space="preserve">Walsh, B. and Lynch, M. (2018) </w:t>
      </w:r>
      <w:hyperlink r:id="rId88">
        <w:r>
          <w:rPr>
            <w:rStyle w:val="Hyperlink"/>
            <w:i/>
            <w:iCs/>
          </w:rPr>
          <w:t>Evolution and selection of quantitative traits</w:t>
        </w:r>
      </w:hyperlink>
      <w:r>
        <w:t>, Oxford University Press</w:t>
      </w:r>
    </w:p>
    <w:p w14:paraId="126D091A" w14:textId="77777777" w:rsidR="0059760D" w:rsidRDefault="00000000">
      <w:pPr>
        <w:pStyle w:val="Bibliography"/>
      </w:pPr>
      <w:bookmarkStart w:id="166" w:name="ref-McGlothlin2014a"/>
      <w:bookmarkEnd w:id="165"/>
      <w:r>
        <w:t xml:space="preserve">102. </w:t>
      </w:r>
      <w:r>
        <w:tab/>
        <w:t xml:space="preserve">McGlothlin, J. and Galloway, L. (2014) </w:t>
      </w:r>
      <w:hyperlink r:id="rId89">
        <w:r>
          <w:rPr>
            <w:rStyle w:val="Hyperlink"/>
          </w:rPr>
          <w:t>The contribution of maternal effects to selection response: An empirical test of competing models</w:t>
        </w:r>
      </w:hyperlink>
      <w:r>
        <w:t xml:space="preserve">. </w:t>
      </w:r>
      <w:r>
        <w:rPr>
          <w:i/>
          <w:iCs/>
        </w:rPr>
        <w:t>Evolution</w:t>
      </w:r>
      <w:r>
        <w:t xml:space="preserve"> 68, 549–558</w:t>
      </w:r>
    </w:p>
    <w:p w14:paraId="7C02DAFF" w14:textId="77777777" w:rsidR="0059760D" w:rsidRDefault="00000000">
      <w:pPr>
        <w:pStyle w:val="Bibliography"/>
      </w:pPr>
      <w:bookmarkStart w:id="167" w:name="ref-Urban2016"/>
      <w:bookmarkEnd w:id="166"/>
      <w:r>
        <w:t xml:space="preserve">103. </w:t>
      </w:r>
      <w:r>
        <w:tab/>
        <w:t xml:space="preserve">Urban, M.C. </w:t>
      </w:r>
      <w:r>
        <w:rPr>
          <w:i/>
          <w:iCs/>
        </w:rPr>
        <w:t>et al.</w:t>
      </w:r>
      <w:r>
        <w:t xml:space="preserve"> (2016) </w:t>
      </w:r>
      <w:hyperlink r:id="rId90">
        <w:r>
          <w:rPr>
            <w:rStyle w:val="Hyperlink"/>
          </w:rPr>
          <w:t>Improving the forecast for biodiversity under climate change</w:t>
        </w:r>
      </w:hyperlink>
      <w:r>
        <w:t xml:space="preserve">. </w:t>
      </w:r>
      <w:r>
        <w:rPr>
          <w:i/>
          <w:iCs/>
        </w:rPr>
        <w:t>Science</w:t>
      </w:r>
      <w:r>
        <w:t xml:space="preserve"> 353, aad8466–aad8466</w:t>
      </w:r>
    </w:p>
    <w:p w14:paraId="14985D74" w14:textId="77777777" w:rsidR="0059760D" w:rsidRDefault="00000000">
      <w:pPr>
        <w:pStyle w:val="Bibliography"/>
      </w:pPr>
      <w:bookmarkStart w:id="168" w:name="ref-Kattge2020"/>
      <w:bookmarkEnd w:id="167"/>
      <w:r>
        <w:t xml:space="preserve">104. </w:t>
      </w:r>
      <w:r>
        <w:tab/>
        <w:t xml:space="preserve">Kattge, J. </w:t>
      </w:r>
      <w:r>
        <w:rPr>
          <w:i/>
          <w:iCs/>
        </w:rPr>
        <w:t>et al.</w:t>
      </w:r>
      <w:r>
        <w:t xml:space="preserve"> (2020) </w:t>
      </w:r>
      <w:hyperlink r:id="rId91">
        <w:r>
          <w:rPr>
            <w:rStyle w:val="Hyperlink"/>
          </w:rPr>
          <w:t>TRY plant trait database - enhanced coverage and open access</w:t>
        </w:r>
      </w:hyperlink>
      <w:r>
        <w:t xml:space="preserve">. </w:t>
      </w:r>
      <w:r>
        <w:rPr>
          <w:i/>
          <w:iCs/>
        </w:rPr>
        <w:t>Glob. Chang. Biol.</w:t>
      </w:r>
      <w:r>
        <w:t xml:space="preserve"> 26, 119–188</w:t>
      </w:r>
    </w:p>
    <w:p w14:paraId="3445E583" w14:textId="77777777" w:rsidR="0059760D" w:rsidRDefault="00000000">
      <w:pPr>
        <w:pStyle w:val="Bibliography"/>
      </w:pPr>
      <w:bookmarkStart w:id="169" w:name="ref-Leiva2025"/>
      <w:bookmarkEnd w:id="168"/>
      <w:r>
        <w:t xml:space="preserve">105.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92">
        <w:r>
          <w:rPr>
            <w:rStyle w:val="Hyperlink"/>
          </w:rPr>
          <w:t>10.1111/1365-2435.70147</w:t>
        </w:r>
      </w:hyperlink>
    </w:p>
    <w:p w14:paraId="7882992B" w14:textId="77777777" w:rsidR="0059760D" w:rsidRDefault="00000000">
      <w:pPr>
        <w:pStyle w:val="Bibliography"/>
      </w:pPr>
      <w:bookmarkStart w:id="170" w:name="ref-Weiss-Lehman2022"/>
      <w:bookmarkEnd w:id="169"/>
      <w:r>
        <w:t xml:space="preserve">106.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453B0ADF" w14:textId="77777777" w:rsidR="0059760D" w:rsidRDefault="00000000">
      <w:pPr>
        <w:pStyle w:val="Bibliography"/>
      </w:pPr>
      <w:bookmarkStart w:id="171" w:name="ref-Dudney2025"/>
      <w:bookmarkEnd w:id="170"/>
      <w:r>
        <w:t xml:space="preserve">107. </w:t>
      </w:r>
      <w:r>
        <w:tab/>
        <w:t xml:space="preserve">Dudney, J. </w:t>
      </w:r>
      <w:r>
        <w:rPr>
          <w:i/>
          <w:iCs/>
        </w:rPr>
        <w:t>et al.</w:t>
      </w:r>
      <w:r>
        <w:t xml:space="preserve"> (2025) </w:t>
      </w:r>
      <w:hyperlink r:id="rId93">
        <w:r>
          <w:rPr>
            <w:rStyle w:val="Hyperlink"/>
          </w:rPr>
          <w:t>A causal inference framework for climate change attribution in ecology</w:t>
        </w:r>
      </w:hyperlink>
      <w:r>
        <w:t xml:space="preserve">. </w:t>
      </w:r>
      <w:r>
        <w:rPr>
          <w:i/>
          <w:iCs/>
        </w:rPr>
        <w:t>Ecol. Lett.</w:t>
      </w:r>
      <w:r>
        <w:t xml:space="preserve"> 28, e70192</w:t>
      </w:r>
    </w:p>
    <w:p w14:paraId="051CD76B" w14:textId="77777777" w:rsidR="0059760D" w:rsidRDefault="00000000">
      <w:pPr>
        <w:pStyle w:val="Bibliography"/>
      </w:pPr>
      <w:bookmarkStart w:id="172" w:name="ref-Carroll2023"/>
      <w:bookmarkEnd w:id="171"/>
      <w:r>
        <w:t xml:space="preserve">108. </w:t>
      </w:r>
      <w:r>
        <w:tab/>
        <w:t xml:space="preserve">Carroll, T. </w:t>
      </w:r>
      <w:r>
        <w:rPr>
          <w:i/>
          <w:iCs/>
        </w:rPr>
        <w:t>et al.</w:t>
      </w:r>
      <w:r>
        <w:t xml:space="preserve"> (2023) </w:t>
      </w:r>
      <w:hyperlink r:id="rId94">
        <w:r>
          <w:rPr>
            <w:rStyle w:val="Hyperlink"/>
          </w:rPr>
          <w:t>Biodiversity change under adaptive community dynamics</w:t>
        </w:r>
      </w:hyperlink>
      <w:r>
        <w:t xml:space="preserve">. </w:t>
      </w:r>
      <w:r>
        <w:rPr>
          <w:i/>
          <w:iCs/>
        </w:rPr>
        <w:t>Glob. Chang. Biol.</w:t>
      </w:r>
      <w:r>
        <w:t xml:space="preserve"> 29, 3525–3538</w:t>
      </w:r>
    </w:p>
    <w:p w14:paraId="3E80E582" w14:textId="77777777" w:rsidR="0059760D" w:rsidRDefault="00000000">
      <w:pPr>
        <w:pStyle w:val="Bibliography"/>
      </w:pPr>
      <w:bookmarkStart w:id="173" w:name="ref-Dornhaus2022"/>
      <w:bookmarkEnd w:id="172"/>
      <w:r>
        <w:t xml:space="preserve">109. </w:t>
      </w:r>
      <w:r>
        <w:tab/>
        <w:t xml:space="preserve">Dornhaus, A. </w:t>
      </w:r>
      <w:r>
        <w:rPr>
          <w:i/>
          <w:iCs/>
        </w:rPr>
        <w:t>et al.</w:t>
      </w:r>
      <w:r>
        <w:t xml:space="preserve"> (2022) </w:t>
      </w:r>
      <w:hyperlink r:id="rId95">
        <w:r>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63"/>
    <w:bookmarkEnd w:id="65"/>
    <w:bookmarkEnd w:id="173"/>
    <w:p w14:paraId="71F18A8F" w14:textId="77777777" w:rsidR="0059760D" w:rsidRDefault="0059760D">
      <w:pPr>
        <w:pStyle w:val="BodyText"/>
      </w:pPr>
    </w:p>
    <w:sectPr w:rsidR="0059760D"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C9CBE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778330235">
    <w:abstractNumId w:val="10"/>
  </w:num>
  <w:num w:numId="86" w16cid:durableId="918713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176022"/>
    <w:rsid w:val="00425EA9"/>
    <w:rsid w:val="00553B80"/>
    <w:rsid w:val="0059760D"/>
    <w:rsid w:val="005A5007"/>
    <w:rsid w:val="00670D8D"/>
    <w:rsid w:val="00676013"/>
    <w:rsid w:val="006A2A8B"/>
    <w:rsid w:val="006B186C"/>
    <w:rsid w:val="008F43C3"/>
    <w:rsid w:val="00951576"/>
    <w:rsid w:val="00A43241"/>
    <w:rsid w:val="00A5574C"/>
    <w:rsid w:val="00E01553"/>
    <w:rsid w:val="00E61408"/>
    <w:rsid w:val="00ED4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DD6C12"/>
  <w15:docId w15:val="{57D0C3D1-DFF2-DF4B-9E4B-6E51F1EA1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PlaceholderText">
    <w:name w:val="Placeholder Text"/>
    <w:basedOn w:val="DefaultParagraphFont"/>
    <w:semiHidden/>
    <w:rsid w:val="006B18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1365-2435.12268" TargetMode="External"/><Relationship Id="rId42" Type="http://schemas.openxmlformats.org/officeDocument/2006/relationships/hyperlink" Target="https://doi.org/10.1126/science.adq4372" TargetMode="External"/><Relationship Id="rId47" Type="http://schemas.openxmlformats.org/officeDocument/2006/relationships/hyperlink" Target="https://doi.org/10.1073/pnas.2408583121" TargetMode="External"/><Relationship Id="rId63" Type="http://schemas.openxmlformats.org/officeDocument/2006/relationships/hyperlink" Target="https://doi.org/10.1093/nar/gkp370" TargetMode="External"/><Relationship Id="rId68" Type="http://schemas.openxmlformats.org/officeDocument/2006/relationships/hyperlink" Target="https://doi.org/10.1086/729222" TargetMode="External"/><Relationship Id="rId84" Type="http://schemas.openxmlformats.org/officeDocument/2006/relationships/hyperlink" Target="https://doi.org/10.1111/oik.08715" TargetMode="External"/><Relationship Id="rId89" Type="http://schemas.openxmlformats.org/officeDocument/2006/relationships/hyperlink" Target="https://doi.org/10.1111/evo.12235"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111/2041-210x.14476" TargetMode="External"/><Relationship Id="rId37" Type="http://schemas.openxmlformats.org/officeDocument/2006/relationships/hyperlink" Target="https://doi.org/10.1111/j.1365-2486.2010.02375.x" TargetMode="External"/><Relationship Id="rId53" Type="http://schemas.openxmlformats.org/officeDocument/2006/relationships/hyperlink" Target="https://doi.org/10.1016/j.jinsphys.2009.11.006" TargetMode="External"/><Relationship Id="rId58" Type="http://schemas.openxmlformats.org/officeDocument/2006/relationships/hyperlink" Target="https://doi.org/10.1111/J.1365-2656.2000.00448.X" TargetMode="External"/><Relationship Id="rId74" Type="http://schemas.openxmlformats.org/officeDocument/2006/relationships/hyperlink" Target="https://doi.org/10.1038/s41559-016-0062" TargetMode="External"/><Relationship Id="rId79" Type="http://schemas.openxmlformats.org/officeDocument/2006/relationships/hyperlink" Target="https://doi.org/10.1007/s10113-019-01463-1" TargetMode="External"/><Relationship Id="rId5" Type="http://schemas.openxmlformats.org/officeDocument/2006/relationships/image" Target="media/image1.png"/><Relationship Id="rId90" Type="http://schemas.openxmlformats.org/officeDocument/2006/relationships/hyperlink" Target="https://doi.org/10.1126/science.aad8466" TargetMode="External"/><Relationship Id="rId95" Type="http://schemas.openxmlformats.org/officeDocument/2006/relationships/hyperlink" Target="https://doi.org/10.1093/icb/icab142"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43" Type="http://schemas.openxmlformats.org/officeDocument/2006/relationships/hyperlink" Target="https://doi.org/10.1111/conl.12906" TargetMode="External"/><Relationship Id="rId48" Type="http://schemas.openxmlformats.org/officeDocument/2006/relationships/hyperlink" Target="https://doi.org/10.1111/pce.14050" TargetMode="External"/><Relationship Id="rId64" Type="http://schemas.openxmlformats.org/officeDocument/2006/relationships/hyperlink" Target="https://doi.org/10.1111/nph.15668" TargetMode="External"/><Relationship Id="rId69" Type="http://schemas.openxmlformats.org/officeDocument/2006/relationships/hyperlink" Target="https://doi.org/10.1111/ele.70059" TargetMode="External"/><Relationship Id="rId80" Type="http://schemas.openxmlformats.org/officeDocument/2006/relationships/hyperlink" Target="https://doi.org/10.1016/j.ecolind.2018.05.052" TargetMode="External"/><Relationship Id="rId85" Type="http://schemas.openxmlformats.org/officeDocument/2006/relationships/hyperlink" Target="https://doi.org/10.1038/nature15256" TargetMode="Externa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02/ecs2.4506" TargetMode="External"/><Relationship Id="rId38" Type="http://schemas.openxmlformats.org/officeDocument/2006/relationships/hyperlink" Target="https://doi.org/10.1007/BF00379617" TargetMode="External"/><Relationship Id="rId46" Type="http://schemas.openxmlformats.org/officeDocument/2006/relationships/hyperlink" Target="https://doi.org/10.3389/fevo.2022.813567" TargetMode="External"/><Relationship Id="rId59" Type="http://schemas.openxmlformats.org/officeDocument/2006/relationships/hyperlink" Target="https://doi.org/10.1016/j.ecolmodel.2019.108904" TargetMode="External"/><Relationship Id="rId67" Type="http://schemas.openxmlformats.org/officeDocument/2006/relationships/hyperlink" Target="https://doi.org/10.1073/pnas.1413650112" TargetMode="External"/><Relationship Id="rId20" Type="http://schemas.openxmlformats.org/officeDocument/2006/relationships/hyperlink" Target="https://doi.org/10.1111/2041-210x.14373" TargetMode="External"/><Relationship Id="rId41" Type="http://schemas.openxmlformats.org/officeDocument/2006/relationships/hyperlink" Target="https://doi.org/10.1371/journal.pone.0143346" TargetMode="External"/><Relationship Id="rId54" Type="http://schemas.openxmlformats.org/officeDocument/2006/relationships/hyperlink" Target="https://doi.org/10.1007/978-981-99-0030-5\_6" TargetMode="External"/><Relationship Id="rId62" Type="http://schemas.openxmlformats.org/officeDocument/2006/relationships/hyperlink" Target="https://doi.org/10.1093/conphys/coab086" TargetMode="External"/><Relationship Id="rId70" Type="http://schemas.openxmlformats.org/officeDocument/2006/relationships/hyperlink" Target="https://doi.org/10.1139/f54-039" TargetMode="External"/><Relationship Id="rId75" Type="http://schemas.openxmlformats.org/officeDocument/2006/relationships/hyperlink" Target="https://doi.org/10.1086/713082" TargetMode="External"/><Relationship Id="rId83" Type="http://schemas.openxmlformats.org/officeDocument/2006/relationships/hyperlink" Target="https://doi.org/10.1098/rstb.2016.0138" TargetMode="External"/><Relationship Id="rId88" Type="http://schemas.openxmlformats.org/officeDocument/2006/relationships/hyperlink" Target="https://doi.org/10.1093/oso/9780198830870.001.0001" TargetMode="External"/><Relationship Id="rId91" Type="http://schemas.openxmlformats.org/officeDocument/2006/relationships/hyperlink" Target="https://doi.org/10.1111/gcb.14904"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1016/j.envsoft.2018.02.002" TargetMode="External"/><Relationship Id="rId49" Type="http://schemas.openxmlformats.org/officeDocument/2006/relationships/hyperlink" Target="https://doi.org/10.1093/jxb/erae096" TargetMode="External"/><Relationship Id="rId57" Type="http://schemas.openxmlformats.org/officeDocument/2006/relationships/hyperlink" Target="https://doi.org/10.1111/ecog.04680"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029/2010gl042764" TargetMode="External"/><Relationship Id="rId44" Type="http://schemas.openxmlformats.org/officeDocument/2006/relationships/hyperlink" Target="https://doi.org/10.1111/nph.15395" TargetMode="External"/><Relationship Id="rId52" Type="http://schemas.openxmlformats.org/officeDocument/2006/relationships/hyperlink" Target="https://doi.org/10.1007/s11104-013-1761-6" TargetMode="External"/><Relationship Id="rId60" Type="http://schemas.openxmlformats.org/officeDocument/2006/relationships/hyperlink" Target="https://doi.org/10.1098/rstb.2010.0034" TargetMode="External"/><Relationship Id="rId65" Type="http://schemas.openxmlformats.org/officeDocument/2006/relationships/hyperlink" Target="https://doi.org/10.1111/gcb.15215" TargetMode="External"/><Relationship Id="rId73" Type="http://schemas.openxmlformats.org/officeDocument/2006/relationships/hyperlink" Target="https://doi.org/10.1111/1365-2745.13056" TargetMode="External"/><Relationship Id="rId78" Type="http://schemas.openxmlformats.org/officeDocument/2006/relationships/hyperlink" Target="https://doi.org/10.1016/j.tplants.2022.02.008" TargetMode="External"/><Relationship Id="rId81" Type="http://schemas.openxmlformats.org/officeDocument/2006/relationships/hyperlink" Target="https://doi.org/10.1126/science.adp4461" TargetMode="External"/><Relationship Id="rId86" Type="http://schemas.openxmlformats.org/officeDocument/2006/relationships/hyperlink" Target="https://doi.org/10.1098/rstb.2010.0166" TargetMode="External"/><Relationship Id="rId94" Type="http://schemas.openxmlformats.org/officeDocument/2006/relationships/hyperlink" Target="https://doi.org/10.1111/gcb.16680"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2307/1948545" TargetMode="External"/><Relationship Id="rId34" Type="http://schemas.openxmlformats.org/officeDocument/2006/relationships/hyperlink" Target="https://doi.org/10.1029/2019jd030665" TargetMode="External"/><Relationship Id="rId50" Type="http://schemas.openxmlformats.org/officeDocument/2006/relationships/hyperlink" Target="https://doi.org/10.1111/gcb.15976" TargetMode="External"/><Relationship Id="rId55" Type="http://schemas.openxmlformats.org/officeDocument/2006/relationships/hyperlink" Target="https://doi.org/10.1002/ece3.4983" TargetMode="External"/><Relationship Id="rId76" Type="http://schemas.openxmlformats.org/officeDocument/2006/relationships/hyperlink" Target="https://doi.org/10.1890/14-0976.1" TargetMode="External"/><Relationship Id="rId97" Type="http://schemas.microsoft.com/office/2011/relationships/people" Target="people.xml"/><Relationship Id="rId7" Type="http://schemas.openxmlformats.org/officeDocument/2006/relationships/image" Target="media/image2.png"/><Relationship Id="rId71" Type="http://schemas.openxmlformats.org/officeDocument/2006/relationships/hyperlink" Target="https://doi.org/10.1007/978-94-011-2106-4" TargetMode="External"/><Relationship Id="rId92" Type="http://schemas.openxmlformats.org/officeDocument/2006/relationships/hyperlink" Target="https://doi.org/10.1111/1365-2435.70147"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002/ecm.1240" TargetMode="External"/><Relationship Id="rId45" Type="http://schemas.openxmlformats.org/officeDocument/2006/relationships/hyperlink" Target="https://doi.org/10.1242/jeb.224139" TargetMode="External"/><Relationship Id="rId66" Type="http://schemas.openxmlformats.org/officeDocument/2006/relationships/hyperlink" Target="https://doi.org/10.1111/2041-210x.14068" TargetMode="External"/><Relationship Id="rId87" Type="http://schemas.openxmlformats.org/officeDocument/2006/relationships/hyperlink" Target="https://doi.org/10.1111/j.1558-5646.1979.tb04694.x" TargetMode="External"/><Relationship Id="rId61" Type="http://schemas.openxmlformats.org/officeDocument/2006/relationships/hyperlink" Target="https://doi.org/10.1371/journal.pcbi.1006100" TargetMode="External"/><Relationship Id="rId82" Type="http://schemas.openxmlformats.org/officeDocument/2006/relationships/hyperlink" Target="https://doi.org/10.5194/gmd-9-1937-2016" TargetMode="External"/><Relationship Id="rId19" Type="http://schemas.openxmlformats.org/officeDocument/2006/relationships/hyperlink" Target="https://doi.org/10.1038/s41559-021-01534-9"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93/conphys/coz028" TargetMode="External"/><Relationship Id="rId35" Type="http://schemas.openxmlformats.org/officeDocument/2006/relationships/hyperlink" Target="https://doi.org/10.1111/gcb.14037" TargetMode="External"/><Relationship Id="rId56" Type="http://schemas.openxmlformats.org/officeDocument/2006/relationships/hyperlink" Target="https://doi.org/10.1016/s1364-8152(01)00008-1" TargetMode="External"/><Relationship Id="rId77" Type="http://schemas.openxmlformats.org/officeDocument/2006/relationships/hyperlink" Target="https://doi.org/10.1098/rstb.2018.0185" TargetMode="External"/><Relationship Id="rId8" Type="http://schemas.openxmlformats.org/officeDocument/2006/relationships/image" Target="media/image3.png"/><Relationship Id="rId51" Type="http://schemas.openxmlformats.org/officeDocument/2006/relationships/hyperlink" Target="https://doi.org/10.1111/1365-2435.70038" TargetMode="External"/><Relationship Id="rId72" Type="http://schemas.openxmlformats.org/officeDocument/2006/relationships/hyperlink" Target="https://doi.org/10.1038/nature08251" TargetMode="External"/><Relationship Id="rId93" Type="http://schemas.openxmlformats.org/officeDocument/2006/relationships/hyperlink" Target="https://doi.org/10.1111/ele.70192"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22</Pages>
  <Words>9780</Words>
  <Characters>55752</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7</cp:revision>
  <dcterms:created xsi:type="dcterms:W3CDTF">2025-12-12T04:01:00Z</dcterms:created>
  <dcterms:modified xsi:type="dcterms:W3CDTF">2025-12-12T04:24:00Z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