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w:t>
      </w:r>
      <m:oMath>
        <m:r>
          <m:rPr>
            <m:sty m:val="p"/>
          </m:rPr>
          <m:t>†</m:t>
        </m:r>
      </m:oMath>
      <w:r>
        <w:t xml:space="preserve">, Zhong-Hua Chen</w:t>
      </w:r>
      <w:r>
        <w:rPr>
          <w:vertAlign w:val="superscript"/>
        </w:rPr>
        <w:t xml:space="preserve">3</w:t>
      </w:r>
      <w:r>
        <w:t xml:space="preserve"> </w:t>
      </w:r>
      <m:oMath>
        <m:r>
          <m:rPr>
            <m:sty m:val="p"/>
          </m:rPr>
          <m:t>†</m:t>
        </m:r>
      </m:oMath>
      <w:r>
        <w:t xml:space="preserve">, Steven Lade</w:t>
      </w:r>
      <w:r>
        <w:rPr>
          <w:vertAlign w:val="superscript"/>
        </w:rPr>
        <w:t xml:space="preserve">5</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4</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Adrienne Nicotra</w:t>
      </w:r>
      <w:r>
        <w:rPr>
          <w:vertAlign w:val="superscript"/>
        </w:rPr>
        <w:t xml:space="preserve">1,4</w:t>
      </w:r>
      <w:r>
        <w:t xml:space="preserve"> </w:t>
      </w:r>
      <m:oMath>
        <m:r>
          <m:rPr>
            <m:sty m:val="p"/>
          </m:rPr>
          <m:t>†</m:t>
        </m:r>
      </m:oMath>
      <w:r>
        <w:t xml:space="preserve">, James Cook</w:t>
      </w:r>
      <w:r>
        <w:rPr>
          <w:vertAlign w:val="superscript"/>
        </w:rPr>
        <w:t xml:space="preserve">3</w:t>
      </w:r>
      <w:r>
        <w:t xml:space="preserve">, Brajesh Singh</w:t>
      </w:r>
      <w:r>
        <w:rPr>
          <w:vertAlign w:val="superscript"/>
        </w:rPr>
        <w:t xml:space="preserve">3</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Micheal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 &amp; m.kearney@unimelb.edu.au</w:t>
      </w:r>
      <w:r>
        <w:br/>
      </w:r>
      <m:oMath>
        <m:r>
          <m:rPr>
            <m:sty m:val="p"/>
          </m:rPr>
          <m:t>†</m:t>
        </m:r>
      </m:oMath>
      <w:r>
        <w:t xml:space="preserve"> </w:t>
      </w:r>
      <w:r>
        <w:t xml:space="preserve">These authors contributed equally to this work.</w:t>
      </w:r>
    </w:p>
    <w:bookmarkStart w:id="20"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0"/>
    <w:bookmarkStart w:id="21" w:name="Xc0831f1701f048ac9db6a8899b8a6521f0db317"/>
    <w:p>
      <w:pPr>
        <w:pStyle w:val="Heading1"/>
      </w:pPr>
      <w:r>
        <w:t xml:space="preserve">A need for a mechanistically informed modelling framework for interpreting and predicting the effects of extreme heat on community assemblages</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plant and animal performance, resulting in reduced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[11,12,21,22]</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[23,24]</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dampen the effects of extreme atmospheric heat events. As such,</w:t>
      </w:r>
      <w:r>
        <w:t xml:space="preserve"> </w:t>
      </w:r>
      <w:r>
        <w:t xml:space="preserve">‘extreme’</w:t>
      </w:r>
      <w:r>
        <w:t xml:space="preserve"> </w:t>
      </w:r>
      <w:r>
        <w:t xml:space="preserve">will be relative to the biology of the organism in question. Our framework can capture these complexities and be extended to incorporate other, diverse interactions.</w:t>
      </w:r>
    </w:p>
    <w:bookmarkEnd w:id="21"/>
    <w:bookmarkStart w:id="26"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‘microclimates’</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that enable us to model all the components in</w:t>
      </w:r>
      <w:r>
        <w:t xml:space="preserve"> </w:t>
      </w:r>
      <w:hyperlink w:anchor="fig-sys">
        <w:r>
          <w:rPr>
            <w:rStyle w:val="Hyperlink"/>
          </w:rPr>
          <w:t xml:space="preserve">Figure 1</w:t>
        </w:r>
      </w:hyperlink>
      <w:r>
        <w:t xml:space="preserve"> </w:t>
      </w:r>
      <w:r>
        <w:t xml:space="preserve">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5" w:name="fig-sys"/>
          <w:p>
            <w:pPr>
              <w:pStyle w:val="Compact"/>
              <w:jc w:val="center"/>
            </w:pPr>
            <w:r>
              <w:drawing>
                <wp:inline>
                  <wp:extent cx="6096000" cy="4876800"/>
                  <wp:effectExtent b="0" l="0" r="0" t="0"/>
                  <wp:docPr descr="" title="" id="23" name="Picture"/>
                  <a:graphic>
                    <a:graphicData uri="http://schemas.openxmlformats.org/drawingml/2006/picture">
                      <pic:pic>
                        <pic:nvPicPr>
                          <pic:cNvPr descr="ms_files/figure-docx/fig-sys-1.png" id="24" name="Picture"/>
                          <pic:cNvPicPr>
                            <a:picLocks noChangeArrowheads="1" noChangeAspect="1"/>
                          </pic:cNvPicPr>
                        </pic:nvPicPr>
                        <pic:blipFill>
                          <a:blip r:embed="rId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bookmarkEnd w:id="25"/>
        </w:tc>
      </w:tr>
    </w:tbl>
    <w:bookmarkEnd w:id="26"/>
    <w:bookmarkStart w:id="27" w:name="Xbb8a3512749f7fb1c67948ca8a2ad003fcd6253"/>
    <w:p>
      <w:pPr>
        <w:pStyle w:val="Heading1"/>
      </w:pPr>
      <w:r>
        <w:t xml:space="preserve">The current climate of extreme weather modelling</w:t>
      </w:r>
    </w:p>
    <w:p>
      <w:pPr>
        <w:pStyle w:val="FirstParagraph"/>
      </w:pPr>
      <w:r>
        <w:t xml:space="preserve">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w:t>
      </w:r>
      <w:r>
        <w:t xml:space="preserve"> </w:t>
      </w:r>
      <w:r>
        <w:t xml:space="preserve">[25]</w:t>
      </w:r>
      <w:r>
        <w:t xml:space="preserve">.</w:t>
      </w:r>
    </w:p>
    <w:p>
      <w:pPr>
        <w:pStyle w:val="BodyText"/>
      </w:pPr>
      <w:r>
        <w:t xml:space="preserve">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[26–30]</w:t>
      </w:r>
      <w:r>
        <w:t xml:space="preserve">. The most state-of-the-art of these are ERA5 and ERA5-Land,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[31]</w:t>
      </w:r>
      <w:r>
        <w:t xml:space="preserve"> </w:t>
      </w:r>
      <w:r>
        <w:t xml:space="preserve">for scientific computing has created an opportunity to rebuild climate models in a more modular manner, allowing easier interfacing between discipline-specific models and easier integration of the massive emerging power of AI for data assimilation and machine learning</w:t>
      </w:r>
      <w:r>
        <w:t xml:space="preserve"> </w:t>
      </w:r>
      <w:r>
        <w:t xml:space="preserve">[32]</w:t>
      </w:r>
      <w:r>
        <w:t xml:space="preserve">.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bookmarkEnd w:id="27"/>
    <w:bookmarkStart w:id="29"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w:t>
      </w:r>
      <w:r>
        <w:t xml:space="preserve"> </w:t>
      </w:r>
      <w:r>
        <w:t xml:space="preserve">‘memory’</w:t>
      </w:r>
      <w:r>
        <w:t xml:space="preserve"> </w:t>
      </w:r>
      <w:r>
        <w:t xml:space="preserve">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pPr>
        <w:pStyle w:val="BodyText"/>
      </w:pPr>
      <w:r>
        <w:t xml:space="preserve">To some extent, the GCMs described in the previous section have these dynamics built into them via modules called</w:t>
      </w:r>
      <w:r>
        <w:t xml:space="preserve"> </w:t>
      </w:r>
      <w:r>
        <w:t xml:space="preserve">‘land-surface models’</w:t>
      </w:r>
      <w:r>
        <w:t xml:space="preserve"> </w:t>
      </w:r>
      <w:r>
        <w:t xml:space="preserve">(LSMs),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w:t>
      </w:r>
      <w:r>
        <w:t xml:space="preserve"> </w:t>
      </w:r>
      <w:r>
        <w:t xml:space="preserve">[e.g. 33]</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w:t>
      </w:r>
      <w:r>
        <w:t xml:space="preserve"> </w:t>
      </w:r>
      <w:r>
        <w:t xml:space="preserve">[34–40]</w:t>
      </w:r>
      <w:r>
        <w:t xml:space="preserve">. Our</w:t>
      </w:r>
      <w:r>
        <w:t xml:space="preserve"> </w:t>
      </w:r>
      <w:hyperlink r:id="rId28">
        <w:r>
          <w:rPr>
            <w:rStyle w:val="Hyperlink"/>
            <w:i/>
            <w:iCs/>
          </w:rPr>
          <w:t xml:space="preserve">Supplementary Online Material</w:t>
        </w:r>
      </w:hyperlink>
      <w:r>
        <w:t xml:space="preserve"> </w:t>
      </w:r>
      <w:r>
        <w:t xml:space="preserve">provides a tutorial on how to use the</w:t>
      </w:r>
      <w:r>
        <w:t xml:space="preserve"> </w:t>
      </w:r>
      <w:r>
        <w:rPr>
          <w:i/>
          <w:iCs/>
        </w:rPr>
        <w:t xml:space="preserve">NicheMapR</w:t>
      </w:r>
      <w:r>
        <w:t xml:space="preserve"> </w:t>
      </w:r>
      <w:r>
        <w:t xml:space="preserve">model</w:t>
      </w:r>
      <w:r>
        <w:t xml:space="preserve"> </w:t>
      </w:r>
      <w:r>
        <w:t xml:space="preserve">[34,36]</w:t>
      </w:r>
      <w:r>
        <w:t xml:space="preserve"> </w:t>
      </w:r>
      <w:r>
        <w:t xml:space="preserve">to predict microclimates from climate data.</w:t>
      </w:r>
    </w:p>
    <w:p>
      <w:pPr>
        <w:pStyle w:val="BodyText"/>
      </w:pPr>
      <w:r>
        <w:t xml:space="preserve">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w:t>
      </w:r>
      <w:r>
        <w:t xml:space="preserve"> </w:t>
      </w:r>
      <w:r>
        <w:t xml:space="preserve">[41]</w:t>
      </w:r>
      <w:r>
        <w:t xml:space="preserve">.</w:t>
      </w:r>
    </w:p>
    <w:bookmarkEnd w:id="29"/>
    <w:bookmarkStart w:id="30" w:name="X5a6e6d313f4187bfc77082e5e5979262b26b081"/>
    <w:p>
      <w:pPr>
        <w:pStyle w:val="Heading1"/>
      </w:pPr>
      <w:r>
        <w:t xml:space="preserve">Translating exposure to organism temperature: biophysics to the rescue!</w:t>
      </w:r>
    </w:p>
    <w:p>
      <w:pPr>
        <w:pStyle w:val="FirstParagraph"/>
      </w:pPr>
      <w:r>
        <w:t xml:space="preserve">Once microclimates are quantified, it is now straight-forward to compute heat-budgets of organisms as a function of their traits using the principles of biophysical ecology. Biophysical models have a long history</w:t>
      </w:r>
      <w:r>
        <w:t xml:space="preserve"> </w:t>
      </w:r>
      <w:r>
        <w:t xml:space="preserve">[e.g. 42,43]</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[20]</w:t>
      </w:r>
      <w:r>
        <w:t xml:space="preserve">. Biophysical models of ectothermic animals can account for complex radiative heat transfer and the role of evaporative water loss from the skin, breath and eyes</w:t>
      </w:r>
      <w:r>
        <w:t xml:space="preserve"> </w:t>
      </w:r>
      <w:r>
        <w:t xml:space="preserve">[34,44]</w:t>
      </w:r>
      <w:r>
        <w:t xml:space="preserve">. Equivalent models of leaves incorporate the dynamic role of stomata</w:t>
      </w:r>
      <w:r>
        <w:t xml:space="preserve"> </w:t>
      </w:r>
      <w:r>
        <w:t xml:space="preserve">[19,45]</w:t>
      </w:r>
      <w:r>
        <w:t xml:space="preserve">, while models of endotherms can account for the role of insulation and metabolic heat production</w:t>
      </w:r>
      <w:r>
        <w:t xml:space="preserve"> </w:t>
      </w:r>
      <w:r>
        <w:t xml:space="preserve">[46]</w:t>
      </w:r>
      <w:r>
        <w:t xml:space="preserve">. Future development in biophysical modelling of organismal temperature under extreme heat involves understanding the nuances of plastic physiological and behavioral responses. For example, lizards may pant when exposed to high temperatures</w:t>
      </w:r>
      <w:r>
        <w:t xml:space="preserve"> </w:t>
      </w:r>
      <w:r>
        <w:t xml:space="preserve">[47]</w:t>
      </w:r>
      <w:r>
        <w:t xml:space="preserve">, birds may</w:t>
      </w:r>
      <w:r>
        <w:t xml:space="preserve"> </w:t>
      </w:r>
      <w:r>
        <w:t xml:space="preserve">‘wind surf’</w:t>
      </w:r>
      <w:r>
        <w:t xml:space="preserve"> </w:t>
      </w:r>
      <w:r>
        <w:t xml:space="preserve">or seek thermal micro-refugia</w:t>
      </w:r>
      <w:r>
        <w:t xml:space="preserve"> </w:t>
      </w:r>
      <w:r>
        <w:t xml:space="preserve">[48]</w:t>
      </w:r>
      <w:r>
        <w:t xml:space="preserve">, and stomatal behavior may depart from the typical responses to vapor pressure and light intensity to allow emergency cooling</w:t>
      </w:r>
      <w:r>
        <w:t xml:space="preserve"> </w:t>
      </w:r>
      <w:r>
        <w:t xml:space="preserve">[49]</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bookmarkEnd w:id="30"/>
    <w:bookmarkStart w:id="36" w:name="X752901143b666c2de4864497e2cadc133843d53"/>
    <w:p>
      <w:pPr>
        <w:pStyle w:val="Heading1"/>
      </w:pPr>
      <w:r>
        <w:t xml:space="preserve">Capturing the balance between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[21,51]</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[21,22]</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w:t>
      </w:r>
      <w:r>
        <w:t xml:space="preserve"> </w:t>
      </w:r>
      <w:r>
        <w:t xml:space="preserve">[22]</w:t>
      </w:r>
      <w:r>
        <w:t xml:space="preserve">. Endpoints are predicted by assuming the effect of time at a given temperature decreases survival or fertility exponentially</w:t>
      </w:r>
      <w:r>
        <w:t xml:space="preserve"> </w:t>
      </w:r>
      <w:r>
        <w:t xml:space="preserve">[11,12,21,51]</w:t>
      </w:r>
      <w:r>
        <w:t xml:space="preserve">. For example, Ørsted</w:t>
      </w:r>
      <w:r>
        <w:t xml:space="preserve"> </w:t>
      </w:r>
      <w:r>
        <w:rPr>
          <w:i/>
          <w:iCs/>
        </w:rPr>
        <w:t xml:space="preserve">et al.</w:t>
      </w:r>
      <w:r>
        <w:t xml:space="preserve"> </w:t>
      </w:r>
      <w:r>
        <w:t xml:space="preserve">[12]</w:t>
      </w:r>
      <w:r>
        <w:t xml:space="preserve"> </w:t>
      </w:r>
      <w:r>
        <w:t xml:space="preserve">show that both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can be higher than mortality with heat injury accumulating faster to impact productivity earlier than survival. TLS theory has also been shown to apply well to photosynthetic function in plants</w:t>
      </w:r>
      <w:r>
        <w:t xml:space="preserve"> </w:t>
      </w:r>
      <w:r>
        <w:t xml:space="preserve">[52,53]</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important for understanding how heat waves affect organisms because both processes can result in lagged responses to heat stress – a common feature of extreme heat events</w:t>
      </w:r>
      <w:r>
        <w:t xml:space="preserve"> </w:t>
      </w:r>
      <w:r>
        <w:t xml:space="preserve">[22,54]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[11,12,22,51]</w:t>
      </w:r>
      <w:r>
        <w:t xml:space="preserve">. Several approaches can be used to capture the accumulation of damage</w:t>
      </w:r>
      <w:r>
        <w:t xml:space="preserve"> </w:t>
      </w:r>
      <w:r>
        <w:t xml:space="preserve">[11,12,51]</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31"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1"/>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w:t>
      </w:r>
      <w:r>
        <w:t xml:space="preserve"> </w:t>
      </w:r>
      <w:r>
        <w:t xml:space="preserve">[22]</w:t>
      </w:r>
      <w:r>
        <w:t xml:space="preserve"> </w:t>
      </w:r>
      <w:r>
        <w:t xml:space="preserve">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w:t>
            </w:r>
            <w:r>
              <w:t xml:space="preserve"> </w:t>
            </w:r>
            <w:r>
              <w:t xml:space="preserve">[55]</w:t>
            </w:r>
            <w:r>
              <w:t xml:space="preserve">. Extended periods of water stress (e.g., several days or more) have also been shown to increase thermal sensitivity in insects, reducing the time they could deal with extreme heat</w:t>
            </w:r>
            <w:r>
              <w:t xml:space="preserve"> </w:t>
            </w:r>
            <w:r>
              <w:t xml:space="preserve">[56]</w:t>
            </w:r>
            <w:r>
              <w:t xml:space="preserve">.</w:t>
            </w:r>
          </w:p>
          <w:p>
            <w:pPr>
              <w:pStyle w:val="BodyText"/>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[57–59]</w:t>
            </w:r>
            <w:r>
              <w:t xml:space="preserve">. These interactions are usually achieved by stimulating the production of essential phytohormones, secondary metabolites, organic acids, and amino acids that helps the plant to mitigate heat stress</w:t>
            </w:r>
            <w:r>
              <w:t xml:space="preserve"> </w:t>
            </w:r>
            <w:r>
              <w:t xml:space="preserve">[60,61]</w:t>
            </w:r>
            <w:r>
              <w:t xml:space="preserve">.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[62]</w:t>
            </w:r>
            <w:r>
              <w:t xml:space="preserve">. Moreover, this protective effect can influence the ability of the host to evolve further resistance to the heat shock and harboured more bacteria</w:t>
            </w:r>
            <w:r>
              <w:t xml:space="preserve"> </w:t>
            </w:r>
            <w:r>
              <w:t xml:space="preserve">[63]</w:t>
            </w:r>
            <w:r>
              <w:t xml:space="preserve">.</w:t>
            </w:r>
          </w:p>
          <w:tbl>
            <w:tblPr>
              <w:tblStyle w:val="Table"/>
              <w:tblW w:type="pct" w:w="5000"/>
              <w:tblLayout w:type="fixed"/>
              <w:tblLook w:firstRow="0" w:lastRow="0" w:firstColumn="0" w:lastColumn="0" w:noHBand="0" w:noVBand="0" w:val="0000"/>
            </w:tblPr>
            <w:tblGrid>
              <w:gridCol w:w="7920"/>
            </w:tblGrid>
            <w:tr>
              <w:tc>
                <w:tcPr/>
                <w:bookmarkStart w:id="35" w:name="fig-box1"/>
                <w:p>
                  <w:pPr>
                    <w:pStyle w:val="Compact"/>
                    <w:jc w:val="center"/>
                  </w:pPr>
                  <w:r>
                    <w:drawing>
                      <wp:inline>
                        <wp:extent cx="6096000" cy="4876800"/>
                        <wp:effectExtent b="0" l="0" r="0" t="0"/>
                        <wp:docPr descr="" title="" id="33" name="Picture"/>
                        <a:graphic>
                          <a:graphicData uri="http://schemas.openxmlformats.org/drawingml/2006/picture">
                            <pic:pic>
                              <pic:nvPicPr>
                                <pic:cNvPr descr="ms_files/figure-docx/fig-box1-1.png" id="34" name="Picture"/>
                                <pic:cNvPicPr>
                                  <a:picLocks noChangeArrowheads="1" noChangeAspect="1"/>
                                </pic:cNvPicPr>
                              </pic:nvPicPr>
                              <pic:blipFill>
                                <a:blip r:embed="rId3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Box 1 Figure.</w:t>
                  </w:r>
                </w:p>
                <w:bookmarkEnd w:id="35"/>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after="16"/>
            </w:pPr>
            <w:r>
              <w:rPr>
                <w:b/>
                <w:bCs/>
              </w:rPr>
              <w:t xml:space="preserve">Coexistence</w:t>
            </w:r>
            <w:r>
              <w:t xml:space="preserve">: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 </w:t>
            </w:r>
            <w:r>
              <w:t xml:space="preserve"> </w:t>
            </w: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bookmarkEnd w:id="36"/>
    <w:bookmarkStart w:id="37" w:name="Xd0cd64f0f8eecda3c17ee56ce2248b9a39e3d6a"/>
    <w:p>
      <w:pPr>
        <w:pStyle w:val="Heading1"/>
      </w:pPr>
      <w:r>
        <w:t xml:space="preserve">Dynamic Energy Budget (DEB)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through time</w:t>
      </w:r>
      <w:r>
        <w:t xml:space="preserve"> </w:t>
      </w:r>
      <w:r>
        <w:t xml:space="preserve">[16,64]</w:t>
      </w:r>
      <w:r>
        <w:t xml:space="preserve">. DEB models consider organisms as a thermodynamic system (adhering to energy-mass balance) capturing the exchange of food, water, respiratory gases and metabolic waste throughout the life cycle</w:t>
      </w:r>
      <w:r>
        <w:t xml:space="preserve"> </w:t>
      </w:r>
      <w:r>
        <w:t xml:space="preserve">[20]</w:t>
      </w:r>
      <w:r>
        <w:t xml:space="preserve">. DEB models can translate short-term (hourly) variation in factors, such as temperature, toxins (e.g., toxicants,</w:t>
      </w:r>
      <w:r>
        <w:t xml:space="preserve"> </w:t>
      </w:r>
      <w:r>
        <w:t xml:space="preserve">[66]</w:t>
      </w:r>
      <w:r>
        <w:t xml:space="preserve">) and resource availability (nutrients)</w:t>
      </w:r>
      <w:r>
        <w:t xml:space="preserve"> </w:t>
      </w:r>
      <w:r>
        <w:t xml:space="preserve">[67,68]</w:t>
      </w:r>
      <w:r>
        <w:t xml:space="preserve"> </w:t>
      </w:r>
      <w:r>
        <w:t xml:space="preserve">into long-term (days, months, years) effects on development, growth, reproduction and survival</w:t>
      </w:r>
      <w:r>
        <w:t xml:space="preserve"> </w:t>
      </w:r>
      <w:r>
        <w:t xml:space="preserve">[17,20]</w:t>
      </w:r>
      <w:r>
        <w:t xml:space="preserve">, though they have been applied to plants much less than for animal and microbial systems</w:t>
      </w:r>
      <w:r>
        <w:t xml:space="preserve">[69]</w:t>
      </w:r>
      <w:r>
        <w:t xml:space="preserve">. DEB theory, when combined with biophysical models more generally, allows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w:t>
      </w:r>
      <w:r>
        <w:t xml:space="preserve"> </w:t>
      </w:r>
      <w:r>
        <w:t xml:space="preserve">[70,71]</w:t>
      </w:r>
      <w:r>
        <w:t xml:space="preserve"> </w:t>
      </w:r>
      <w:r>
        <w:t xml:space="preserve">and approaches for using DEB theory to model plant growth and performance are being developed</w:t>
      </w:r>
      <w:r>
        <w:t xml:space="preserve"> </w:t>
      </w:r>
      <w:r>
        <w:t xml:space="preserve">[69]</w:t>
      </w:r>
      <w:r>
        <w:t xml:space="preserve">. New analytical approaches using phylogenetic imputation methods allow for models to be developed independently for all species even when data are lacking. These methods show promise in predicting DEB parameters for over 1.3 million species</w:t>
      </w:r>
      <w:r>
        <w:t xml:space="preserve"> </w:t>
      </w:r>
      <w:r>
        <w:t xml:space="preserve">[see, 72]</w:t>
      </w:r>
      <w:r>
        <w:t xml:space="preserve">. In addition, software packages such as</w:t>
      </w:r>
      <w:r>
        <w:t xml:space="preserve"> </w:t>
      </w:r>
      <w:r>
        <w:rPr>
          <w:i/>
          <w:iCs/>
        </w:rPr>
        <w:t xml:space="preserve">NicheMapR</w:t>
      </w:r>
      <w:r>
        <w:t xml:space="preserve"> </w:t>
      </w:r>
      <w:r>
        <w:t xml:space="preserve">[34,73]</w:t>
      </w:r>
      <w:r>
        <w:t xml:space="preserve"> </w:t>
      </w:r>
      <w:r>
        <w:t xml:space="preserve">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bookmarkEnd w:id="37"/>
    <w:bookmarkStart w:id="39"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t xml:space="preserve">Coexistence frameworks offer an intriguing approach for how to bring the many elements discussed above together to understand whole community responses to extreme climate events. Modern coexistence theory [MCT;</w:t>
      </w:r>
      <w:r>
        <w:t xml:space="preserve"> </w:t>
      </w:r>
      <w:r>
        <w:t xml:space="preserve">[74]</w:t>
      </w:r>
      <w:r>
        <w:t xml:space="preserve">] uses simple two-species individual-based population growth models, such as Beverton-Holt or Ricker models</w:t>
      </w:r>
      <w:r>
        <w:t xml:space="preserve"> </w:t>
      </w:r>
      <w:r>
        <w:t xml:space="preserve">[75,76]</w:t>
      </w:r>
      <w:r>
        <w:t xml:space="preserve">, to determine how interactions between species at the individual level lead to indefinite</w:t>
      </w:r>
      <w:r>
        <w:t xml:space="preserve"> </w:t>
      </w:r>
      <w:r>
        <w:t xml:space="preserve">“</w:t>
      </w:r>
      <w:r>
        <w:rPr>
          <w:b/>
          <w:bCs/>
        </w:rPr>
        <w:t xml:space="preserve">coexistence</w:t>
      </w:r>
      <w:r>
        <w:t xml:space="preserve">”</w:t>
      </w:r>
      <w:r>
        <w:t xml:space="preserve">.</w:t>
      </w:r>
    </w:p>
    <w:p>
      <w:pPr>
        <w:pStyle w:val="BodyText"/>
      </w:pPr>
      <w:r>
        <w:t xml:space="preserve">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24]</w:t>
      </w:r>
      <w:r>
        <w:t xml:space="preserve">. Another useful advancement is the development of horizontal network models parameterized with outcomes of population dynamical models</w:t>
      </w:r>
      <w:r>
        <w:t xml:space="preserve"> </w:t>
      </w:r>
      <w:r>
        <w:t xml:space="preserve">[77]</w:t>
      </w:r>
      <w:r>
        <w:t xml:space="preserve">.</w:t>
      </w:r>
    </w:p>
    <w:p>
      <w:pPr>
        <w:pStyle w:val="BodyText"/>
      </w:pPr>
      <w:r>
        <w:t xml:space="preserve">What population dynamic models do is calculate the individual fitness effect of interactions</w:t>
      </w:r>
      <w:r>
        <w:t xml:space="preserve"> </w:t>
      </w:r>
      <w:r>
        <w:t xml:space="preserve">[78]</w:t>
      </w:r>
      <w:r>
        <w:t xml:space="preserve">. These models can incorporate variation in the environment</w:t>
      </w:r>
      <w:r>
        <w:t xml:space="preserve"> </w:t>
      </w:r>
      <w:r>
        <w:t xml:space="preserve">[23]</w:t>
      </w:r>
      <w:r>
        <w:t xml:space="preserve"> </w:t>
      </w:r>
      <w:r>
        <w:t xml:space="preserve">and in the outcome of interactions themselves</w:t>
      </w:r>
      <w:r>
        <w:t xml:space="preserve"> </w:t>
      </w:r>
      <w:r>
        <w:t xml:space="preserve">[79]</w:t>
      </w:r>
      <w:r>
        <w:t xml:space="preserve">. As these models use the same fitness measures as DEB models they offer a population modelling framework to add thermal biology to community diversity predictions. This is because population dynamical models can be put together, for example as networks</w:t>
      </w:r>
      <w:r>
        <w:t xml:space="preserve"> </w:t>
      </w:r>
      <w:r>
        <w:t xml:space="preserve">[77]</w:t>
      </w:r>
      <w:r>
        <w:t xml:space="preserve"> </w:t>
      </w:r>
      <w:r>
        <w:t xml:space="preserve">and compared between microsites with different biophysical properties and composed of species with different thermal responses to their microenvironment. For example,</w:t>
      </w:r>
      <w:r>
        <w:t xml:space="preserve"> </w:t>
      </w:r>
      <w:r>
        <w:t xml:space="preserve">[77]</w:t>
      </w:r>
      <w:r>
        <w:t xml:space="preserve">, used this approach to determine which species were keystone species under shady and sunny portions of the same plant communities.</w:t>
      </w:r>
    </w:p>
    <w:p>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functional traits,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w:t>
      </w:r>
      <w:r>
        <w:t xml:space="preserve"> </w:t>
      </w:r>
      <w:r>
        <w:t xml:space="preserve">‘trait’</w:t>
      </w:r>
      <w:r>
        <w:t xml:space="preserve"> </w:t>
      </w:r>
      <w:r>
        <w:t xml:space="preserve">which has been shown to be an effective way of reducing model complexity without sacrificing accuracy</w:t>
      </w:r>
      <w:r>
        <w:t xml:space="preserve"> </w:t>
      </w:r>
      <w:r>
        <w:t xml:space="preserve">[80]</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feedbacks within a systems-modelling framework</w:t>
            </w:r>
          </w:p>
          <w:p>
            <w:pPr>
              <w:pStyle w:val="BodyText"/>
            </w:pPr>
            <w:pPr>
              <w:spacing w:before="16"/>
            </w:pPr>
            <w:r>
              <w:t xml:space="preserve">Extreme environments both impact trait development and act as a potent selective force triggering evolutionary change in populations</w:t>
            </w:r>
            <w:r>
              <w:t xml:space="preserve"> </w:t>
            </w:r>
            <w:r>
              <w:t xml:space="preserve">[81–83]</w:t>
            </w:r>
            <w:r>
              <w:t xml:space="preserve">.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w:t>
            </w:r>
            <w:r>
              <w:t xml:space="preserve"> </w:t>
            </w:r>
            <w:r>
              <w:t xml:space="preserve">[81]</w:t>
            </w:r>
            <w:r>
              <w:t xml:space="preserve">.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w:t>
            </w:r>
            <w:r>
              <w:t xml:space="preserve"> </w:t>
            </w:r>
            <w:r>
              <w:t xml:space="preserve">[82,84–87]</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morphology). Rather,</w:t>
            </w:r>
            <w:r>
              <w:t xml:space="preserve"> </w:t>
            </w:r>
            <w:r>
              <w:t xml:space="preserve">‘traits’</w:t>
            </w:r>
            <w:r>
              <w:t xml:space="preserve"> </w:t>
            </w:r>
            <w:r>
              <w:t xml:space="preserve">can also include the parameters within models (e.g., DEB parameters) that allow functional traits to emerge</w:t>
            </w:r>
            <w:r>
              <w:t xml:space="preserve"> </w:t>
            </w:r>
            <w:r>
              <w:t xml:space="preserve">[88]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w:t>
            </w:r>
            <w:r>
              <w:t xml:space="preserve"> </w:t>
            </w:r>
            <w:r>
              <w:t xml:space="preserve">[89]</w:t>
            </w:r>
            <w:r>
              <w:t xml:space="preserve">:</w:t>
            </w:r>
          </w:p>
          <w:p>
            <w:pPr>
              <w:pStyle w:val="BodyText"/>
            </w:pPr>
            <w:bookmarkStart w:id="38"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38"/>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[90]</w:t>
            </w:r>
            <w:r>
              <w:t xml:space="preserve">). While the multivariate breeders equation can be useful for predicting short term evolutionary responses (i.e., one or a few generations) it is likely limited in predictive power over longer timespans because of changes in heritability and selection through time</w:t>
            </w:r>
            <w:r>
              <w:t xml:space="preserve"> </w:t>
            </w:r>
            <w:r>
              <w:t xml:space="preserve">[83,90]</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[56,91–95]</w:t>
            </w:r>
            <w:r>
              <w:t xml:space="preserve">. For example, using isogenic lines of</w:t>
            </w:r>
            <w:r>
              <w:t xml:space="preserve"> </w:t>
            </w:r>
            <w:r>
              <w:rPr>
                <w:i/>
                <w:iCs/>
              </w:rPr>
              <w:t xml:space="preserve">Drosophia melanogaster</w:t>
            </w:r>
            <w:r>
              <w:t xml:space="preserve">,</w:t>
            </w:r>
            <w:r>
              <w:t xml:space="preserve"> </w:t>
            </w:r>
            <w:r>
              <w:t xml:space="preserve">[95]</w:t>
            </w:r>
            <w:r>
              <w:t xml:space="preserve"> </w:t>
            </w:r>
            <w:r>
              <w:t xml:space="preserve">show evidence for genetic variation in both upper thermal limits (</w:t>
            </w:r>
            <m:oMath>
              <m:r>
                <m:t>C</m:t>
              </m:r>
              <m:sSub>
                <m:e>
                  <m:r>
                    <m:t>T</m:t>
                  </m:r>
                </m:e>
                <m:sub>
                  <m:r>
                    <m:t>m</m:t>
                  </m:r>
                  <m:r>
                    <m:t>a</m:t>
                  </m:r>
                  <m:r>
                    <m:t>x</m:t>
                  </m:r>
                </m:sub>
              </m:sSub>
            </m:oMath>
            <w:r>
              <w:t xml:space="preserve">) and thermal sensitivity (i.e,</w:t>
            </w:r>
            <w:r>
              <w:t xml:space="preserve"> </w:t>
            </w:r>
            <m:oMath>
              <m:r>
                <m:t>z</m:t>
              </m:r>
            </m:oMath>
            <w:r>
              <w:t xml:space="preserve">, slope from TDT curves) using a TDT framework. Simulations also show that selection on one parameter will also induce changes in the other. Additionally, thermal sensitivity in</w:t>
            </w:r>
            <w:r>
              <w:t xml:space="preserve"> </w:t>
            </w:r>
            <w:r>
              <w:rPr>
                <w:i/>
                <w:iCs/>
              </w:rPr>
              <w:t xml:space="preserve">Drosophia</w:t>
            </w:r>
            <w:r>
              <w:t xml:space="preserve"> </w:t>
            </w:r>
            <w:r>
              <w:t xml:space="preserve">species is also known to respond plastically to temperature</w:t>
            </w:r>
            <w:r>
              <w:t xml:space="preserve"> </w:t>
            </w:r>
            <w:r>
              <w:t xml:space="preserve">[91]</w:t>
            </w:r>
            <w:r>
              <w:t xml:space="preserve">. In the alpine plant</w:t>
            </w:r>
            <w:r>
              <w:t xml:space="preserve"> </w:t>
            </w:r>
            <w:r>
              <w:rPr>
                <w:i/>
                <w:iCs/>
              </w:rPr>
              <w:t xml:space="preserve">Wahlenbergia ceracea</w:t>
            </w:r>
            <w:r>
              <w:t xml:space="preserve"> </w:t>
            </w:r>
            <w:r>
              <w:t xml:space="preserve">despite ample plasticity in response to warming there is little genetic variation in plasticity, thus adaptive evolution of plasticity in response to extreme heat is unlikely</w:t>
            </w:r>
            <w:r>
              <w:t xml:space="preserve"> </w:t>
            </w:r>
            <w:r>
              <w:t xml:space="preserve">[96]</w:t>
            </w:r>
            <w:r>
              <w:t xml:space="preserve">. Indeed, few studies have attempted to quantify genetic variation in plasticity in response to warming, never mind extreme heat events, and among those that have there is little evidence that such plasticity is adaptive</w:t>
            </w:r>
            <w:r>
              <w:t xml:space="preserve"> </w:t>
            </w:r>
            <w:r>
              <w:t xml:space="preserve">[96,97]</w:t>
            </w:r>
            <w:r>
              <w:t xml:space="preserve">.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w:t>
            </w:r>
            <w:r>
              <w:t xml:space="preserve"> </w:t>
            </w:r>
            <w:r>
              <w:t xml:space="preserve">[89,96]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Thermal stress to ecosystems may threaten the services those ecosystems provide to people</w:t>
            </w:r>
            <w:r>
              <w:t xml:space="preserve"> </w:t>
            </w:r>
            <w:r>
              <w:t xml:space="preserve">[98]</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[99]</w:t>
            </w:r>
            <w:r>
              <w:t xml:space="preserve">. Thermal stressors may even influence producers’ psychological beliefs about their level of control over land management, and perceived resources available for management practices</w:t>
            </w:r>
            <w:r>
              <w:t xml:space="preserve"> </w:t>
            </w:r>
            <w:r>
              <w:t xml:space="preserve">[100]</w:t>
            </w:r>
            <w:r>
              <w:t xml:space="preserve">. Thermal risks to ecosystems may also precipitate declines in individual wellbeing, and these consequences may accrue differently across regions and across peoples</w:t>
            </w:r>
            <w:r>
              <w:t xml:space="preserve"> </w:t>
            </w:r>
            <w:r>
              <w:t xml:space="preserve">[101]</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[102,103]</w:t>
            </w:r>
            <w:r>
              <w:t xml:space="preserve">. On the other hand, adapting thermal risks in upper stream producers may also be influenced by the perception and behavior of downstream consumers</w:t>
            </w:r>
            <w:r>
              <w:t xml:space="preserve"> </w:t>
            </w:r>
            <w:r>
              <w:t xml:space="preserve">[104]</w:t>
            </w:r>
            <w:r>
              <w:t xml:space="preserve">. The cascading</w:t>
            </w:r>
            <w:r>
              <w:t xml:space="preserve"> </w:t>
            </w:r>
            <w:r>
              <w:t xml:space="preserve">[105]</w:t>
            </w:r>
            <w:r>
              <w:t xml:space="preserve"> </w:t>
            </w:r>
            <w:r>
              <w:t xml:space="preserve">and telecoupled</w:t>
            </w:r>
            <w:r>
              <w:t xml:space="preserve"> </w:t>
            </w:r>
            <w:r>
              <w:t xml:space="preserve">[106]</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[107]</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[108]</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[109]</w:t>
            </w:r>
            <w:r>
              <w:t xml:space="preserve">. Social-ecological models aim to capture the social systems, natural systems and their interactions</w:t>
            </w:r>
            <w:r>
              <w:t xml:space="preserve"> </w:t>
            </w:r>
            <w:r>
              <w:t xml:space="preserve">[110]</w:t>
            </w:r>
            <w:r>
              <w:t xml:space="preserve">. Such models can display non-trivial emergent behavior resulting from complex interactions within the social-ecological systems. For example, responding to decreased productivity from thermal stress by farming more intensively could lead to a maladaptation or</w:t>
            </w:r>
            <w:r>
              <w:t xml:space="preserve"> </w:t>
            </w:r>
            <w:r>
              <w:t xml:space="preserve">‘lock-in’</w:t>
            </w:r>
            <w:r>
              <w:t xml:space="preserve"> </w:t>
            </w:r>
            <w:r>
              <w:t xml:space="preserve">from which it is difficult to escape</w:t>
            </w:r>
            <w:r>
              <w:t xml:space="preserve"> </w:t>
            </w:r>
            <w:r>
              <w:t xml:space="preserve">[111]</w:t>
            </w:r>
            <w:r>
              <w:t xml:space="preserve">.</w:t>
            </w:r>
          </w:p>
          <w:p>
            <w:pPr>
              <w:pStyle w:val="BodyText"/>
            </w:pPr>
            <w:pPr>
              <w:spacing w:after="16"/>
            </w:pPr>
            <w:r>
              <w:t xml:space="preserve">Social-ecological models are conventionally built using process-based modelling frameworks such as agent-based models, dynamical systems models or state-and-transition models</w:t>
            </w:r>
            <w:r>
              <w:t xml:space="preserve"> </w:t>
            </w:r>
            <w:r>
              <w:t xml:space="preserve">[112]</w:t>
            </w:r>
            <w:r>
              <w:t xml:space="preserve">. Process-based approaches are critical to understanding how emergent social-ecological phenomena develop</w:t>
            </w:r>
            <w:r>
              <w:t xml:space="preserve"> </w:t>
            </w:r>
            <w:r>
              <w:t xml:space="preserve">[113]</w:t>
            </w:r>
            <w:r>
              <w:t xml:space="preserve">,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w:t>
            </w:r>
            <w:r>
              <w:t xml:space="preserve"> </w:t>
            </w:r>
            <w:r>
              <w:t xml:space="preserve">[114]</w:t>
            </w:r>
            <w:r>
              <w:t xml:space="preserve"> </w:t>
            </w:r>
            <w:r>
              <w:t xml:space="preserve">to anticipate possible future modes of behavior, such as the direction of change of human behavior and environmental state or the risk of emergent phenomena such as tipping points, rather than trying to predict specific outcomes.</w:t>
            </w:r>
          </w:p>
        </w:tc>
      </w:tr>
    </w:tbl>
    <w:bookmarkEnd w:id="39"/>
    <w:bookmarkStart w:id="44"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[115]</w:t>
      </w:r>
      <w:r>
        <w:t xml:space="preserve"> </w:t>
      </w:r>
      <w:r>
        <w:t xml:space="preserve">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w:t>
      </w:r>
      <w:r>
        <w:t xml:space="preserve"> </w:t>
      </w:r>
      <w:hyperlink w:anchor="fig-2">
        <w:r>
          <w:rPr>
            <w:rStyle w:val="Hyperlink"/>
          </w:rPr>
          <w:t xml:space="preserve">Figure 3</w:t>
        </w:r>
      </w:hyperlink>
      <w:r>
        <w:t xml:space="preserve"> </w:t>
      </w:r>
      <w:r>
        <w:t xml:space="preserve">and Case Study 4/5 in the</w:t>
      </w:r>
      <w:r>
        <w:t xml:space="preserve"> </w:t>
      </w:r>
      <w:hyperlink r:id="rId28">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[20]</w:t>
      </w:r>
      <w:r>
        <w:t xml:space="preserve">. Additionally, as our understanding of the mechanisms associated with heat tolerance improve, genetic tools, environmental manipulations and artifical breeding can be used to enhance thermal tolerance creating more resilience to extreme heat events</w:t>
      </w:r>
      <w:r>
        <w:t xml:space="preserve"> </w:t>
      </w:r>
      <w:r>
        <w:t xml:space="preserve">[e.g., 59]</w:t>
      </w:r>
      <w:r>
        <w:t xml:space="preserve">.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6096000" cy="4876800"/>
                  <wp:effectExtent b="0" l="0" r="0" t="0"/>
                  <wp:docPr descr="" title="" id="41" name="Picture"/>
                  <a:graphic>
                    <a:graphicData uri="http://schemas.openxmlformats.org/drawingml/2006/picture">
                      <pic:pic>
                        <pic:nvPicPr>
                          <pic:cNvPr descr="ms_files/figure-docx/fig-2-1.png" id="42" name="Picture"/>
                          <pic:cNvPicPr>
                            <a:picLocks noChangeArrowheads="1" noChangeAspect="1"/>
                          </pic:cNvPicPr>
                        </pic:nvPicPr>
                        <pic:blipFill>
                          <a:blip r:embed="rId40"/>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3.83 Celcius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w:t>
            </w:r>
            <w:r>
              <w:t xml:space="preserve"> </w:t>
            </w:r>
            <m:oMath>
              <m:sSub>
                <m:e>
                  <m:r>
                    <m:t>r</m:t>
                  </m:r>
                </m:e>
                <m:sub>
                  <m:r>
                    <m:t>m</m:t>
                  </m:r>
                  <m:r>
                    <m:t>a</m:t>
                  </m:r>
                  <m:r>
                    <m:t>x</m:t>
                  </m:r>
                </m:sub>
              </m:sSub>
            </m:oMath>
            <w:r>
              <w:t xml:space="preserve">)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bookmarkEnd w:id="43"/>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1"/>
              </w:numPr>
            </w:pPr>
            <w:r>
              <w:t xml:space="preserve">How effective are models using parameters of closely related species at predicting the impacts of extreme heat for species lacking data?</w:t>
            </w:r>
          </w:p>
          <w:p>
            <w:pPr>
              <w:pStyle w:val="Compact"/>
              <w:numPr>
                <w:ilvl w:val="0"/>
                <w:numId w:val="1001"/>
              </w:numPr>
            </w:pPr>
            <w:r>
              <w:t xml:space="preserve">How can we capture longer-term evolutionary responses to extreme heat in a systems modelling framework?</w:t>
            </w:r>
          </w:p>
          <w:p>
            <w:pPr>
              <w:pStyle w:val="Compact"/>
              <w:numPr>
                <w:ilvl w:val="0"/>
                <w:numId w:val="1001"/>
              </w:numPr>
            </w:pPr>
            <w:r>
              <w:t xml:space="preserve">For modular plant species, can we build and couple dynamic energy budget models to predict how extreme heat will impact tissue and life cycle dynamics?</w:t>
            </w:r>
          </w:p>
        </w:tc>
      </w:tr>
    </w:tbl>
    <w:bookmarkEnd w:id="44"/>
    <w:bookmarkStart w:id="45"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w:t>
      </w:r>
      <w:r>
        <w:t xml:space="preserve"> </w:t>
      </w:r>
      <w:hyperlink r:id="rId28">
        <w:r>
          <w:rPr>
            <w:rStyle w:val="Hyperlink"/>
            <w:i/>
            <w:iCs/>
          </w:rPr>
          <w:t xml:space="preserve">Supplementary Online Material</w:t>
        </w:r>
      </w:hyperlink>
      <w:r>
        <w:t xml:space="preserve">). While our case studies are necessarily hypothetical in nature they move us one step closer to implementing these models in real-world systems. However, there are still many challenges and gaps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bookmarkEnd w:id="45"/>
    <w:bookmarkStart w:id="162" w:name="references"/>
    <w:p>
      <w:pPr>
        <w:pStyle w:val="Heading1"/>
      </w:pPr>
      <w:r>
        <w:t xml:space="preserve">References</w:t>
      </w:r>
    </w:p>
    <w:p>
      <w:pPr>
        <w:pStyle w:val="FirstParagraph"/>
      </w:pPr>
    </w:p>
    <w:bookmarkStart w:id="161" w:name="refs"/>
    <w:bookmarkStart w:id="46"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6"/>
    <w:bookmarkStart w:id="47"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7"/>
    <w:bookmarkStart w:id="48"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8"/>
    <w:bookmarkStart w:id="49"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9"/>
    <w:bookmarkStart w:id="50"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0"/>
    <w:bookmarkStart w:id="51"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1"/>
    <w:bookmarkStart w:id="52"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52"/>
    <w:bookmarkStart w:id="53"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3"/>
    <w:bookmarkStart w:id="54"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4"/>
    <w:bookmarkStart w:id="55"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5"/>
    <w:bookmarkStart w:id="56"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6"/>
    <w:bookmarkStart w:id="57"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7"/>
    <w:bookmarkStart w:id="58"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8"/>
    <w:bookmarkStart w:id="59"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9"/>
    <w:bookmarkStart w:id="60"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0"/>
    <w:bookmarkStart w:id="61"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1"/>
    <w:bookmarkStart w:id="62"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2"/>
    <w:bookmarkStart w:id="63"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3"/>
    <w:bookmarkStart w:id="64"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4"/>
    <w:bookmarkStart w:id="65"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5"/>
    <w:bookmarkStart w:id="66"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6"/>
    <w:bookmarkStart w:id="67" w:name="ref-Arnold2025"/>
    <w:p>
      <w:pPr>
        <w:pStyle w:val="Bibliography"/>
      </w:pPr>
      <w:r>
        <w:t xml:space="preserve">22.</w:t>
      </w:r>
      <w:r>
        <w:t xml:space="preserve"> </w:t>
      </w:r>
      <w:r>
        <w:t xml:space="preserve">	</w:t>
      </w:r>
      <w:r>
        <w:t xml:space="preserve">Arnold, P.A.</w:t>
      </w:r>
      <w:r>
        <w:t xml:space="preserve"> </w:t>
      </w:r>
      <w:r>
        <w:rPr>
          <w:i/>
          <w:iCs/>
        </w:rPr>
        <w:t xml:space="preserve">et al.</w:t>
      </w:r>
      <w:r>
        <w:t xml:space="preserve"> </w:t>
      </w:r>
      <w:r>
        <w:t xml:space="preserve">(2025) A framework for modelling thermal load sensitivity across life.</w:t>
      </w:r>
      <w:r>
        <w:t xml:space="preserve"> </w:t>
      </w:r>
      <w:r>
        <w:rPr>
          <w:i/>
          <w:iCs/>
        </w:rPr>
        <w:t xml:space="preserve">EcoEvoRxiv, https://doi.org/10.32942/X23M0R</w:t>
      </w:r>
    </w:p>
    <w:bookmarkEnd w:id="67"/>
    <w:bookmarkStart w:id="68" w:name="ref-Bimler2018"/>
    <w:p>
      <w:pPr>
        <w:pStyle w:val="Bibliography"/>
      </w:pPr>
      <w:r>
        <w:t xml:space="preserve">23.</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8"/>
    <w:bookmarkStart w:id="69" w:name="ref-Bowler2022"/>
    <w:p>
      <w:pPr>
        <w:pStyle w:val="Bibliography"/>
      </w:pPr>
      <w:r>
        <w:t xml:space="preserve">24.</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9"/>
    <w:bookmarkStart w:id="70" w:name="ref-Fick2017"/>
    <w:p>
      <w:pPr>
        <w:pStyle w:val="Bibliography"/>
      </w:pPr>
      <w:r>
        <w:t xml:space="preserve">25.</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0"/>
    <w:bookmarkStart w:id="71" w:name="ref-Kalnay2018"/>
    <w:p>
      <w:pPr>
        <w:pStyle w:val="Bibliography"/>
      </w:pPr>
      <w:r>
        <w:t xml:space="preserve">26.</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1"/>
    <w:bookmarkStart w:id="72" w:name="ref-Hersbach2020"/>
    <w:p>
      <w:pPr>
        <w:pStyle w:val="Bibliography"/>
      </w:pPr>
      <w:r>
        <w:t xml:space="preserve">27.</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2"/>
    <w:bookmarkStart w:id="73" w:name="ref-Klinges2022"/>
    <w:p>
      <w:pPr>
        <w:pStyle w:val="Bibliography"/>
      </w:pPr>
      <w:r>
        <w:t xml:space="preserve">28.</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73"/>
    <w:bookmarkStart w:id="74" w:name="ref-Meyer2023"/>
    <w:p>
      <w:pPr>
        <w:pStyle w:val="Bibliography"/>
      </w:pPr>
      <w:r>
        <w:t xml:space="preserve">29.</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74"/>
    <w:bookmarkStart w:id="75" w:name="ref-Munoz-Sabater2021"/>
    <w:p>
      <w:pPr>
        <w:pStyle w:val="Bibliography"/>
      </w:pPr>
      <w:r>
        <w:t xml:space="preserve">30.</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75"/>
    <w:bookmarkStart w:id="76" w:name="ref-Bezanson2012"/>
    <w:p>
      <w:pPr>
        <w:pStyle w:val="Bibliography"/>
      </w:pPr>
      <w:r>
        <w:t xml:space="preserve">31.</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76"/>
    <w:bookmarkStart w:id="77" w:name="ref-Yatunin2025"/>
    <w:p>
      <w:pPr>
        <w:pStyle w:val="Bibliography"/>
      </w:pPr>
      <w:r>
        <w:t xml:space="preserve">32.</w:t>
      </w:r>
      <w:r>
        <w:t xml:space="preserve"> </w:t>
      </w:r>
      <w:r>
        <w:t xml:space="preserve">	</w:t>
      </w:r>
      <w:r>
        <w:t xml:space="preserve">Yatunin, D.</w:t>
      </w:r>
      <w:r>
        <w:t xml:space="preserve"> </w:t>
      </w:r>
      <w:r>
        <w:rPr>
          <w:i/>
          <w:iCs/>
        </w:rPr>
        <w:t xml:space="preserve">et al.</w:t>
      </w:r>
      <w:r>
        <w:t xml:space="preserve"> </w:t>
      </w:r>
      <w:r>
        <w:t xml:space="preserve">(2025) The climate modeling alliance atmosphere dynamical core: Concepts, numerics, and scaling.</w:t>
      </w:r>
      <w:r>
        <w:t xml:space="preserve"> </w:t>
      </w:r>
      <w:r>
        <w:rPr>
          <w:i/>
          <w:iCs/>
        </w:rPr>
        <w:t xml:space="preserve">Authorea Preprints</w:t>
      </w:r>
    </w:p>
    <w:bookmarkEnd w:id="77"/>
    <w:bookmarkStart w:id="78" w:name="ref-Braziunas2025"/>
    <w:p>
      <w:pPr>
        <w:pStyle w:val="Bibliography"/>
      </w:pPr>
      <w:r>
        <w:t xml:space="preserve">33.</w:t>
      </w:r>
      <w:r>
        <w:t xml:space="preserve"> </w:t>
      </w:r>
      <w:r>
        <w:t xml:space="preserve">	</w:t>
      </w:r>
      <w:r>
        <w:t xml:space="preserve">Braziunas, K.H.</w:t>
      </w:r>
      <w:r>
        <w:t xml:space="preserve"> </w:t>
      </w:r>
      <w:r>
        <w:rPr>
          <w:i/>
          <w:iCs/>
        </w:rPr>
        <w:t xml:space="preserve">et al.</w:t>
      </w:r>
      <w:r>
        <w:t xml:space="preserve"> </w:t>
      </w:r>
      <w:r>
        <w:t xml:space="preserve">(2025) Microclimate temperature effects propagate across scales in forest ecosystems.</w:t>
      </w:r>
      <w:r>
        <w:t xml:space="preserve"> </w:t>
      </w:r>
      <w:r>
        <w:rPr>
          <w:i/>
          <w:iCs/>
        </w:rPr>
        <w:t xml:space="preserve">Landsc. Ecol.</w:t>
      </w:r>
      <w:r>
        <w:t xml:space="preserve"> </w:t>
      </w:r>
      <w:r>
        <w:t xml:space="preserve">40, 37</w:t>
      </w:r>
    </w:p>
    <w:bookmarkEnd w:id="78"/>
    <w:bookmarkStart w:id="79" w:name="ref-Kearney2017"/>
    <w:p>
      <w:pPr>
        <w:pStyle w:val="Bibliography"/>
      </w:pPr>
      <w:r>
        <w:t xml:space="preserve">34.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9"/>
    <w:bookmarkStart w:id="80" w:name="ref-Maclean2019"/>
    <w:p>
      <w:pPr>
        <w:pStyle w:val="Bibliography"/>
      </w:pPr>
      <w:r>
        <w:t xml:space="preserve">35.</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0"/>
    <w:bookmarkStart w:id="81" w:name="ref-Kearney2020"/>
    <w:p>
      <w:pPr>
        <w:pStyle w:val="Bibliography"/>
      </w:pPr>
      <w:r>
        <w:t xml:space="preserve">36.</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1"/>
    <w:bookmarkStart w:id="82" w:name="ref-Maclean2021"/>
    <w:p>
      <w:pPr>
        <w:pStyle w:val="Bibliography"/>
      </w:pPr>
      <w:r>
        <w:t xml:space="preserve">37.</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2"/>
    <w:bookmarkStart w:id="83" w:name="ref-Buckley2023"/>
    <w:p>
      <w:pPr>
        <w:pStyle w:val="Bibliography"/>
      </w:pPr>
      <w:r>
        <w:t xml:space="preserve">38.</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83"/>
    <w:bookmarkStart w:id="84" w:name="ref-De_Frenne2024"/>
    <w:p>
      <w:pPr>
        <w:pStyle w:val="Bibliography"/>
      </w:pPr>
      <w:r>
        <w:t xml:space="preserve">39.</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84"/>
    <w:bookmarkStart w:id="85" w:name="ref-Levy2016"/>
    <w:p>
      <w:pPr>
        <w:pStyle w:val="Bibliography"/>
      </w:pPr>
      <w:r>
        <w:t xml:space="preserve">40.</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85"/>
    <w:bookmarkStart w:id="86" w:name="ref-Manzoni2022"/>
    <w:p>
      <w:pPr>
        <w:pStyle w:val="Bibliography"/>
      </w:pPr>
      <w:r>
        <w:t xml:space="preserve">41.</w:t>
      </w:r>
      <w:r>
        <w:t xml:space="preserve"> </w:t>
      </w:r>
      <w:r>
        <w:t xml:space="preserve">	</w:t>
      </w:r>
      <w:r>
        <w:t xml:space="preserve">Manzoni, S.</w:t>
      </w:r>
      <w:r>
        <w:t xml:space="preserve"> </w:t>
      </w:r>
      <w:r>
        <w:rPr>
          <w:i/>
          <w:iCs/>
        </w:rPr>
        <w:t xml:space="preserve">et al.</w:t>
      </w:r>
      <w:r>
        <w:t xml:space="preserve"> </w:t>
      </w:r>
      <w:r>
        <w:t xml:space="preserve">(2022) Consistent responses of vegetation gas exchange to elevated atmospheric</w:t>
      </w:r>
      <w:r>
        <w:t xml:space="preserve"> </w:t>
      </w:r>
      <w:r>
        <w:t xml:space="preserve">CO</w:t>
      </w:r>
      <w:r>
        <w:t xml:space="preserve"> </w:t>
      </w:r>
      <w:r>
        <w:t xml:space="preserve">2 emerge from heuristic and optimization models.</w:t>
      </w:r>
      <w:r>
        <w:t xml:space="preserve"> </w:t>
      </w:r>
      <w:r>
        <w:rPr>
          <w:i/>
          <w:iCs/>
        </w:rPr>
        <w:t xml:space="preserve">Biogeosciences</w:t>
      </w:r>
      <w:r>
        <w:t xml:space="preserve"> </w:t>
      </w:r>
      <w:r>
        <w:t xml:space="preserve">19, 4387–4414</w:t>
      </w:r>
    </w:p>
    <w:bookmarkEnd w:id="86"/>
    <w:bookmarkStart w:id="87" w:name="ref-Porter1973"/>
    <w:p>
      <w:pPr>
        <w:pStyle w:val="Bibliography"/>
      </w:pPr>
      <w:r>
        <w:t xml:space="preserve">42.</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87"/>
    <w:bookmarkStart w:id="88" w:name="ref-Porter1969"/>
    <w:p>
      <w:pPr>
        <w:pStyle w:val="Bibliography"/>
      </w:pPr>
      <w:r>
        <w:t xml:space="preserve">43.</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88"/>
    <w:bookmarkStart w:id="89" w:name="ref-Riddell2017"/>
    <w:p>
      <w:pPr>
        <w:pStyle w:val="Bibliography"/>
      </w:pPr>
      <w:r>
        <w:t xml:space="preserve">44.</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89"/>
    <w:bookmarkStart w:id="90" w:name="ref-Duursma2015"/>
    <w:p>
      <w:pPr>
        <w:pStyle w:val="Bibliography"/>
      </w:pPr>
      <w:r>
        <w:t xml:space="preserve">45.</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0"/>
    <w:bookmarkStart w:id="91" w:name="ref-Briscoe2022"/>
    <w:p>
      <w:pPr>
        <w:pStyle w:val="Bibliography"/>
      </w:pPr>
      <w:r>
        <w:t xml:space="preserve">46.</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91"/>
    <w:bookmarkStart w:id="92" w:name="ref-Loughran2020"/>
    <w:p>
      <w:pPr>
        <w:pStyle w:val="Bibliography"/>
      </w:pPr>
      <w:r>
        <w:t xml:space="preserve">47.</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92"/>
    <w:bookmarkStart w:id="93" w:name="ref-Sharpe2022"/>
    <w:p>
      <w:pPr>
        <w:pStyle w:val="Bibliography"/>
      </w:pPr>
      <w:r>
        <w:t xml:space="preserve">48.</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93"/>
    <w:bookmarkStart w:id="94" w:name="ref-Drake2018"/>
    <w:p>
      <w:pPr>
        <w:pStyle w:val="Bibliography"/>
      </w:pPr>
      <w:r>
        <w:t xml:space="preserve">49.</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4"/>
    <w:bookmarkStart w:id="95"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95"/>
    <w:bookmarkStart w:id="96"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96"/>
    <w:bookmarkStart w:id="97"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97"/>
    <w:bookmarkStart w:id="98"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98"/>
    <w:bookmarkStart w:id="99"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99"/>
    <w:bookmarkStart w:id="100" w:name="ref-Marchin2022"/>
    <w:p>
      <w:pPr>
        <w:pStyle w:val="Bibliography"/>
      </w:pPr>
      <w:r>
        <w:t xml:space="preserve">55.</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00"/>
    <w:bookmarkStart w:id="101" w:name="ref-Youngblood2025"/>
    <w:p>
      <w:pPr>
        <w:pStyle w:val="Bibliography"/>
      </w:pPr>
      <w:r>
        <w:t xml:space="preserve">56.</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01"/>
    <w:bookmarkStart w:id="102" w:name="ref-Chouhan2023"/>
    <w:p>
      <w:pPr>
        <w:pStyle w:val="Bibliography"/>
      </w:pPr>
      <w:r>
        <w:t xml:space="preserve">57.</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2"/>
    <w:bookmarkStart w:id="103" w:name="ref-Liu2025"/>
    <w:p>
      <w:pPr>
        <w:pStyle w:val="Bibliography"/>
      </w:pPr>
      <w:r>
        <w:t xml:space="preserve">58.</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3"/>
    <w:bookmarkStart w:id="104" w:name="ref-Marquez2007"/>
    <w:p>
      <w:pPr>
        <w:pStyle w:val="Bibliography"/>
      </w:pPr>
      <w:r>
        <w:t xml:space="preserve">59.</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4"/>
    <w:bookmarkStart w:id="105" w:name="ref-Huang2019"/>
    <w:p>
      <w:pPr>
        <w:pStyle w:val="Bibliography"/>
      </w:pPr>
      <w:r>
        <w:t xml:space="preserve">60.</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5"/>
    <w:bookmarkStart w:id="106" w:name="ref-Dastogeer2022"/>
    <w:p>
      <w:pPr>
        <w:pStyle w:val="Bibliography"/>
      </w:pPr>
      <w:r>
        <w:t xml:space="preserve">61.</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6"/>
    <w:bookmarkStart w:id="107" w:name="ref-Hoang2019"/>
    <w:p>
      <w:pPr>
        <w:pStyle w:val="Bibliography"/>
      </w:pPr>
      <w:r>
        <w:t xml:space="preserve">62.</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07"/>
    <w:bookmarkStart w:id="108" w:name="ref-Gehman2019"/>
    <w:p>
      <w:pPr>
        <w:pStyle w:val="Bibliography"/>
      </w:pPr>
      <w:r>
        <w:t xml:space="preserve">63.</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108"/>
    <w:bookmarkStart w:id="109" w:name="ref-Nisbet2000"/>
    <w:p>
      <w:pPr>
        <w:pStyle w:val="Bibliography"/>
      </w:pPr>
      <w:r>
        <w:t xml:space="preserve">64.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09"/>
    <w:bookmarkStart w:id="110" w:name="ref-Jager2020"/>
    <w:p>
      <w:pPr>
        <w:pStyle w:val="Bibliography"/>
      </w:pPr>
      <w:r>
        <w:t xml:space="preserve">65.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0"/>
    <w:bookmarkStart w:id="111" w:name="ref-Haberle2025"/>
    <w:p>
      <w:pPr>
        <w:pStyle w:val="Bibliography"/>
      </w:pPr>
      <w:r>
        <w:t xml:space="preserve">66.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111"/>
    <w:bookmarkStart w:id="112" w:name="ref-Kearney2013"/>
    <w:p>
      <w:pPr>
        <w:pStyle w:val="Bibliography"/>
      </w:pPr>
      <w:r>
        <w:t xml:space="preserve">67.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2"/>
    <w:bookmarkStart w:id="113" w:name="ref-Kearney2010"/>
    <w:p>
      <w:pPr>
        <w:pStyle w:val="Bibliography"/>
      </w:pPr>
      <w:r>
        <w:t xml:space="preserve">68.</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13"/>
    <w:bookmarkStart w:id="114" w:name="ref-Russo2022"/>
    <w:p>
      <w:pPr>
        <w:pStyle w:val="Bibliography"/>
      </w:pPr>
      <w:r>
        <w:t xml:space="preserve">69.</w:t>
      </w:r>
      <w:r>
        <w:t xml:space="preserve"> </w:t>
      </w:r>
      <w:r>
        <w:t xml:space="preserve">	</w:t>
      </w:r>
      <w:r>
        <w:t xml:space="preserve">Russo, S.E.</w:t>
      </w:r>
      <w:r>
        <w:t xml:space="preserve"> </w:t>
      </w:r>
      <w:r>
        <w:rPr>
          <w:i/>
          <w:iCs/>
        </w:rPr>
        <w:t xml:space="preserve">et al.</w:t>
      </w:r>
      <w:r>
        <w:t xml:space="preserve"> </w:t>
      </w:r>
      <w:r>
        <w:t xml:space="preserve">(2022) Dynamic energy budget models: Fertile ground for understanding resource allocation in plants in a changing world.</w:t>
      </w:r>
      <w:r>
        <w:t xml:space="preserve"> </w:t>
      </w:r>
      <w:r>
        <w:rPr>
          <w:i/>
          <w:iCs/>
        </w:rPr>
        <w:t xml:space="preserve">Conserv. Physiol.</w:t>
      </w:r>
      <w:r>
        <w:t xml:space="preserve"> </w:t>
      </w:r>
      <w:r>
        <w:t xml:space="preserve">10, coac061</w:t>
      </w:r>
    </w:p>
    <w:bookmarkEnd w:id="114"/>
    <w:bookmarkStart w:id="115" w:name="ref-Marques2018"/>
    <w:p>
      <w:pPr>
        <w:pStyle w:val="Bibliography"/>
      </w:pPr>
      <w:r>
        <w:t xml:space="preserve">70.</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15"/>
    <w:bookmarkStart w:id="116" w:name="ref-Kooijman2021"/>
    <w:p>
      <w:pPr>
        <w:pStyle w:val="Bibliography"/>
      </w:pPr>
      <w:r>
        <w:t xml:space="preserve">71.</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16"/>
    <w:bookmarkStart w:id="117" w:name="ref-Bruggeman2009"/>
    <w:p>
      <w:pPr>
        <w:pStyle w:val="Bibliography"/>
      </w:pPr>
      <w:r>
        <w:t xml:space="preserve">72.</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17"/>
    <w:bookmarkStart w:id="118" w:name="ref-Kearney2020a"/>
    <w:p>
      <w:pPr>
        <w:pStyle w:val="Bibliography"/>
      </w:pPr>
      <w:r>
        <w:t xml:space="preserve">73.</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18"/>
    <w:bookmarkStart w:id="119" w:name="ref-Chesson2000"/>
    <w:p>
      <w:pPr>
        <w:pStyle w:val="Bibliography"/>
      </w:pPr>
      <w:r>
        <w:t xml:space="preserve">74.</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19"/>
    <w:bookmarkStart w:id="120" w:name="ref-Ricker1954a"/>
    <w:p>
      <w:pPr>
        <w:pStyle w:val="Bibliography"/>
      </w:pPr>
      <w:r>
        <w:t xml:space="preserve">75.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0"/>
    <w:bookmarkStart w:id="121" w:name="ref-Beverton2012"/>
    <w:p>
      <w:pPr>
        <w:pStyle w:val="Bibliography"/>
      </w:pPr>
      <w:r>
        <w:t xml:space="preserve">76.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1"/>
    <w:bookmarkStart w:id="122" w:name="ref-Bimler2024"/>
    <w:p>
      <w:pPr>
        <w:pStyle w:val="Bibliography"/>
      </w:pPr>
      <w:r>
        <w:t xml:space="preserve">77.</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22"/>
    <w:bookmarkStart w:id="123" w:name="ref-Mayfield2017"/>
    <w:p>
      <w:pPr>
        <w:pStyle w:val="Bibliography"/>
      </w:pPr>
      <w:r>
        <w:t xml:space="preserve">78.</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23"/>
    <w:bookmarkStart w:id="124" w:name="ref-Buche2025"/>
    <w:p>
      <w:pPr>
        <w:pStyle w:val="Bibliography"/>
      </w:pPr>
      <w:r>
        <w:t xml:space="preserve">79.</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24"/>
    <w:bookmarkStart w:id="125" w:name="ref-Martyn2021"/>
    <w:p>
      <w:pPr>
        <w:pStyle w:val="Bibliography"/>
      </w:pPr>
      <w:r>
        <w:t xml:space="preserve">80.</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25"/>
    <w:bookmarkStart w:id="126" w:name="ref-Chevin2017"/>
    <w:p>
      <w:pPr>
        <w:pStyle w:val="Bibliography"/>
      </w:pPr>
      <w:r>
        <w:t xml:space="preserve">81.</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26"/>
    <w:bookmarkStart w:id="127" w:name="ref-Urban2024"/>
    <w:p>
      <w:pPr>
        <w:pStyle w:val="Bibliography"/>
      </w:pPr>
      <w:r>
        <w:t xml:space="preserve">82.</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27"/>
    <w:bookmarkStart w:id="128" w:name="ref-Hoffmann2011"/>
    <w:p>
      <w:pPr>
        <w:pStyle w:val="Bibliography"/>
      </w:pPr>
      <w:r>
        <w:t xml:space="preserve">83.</w:t>
      </w:r>
      <w:r>
        <w:t xml:space="preserve"> </w:t>
      </w:r>
      <w:r>
        <w:t xml:space="preserve">	</w:t>
      </w:r>
      <w:r>
        <w:t xml:space="preserve">Hoffmann, A.A. and Sgrò, C.M. (2011) Climate change and evolutionary adaptation. 470, 479–485</w:t>
      </w:r>
    </w:p>
    <w:bookmarkEnd w:id="128"/>
    <w:bookmarkStart w:id="129" w:name="ref-Hoffmann2022"/>
    <w:p>
      <w:pPr>
        <w:pStyle w:val="Bibliography"/>
      </w:pPr>
      <w:r>
        <w:t xml:space="preserve">84.</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29"/>
    <w:bookmarkStart w:id="130" w:name="ref-Ghalambor2015"/>
    <w:p>
      <w:pPr>
        <w:pStyle w:val="Bibliography"/>
      </w:pPr>
      <w:r>
        <w:t xml:space="preserve">85.</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0"/>
    <w:bookmarkStart w:id="131" w:name="ref-Oostra2018"/>
    <w:p>
      <w:pPr>
        <w:pStyle w:val="Bibliography"/>
      </w:pPr>
      <w:r>
        <w:t xml:space="preserve">86.</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1"/>
    <w:bookmarkStart w:id="132" w:name="ref-Noble2019"/>
    <w:p>
      <w:pPr>
        <w:pStyle w:val="Bibliography"/>
      </w:pPr>
      <w:r>
        <w:t xml:space="preserve">87.</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32"/>
    <w:bookmarkStart w:id="133" w:name="ref-Sousa2010"/>
    <w:p>
      <w:pPr>
        <w:pStyle w:val="Bibliography"/>
      </w:pPr>
      <w:r>
        <w:t xml:space="preserve">88.</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33"/>
    <w:bookmarkStart w:id="134" w:name="ref-Lande1979"/>
    <w:p>
      <w:pPr>
        <w:pStyle w:val="Bibliography"/>
      </w:pPr>
      <w:r>
        <w:t xml:space="preserve">89.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34"/>
    <w:bookmarkStart w:id="135" w:name="ref-Walsh2018"/>
    <w:p>
      <w:pPr>
        <w:pStyle w:val="Bibliography"/>
      </w:pPr>
      <w:r>
        <w:t xml:space="preserve">90.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35"/>
    <w:bookmarkStart w:id="136" w:name="ref-Baeza_Icaza2025"/>
    <w:p>
      <w:pPr>
        <w:pStyle w:val="Bibliography"/>
      </w:pPr>
      <w:r>
        <w:t xml:space="preserve">91.</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36"/>
    <w:bookmarkStart w:id="137" w:name="ref-Kearney2009a"/>
    <w:p>
      <w:pPr>
        <w:pStyle w:val="Bibliography"/>
      </w:pPr>
      <w:r>
        <w:t xml:space="preserve">92.</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7"/>
    <w:bookmarkStart w:id="138" w:name="ref-Ellner2011"/>
    <w:p>
      <w:pPr>
        <w:pStyle w:val="Bibliography"/>
      </w:pPr>
      <w:r>
        <w:t xml:space="preserve">93.</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38"/>
    <w:bookmarkStart w:id="139" w:name="ref-Pottier2022a"/>
    <w:p>
      <w:pPr>
        <w:pStyle w:val="Bibliography"/>
      </w:pPr>
      <w:r>
        <w:t xml:space="preserve">94.</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39"/>
    <w:bookmarkStart w:id="140" w:name="ref-Leiva2024b"/>
    <w:p>
      <w:pPr>
        <w:pStyle w:val="Bibliography"/>
      </w:pPr>
      <w:r>
        <w:t xml:space="preserve">95.</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0"/>
    <w:bookmarkStart w:id="141" w:name="ref-Arnold2019a"/>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1"/>
    <w:bookmarkStart w:id="142" w:name="ref-Arnold2024"/>
    <w:p>
      <w:pPr>
        <w:pStyle w:val="Bibliography"/>
      </w:pPr>
      <w:r>
        <w:t xml:space="preserve">97.</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42"/>
    <w:bookmarkStart w:id="143" w:name="ref-Assessment_undated-fv"/>
    <w:p>
      <w:pPr>
        <w:pStyle w:val="Bibliography"/>
      </w:pPr>
      <w:r>
        <w:t xml:space="preserve">98.</w:t>
      </w:r>
      <w:r>
        <w:t xml:space="preserve"> </w:t>
      </w:r>
      <w:r>
        <w:t xml:space="preserve">	</w:t>
      </w:r>
      <w:r>
        <w:t xml:space="preserve">Assessment, M.E. (2005) Opportunities and challenges for business and industryunioviedo.es</w:t>
      </w:r>
    </w:p>
    <w:bookmarkEnd w:id="143"/>
    <w:bookmarkStart w:id="144" w:name="ref-Dandy2019"/>
    <w:p>
      <w:pPr>
        <w:pStyle w:val="Bibliography"/>
      </w:pPr>
      <w:r>
        <w:t xml:space="preserve">99.</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44"/>
    <w:bookmarkStart w:id="145" w:name="ref-Price2014"/>
    <w:p>
      <w:pPr>
        <w:pStyle w:val="Bibliography"/>
      </w:pPr>
      <w:r>
        <w:t xml:space="preserve">100.</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45"/>
    <w:bookmarkStart w:id="146" w:name="ref-Leviston2018"/>
    <w:p>
      <w:pPr>
        <w:pStyle w:val="Bibliography"/>
      </w:pPr>
      <w:r>
        <w:t xml:space="preserve">101.</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46"/>
    <w:bookmarkStart w:id="147" w:name="ref-Bai2016"/>
    <w:p>
      <w:pPr>
        <w:pStyle w:val="Bibliography"/>
      </w:pPr>
      <w:r>
        <w:t xml:space="preserve">102.</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47"/>
    <w:bookmarkStart w:id="148" w:name="ref-Grimm2008"/>
    <w:p>
      <w:pPr>
        <w:pStyle w:val="Bibliography"/>
      </w:pPr>
      <w:r>
        <w:t xml:space="preserve">103.</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48"/>
    <w:bookmarkStart w:id="149" w:name="ref-Hendricks2022"/>
    <w:p>
      <w:pPr>
        <w:pStyle w:val="Bibliography"/>
      </w:pPr>
      <w:r>
        <w:t xml:space="preserve">104.</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49"/>
    <w:bookmarkStart w:id="150" w:name="ref-Sutanto2020"/>
    <w:p>
      <w:pPr>
        <w:pStyle w:val="Bibliography"/>
      </w:pPr>
      <w:r>
        <w:t xml:space="preserve">105.</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50"/>
    <w:bookmarkStart w:id="151" w:name="ref-Liu2007"/>
    <w:p>
      <w:pPr>
        <w:pStyle w:val="Bibliography"/>
      </w:pPr>
      <w:r>
        <w:t xml:space="preserve">106.</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51"/>
    <w:bookmarkStart w:id="152" w:name="ref-Black2011"/>
    <w:p>
      <w:pPr>
        <w:pStyle w:val="Bibliography"/>
      </w:pPr>
      <w:r>
        <w:t xml:space="preserve">107.</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2"/>
    <w:bookmarkStart w:id="153" w:name="ref-Neil_Adger1999"/>
    <w:p>
      <w:pPr>
        <w:pStyle w:val="Bibliography"/>
      </w:pPr>
      <w:r>
        <w:t xml:space="preserve">108.</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3"/>
    <w:bookmarkStart w:id="154" w:name="ref-Folke2016"/>
    <w:p>
      <w:pPr>
        <w:pStyle w:val="Bibliography"/>
      </w:pPr>
      <w:r>
        <w:t xml:space="preserve">109.</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4"/>
    <w:bookmarkStart w:id="155" w:name="ref-Schluter2012"/>
    <w:p>
      <w:pPr>
        <w:pStyle w:val="Bibliography"/>
      </w:pPr>
      <w:r>
        <w:t xml:space="preserve">110.</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55"/>
    <w:bookmarkStart w:id="156" w:name="ref-Wise2014"/>
    <w:p>
      <w:pPr>
        <w:pStyle w:val="Bibliography"/>
      </w:pPr>
      <w:r>
        <w:t xml:space="preserve">111.</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56"/>
    <w:bookmarkStart w:id="157" w:name="ref-Biggs2021"/>
    <w:p>
      <w:pPr>
        <w:pStyle w:val="Bibliography"/>
      </w:pPr>
      <w:r>
        <w:t xml:space="preserve">112.</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57"/>
    <w:bookmarkStart w:id="158" w:name="ref-Brown2021"/>
    <w:p>
      <w:pPr>
        <w:pStyle w:val="Bibliography"/>
      </w:pPr>
      <w:r>
        <w:t xml:space="preserve">113.</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58"/>
    <w:bookmarkStart w:id="159" w:name="ref-Kwakkel2013"/>
    <w:p>
      <w:pPr>
        <w:pStyle w:val="Bibliography"/>
      </w:pPr>
      <w:r>
        <w:t xml:space="preserve">114.</w:t>
      </w:r>
      <w:r>
        <w:t xml:space="preserve"> </w:t>
      </w:r>
      <w:r>
        <w:t xml:space="preserve">	</w:t>
      </w:r>
      <w:r>
        <w:t xml:space="preserve">Kwakkel, J.H. and Pruyt, E. (2013) Exploratory modeling and analysis, an approach for model-based foresight under deep uncertainty.</w:t>
      </w:r>
      <w:r>
        <w:t xml:space="preserve"> </w:t>
      </w:r>
      <w:r>
        <w:rPr>
          <w:i/>
          <w:iCs/>
        </w:rPr>
        <w:t xml:space="preserve">Technol. Forecast. Soc. Change</w:t>
      </w:r>
      <w:r>
        <w:t xml:space="preserve"> </w:t>
      </w:r>
      <w:r>
        <w:t xml:space="preserve">80, 419–431</w:t>
      </w:r>
    </w:p>
    <w:bookmarkEnd w:id="159"/>
    <w:bookmarkStart w:id="160" w:name="ref-Shekhawat2022"/>
    <w:p>
      <w:pPr>
        <w:pStyle w:val="Bibliography"/>
      </w:pPr>
      <w:r>
        <w:t xml:space="preserve">115.</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60"/>
    <w:bookmarkEnd w:id="161"/>
    <w:p>
      <w:pPr>
        <w:pStyle w:val="BodyText"/>
      </w:pPr>
    </w:p>
    <w:bookmarkEnd w:id="162"/>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8"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28"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2025-06-04T06:04:15Z</dcterms:created>
  <dcterms:modified xsi:type="dcterms:W3CDTF">2025-06-04T06:04:15Z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