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4</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Adrienne Nicotra</w:t>
      </w:r>
      <w:r>
        <w:rPr>
          <w:vertAlign w:val="superscript"/>
        </w:rPr>
        <w:t xml:space="preserve">1,4</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plant and animal performance, resulting in reduced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diverse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bookmarkEnd w:id="21"/>
    <w:bookmarkStart w:id="26" w:name="X2b97b971c201f11017c10c1d6e4dbfd69043166"/>
    <w:p>
      <w:pPr>
        <w:pStyle w:val="Heading1"/>
      </w:pPr>
      <w:r>
        <w:t xml:space="preserve">A systems-modelling approach to modelling biotic impacts of heatwaves</w:t>
      </w:r>
    </w:p>
    <w:p>
      <w:pPr>
        <w:pStyle w:val="FirstParagraph"/>
      </w:pPr>
      <w:r>
        <w:t xml:space="preserve">We propose a systems-modelling approach to model biotic impacts of heatwaves (</w:t>
      </w:r>
      <w:hyperlink w:anchor="fig-sys">
        <w:r>
          <w:rPr>
            <w:rStyle w:val="Hyperlink"/>
          </w:rPr>
          <w:t xml:space="preserve">Figure 1</w:t>
        </w:r>
      </w:hyperlink>
      <w:r>
        <w:t xml:space="preserve">),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w:t>
      </w:r>
      <w:r>
        <w:t xml:space="preserve"> </w:t>
      </w:r>
      <w:r>
        <w:t xml:space="preserve">‘</w:t>
      </w:r>
      <w:r>
        <w:t xml:space="preserve">microclimates</w:t>
      </w:r>
      <w:r>
        <w:t xml:space="preserve">’</w:t>
      </w:r>
      <w:r>
        <w:t xml:space="preserve"> </w:t>
      </w:r>
      <w:r>
        <w:t xml:space="preserve">–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 In the next sections, we outline new developments that enable us to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p>
      <w:pPr>
        <w:pStyle w:val="FirstParagraph"/>
      </w:pPr>
      <w:r>
        <w:t xml:space="preserve">An understanding of heatwave impacts on biology requires environmental inputs about weather conditions. These data may come from weather stations or models. Weather station observations of air temperature, radiation, wind speed, cloud cover and humidity are readily available as raw timeseries from the stations themselves, and as interpolated products such as WorldClim</w:t>
      </w:r>
      <w:r>
        <w:t xml:space="preserve"> </w:t>
      </w:r>
      <w:r>
        <w:t xml:space="preserve">[24]</w:t>
      </w:r>
      <w:r>
        <w:t xml:space="preserve">.</w:t>
      </w:r>
    </w:p>
    <w:p>
      <w:pPr>
        <w:pStyle w:val="BodyText"/>
      </w:pPr>
      <w:r>
        <w:t xml:space="preserve">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w:t>
      </w:r>
      <w:r>
        <w:rPr>
          <w:b/>
          <w:bCs/>
        </w:rPr>
        <w:t xml:space="preserve">Belinda – add something more here?</w:t>
      </w:r>
      <w:r>
        <w:t xml:space="preserve">). Historical analyses are facilitated by GCMs via</w:t>
      </w:r>
      <w:r>
        <w:t xml:space="preserve"> </w:t>
      </w:r>
      <w:r>
        <w:t xml:space="preserve">‘</w:t>
      </w:r>
      <w:r>
        <w:t xml:space="preserve">reanalysis</w:t>
      </w:r>
      <w:r>
        <w:t xml:space="preserve">’</w:t>
      </w:r>
      <w:r>
        <w:t xml:space="preserve"> </w:t>
      </w:r>
      <w:r>
        <w:t xml:space="preserve">datasets produced by calibrating GCMs with observations to produce continuous gridded weather data, including</w:t>
      </w:r>
      <w:r>
        <w:t xml:space="preserve"> </w:t>
      </w:r>
      <w:r>
        <w:t xml:space="preserve">‘</w:t>
      </w:r>
      <w:r>
        <w:t xml:space="preserve">surface</w:t>
      </w:r>
      <w:r>
        <w:t xml:space="preserve">’</w:t>
      </w:r>
      <w:r>
        <w:t xml:space="preserve"> </w:t>
      </w:r>
      <w:r>
        <w:t xml:space="preserve">temperatures, soil temperatures and profiles of temperature, pressure, wind speed and humidity at different levels in the atmosphere</w:t>
      </w:r>
      <w:r>
        <w:t xml:space="preserve"> </w:t>
      </w:r>
      <w:r>
        <w:t xml:space="preserve">[25–29]</w:t>
      </w:r>
      <w:r>
        <w:t xml:space="preserve">. The most state-of-the-art of these are ERA5 and ERA5-Land, hourly products at ~31km and ~9km resolutions, respectively.</w:t>
      </w:r>
    </w:p>
    <w:p>
      <w:pPr>
        <w:pStyle w:val="BodyText"/>
      </w:pPr>
      <w:r>
        <w:t xml:space="preserve">Historically, GCMs were coded in fast but inflexible languages like Fortran and C. The emergence of the Julia language</w:t>
      </w:r>
      <w:r>
        <w:t xml:space="preserve"> </w:t>
      </w:r>
      <w:r>
        <w:t xml:space="preserve">[30]</w:t>
      </w:r>
      <w:r>
        <w:t xml:space="preserve"> </w:t>
      </w:r>
      <w:r>
        <w:t xml:space="preserve">for scientific computing has created an opportunity to rebuild climate models in a more modular manner, allowing easier interfacing between discipline-specific models and easier integration of the massive emerging power of AI for data assimilation and machine learning</w:t>
      </w:r>
      <w:r>
        <w:t xml:space="preserve"> </w:t>
      </w:r>
      <w:r>
        <w:t xml:space="preserve">[31]</w:t>
      </w:r>
      <w:r>
        <w:t xml:space="preserve">.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bookmarkEnd w:id="27"/>
    <w:bookmarkStart w:id="29" w:name="X4da05dea4acdb2054c1e59c2f12913febac8a0c"/>
    <w:p>
      <w:pPr>
        <w:pStyle w:val="Heading1"/>
      </w:pPr>
      <w:r>
        <w:t xml:space="preserve">From weather to microclimates: predicting community wide exposure to extreme heat</w:t>
      </w:r>
    </w:p>
    <w:p>
      <w:pPr>
        <w:pStyle w:val="FirstParagraph"/>
      </w:pPr>
      <w:r>
        <w:t xml:space="preserve">Extreme weather events are experienced differently across species in a community. For example, while air temperature may be 50°C, an organism a metre below the soil surface may be 25°C cooler (</w:t>
      </w:r>
      <w:hyperlink w:anchor="fig-sys">
        <w:r>
          <w:rPr>
            <w:rStyle w:val="Hyperlink"/>
          </w:rPr>
          <w:t xml:space="preserve">Figure 1</w:t>
        </w:r>
      </w:hyperlink>
      <w:r>
        <w:t xml:space="preserve">).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may have led to leaf loss and hence increased radiation exposure of the soil surface, while stomatal behavior alters transpiration and hence soil moisture conditions. Strong</w:t>
      </w:r>
      <w:r>
        <w:t xml:space="preserve"> </w:t>
      </w:r>
      <w:r>
        <w:t xml:space="preserve">‘</w:t>
      </w:r>
      <w:r>
        <w:t xml:space="preserve">memory</w:t>
      </w:r>
      <w:r>
        <w:t xml:space="preserve">’</w:t>
      </w:r>
      <w:r>
        <w:t xml:space="preserve"> </w:t>
      </w:r>
      <w:r>
        <w:t xml:space="preserve">effects of past weather conditions can determine how a given heat wave manifests through a habitat, so the same atmospheric heat wave conditions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pPr>
        <w:pStyle w:val="BodyText"/>
      </w:pPr>
      <w:r>
        <w:t xml:space="preserve">To some extent, the GCMs described in the previous section have these dynamics built into them via modules called</w:t>
      </w:r>
      <w:r>
        <w:t xml:space="preserve"> </w:t>
      </w:r>
      <w:r>
        <w:t xml:space="preserve">‘</w:t>
      </w:r>
      <w:r>
        <w:t xml:space="preserve">land-surface models</w:t>
      </w:r>
      <w:r>
        <w:t xml:space="preserve">’</w:t>
      </w:r>
      <w:r>
        <w:t xml:space="preserve"> </w:t>
      </w:r>
      <w:r>
        <w:t xml:space="preserve">(LSMs), which aim to capture feedbacks between the land surface and associated vegetation. These LSMs will at minimum represent air, soil and canopy temperatures. LSMs that represent the plant canopy with multiple layers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w:t>
      </w:r>
      <w:r>
        <w:t xml:space="preserve"> </w:t>
      </w:r>
      <w:r>
        <w:t xml:space="preserve">[e.g. 32]</w:t>
      </w:r>
      <w:r>
        <w:t xml:space="preserve">.</w:t>
      </w:r>
    </w:p>
    <w:p>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humidity, soil temperature and soil moisture vary on centimeter scales. The available models vary in the processes they incorporate and the extent that they use physical first principles</w:t>
      </w:r>
      <w:r>
        <w:t xml:space="preserve"> </w:t>
      </w:r>
      <w:r>
        <w:t xml:space="preserve">[33–39]</w:t>
      </w:r>
      <w:r>
        <w:t xml:space="preserve">. Our</w:t>
      </w:r>
      <w:r>
        <w:t xml:space="preserve"> </w:t>
      </w:r>
      <w:hyperlink r:id="rId28">
        <w:r>
          <w:rPr>
            <w:rStyle w:val="Hyperlink"/>
            <w:i/>
            <w:iCs/>
          </w:rPr>
          <w:t xml:space="preserve">Supplementary Online Material</w:t>
        </w:r>
      </w:hyperlink>
      <w:r>
        <w:t xml:space="preserve"> </w:t>
      </w:r>
      <w:r>
        <w:t xml:space="preserve">provides a tutorial on how to use the</w:t>
      </w:r>
      <w:r>
        <w:t xml:space="preserve"> </w:t>
      </w:r>
      <w:r>
        <w:rPr>
          <w:i/>
          <w:iCs/>
        </w:rPr>
        <w:t xml:space="preserve">NicheMapR</w:t>
      </w:r>
      <w:r>
        <w:t xml:space="preserve"> </w:t>
      </w:r>
      <w:r>
        <w:t xml:space="preserve">model</w:t>
      </w:r>
      <w:r>
        <w:t xml:space="preserve"> </w:t>
      </w:r>
      <w:r>
        <w:t xml:space="preserve">[33,35]</w:t>
      </w:r>
      <w:r>
        <w:t xml:space="preserve"> </w:t>
      </w:r>
      <w:r>
        <w:t xml:space="preserve">to predict microclimates from climate data.</w:t>
      </w:r>
    </w:p>
    <w:p>
      <w:pPr>
        <w:pStyle w:val="BodyText"/>
      </w:pPr>
      <w:r>
        <w:t xml:space="preserve">The above advanced create opportunities to more closely couple the dynamics of the atmosphere and vegetation with microclimate models. In particular, plant water use dynamics during heatwaves can amplify or reduce high temperatures via effects on photosynthetic capacity, stomatal decoupling, cuticular conductance, leaf damage and plant mortality. These impacts obviously are important for the plants themselves, but also for thermal regimes within the plant canopy. Thus, forecasting future thermal regimes also involves forecasting future vegetation dynamics, with interesting challenges that include interactions between high LAI and canopy shading</w:t>
      </w:r>
      <w:r>
        <w:t xml:space="preserve"> </w:t>
      </w:r>
      <w:r>
        <w:t xml:space="preserve">[40]</w:t>
      </w:r>
      <w:r>
        <w:t xml:space="preserve">.</w:t>
      </w:r>
    </w:p>
    <w:bookmarkEnd w:id="29"/>
    <w:bookmarkStart w:id="30" w:name="X5a6e6d313f4187bfc77082e5e5979262b26b081"/>
    <w:p>
      <w:pPr>
        <w:pStyle w:val="Heading1"/>
      </w:pPr>
      <w:r>
        <w:t xml:space="preserve">Translating exposure to organism temperature: biophysics to the rescue!</w:t>
      </w:r>
    </w:p>
    <w:p>
      <w:pPr>
        <w:pStyle w:val="FirstParagraph"/>
      </w:pPr>
      <w:r>
        <w:t xml:space="preserve">Once microclimates are quantified, it is now straight-forward to compute heat-budgets of organisms as a function of their traits using the principles of biophysical ecology. Biophysical models have a long history</w:t>
      </w:r>
      <w:r>
        <w:t xml:space="preserve"> </w:t>
      </w:r>
      <w:r>
        <w:t xml:space="preserve">[e.g. 41,42]</w:t>
      </w:r>
      <w:r>
        <w:t xml:space="preserve"> </w:t>
      </w:r>
      <w:r>
        <w:t xml:space="preserve">but have become more widely applied in ecology in the past 20 years, facilitated by developments in environmental datasets, microclimate modelling, and the emergence of high-level programming languages such as R</w:t>
      </w:r>
      <w:r>
        <w:t xml:space="preserve"> </w:t>
      </w:r>
      <w:r>
        <w:t xml:space="preserve">[20]</w:t>
      </w:r>
      <w:r>
        <w:t xml:space="preserve">. Biophysical models of ectothermic animals can account for complex radiative heat transfer and the role of evaporative water loss from the skin, breath and eyes</w:t>
      </w:r>
      <w:r>
        <w:t xml:space="preserve"> </w:t>
      </w:r>
      <w:r>
        <w:t xml:space="preserve">[33,43]</w:t>
      </w:r>
      <w:r>
        <w:t xml:space="preserve">. Equivalent models of leaves incorporate the dynamic role of stomata</w:t>
      </w:r>
      <w:r>
        <w:t xml:space="preserve"> </w:t>
      </w:r>
      <w:r>
        <w:t xml:space="preserve">[19,44]</w:t>
      </w:r>
      <w:r>
        <w:t xml:space="preserve">, while models of endotherms can account for the role of insulation and metabolic heat production</w:t>
      </w:r>
      <w:r>
        <w:t xml:space="preserve"> </w:t>
      </w:r>
      <w:r>
        <w:t xml:space="preserve">[45]</w:t>
      </w:r>
      <w:r>
        <w:t xml:space="preserve">. Future development in biophysical modelling of organismal temperature under extreme heat involves understanding the nuances of plastic physiological and behavioral responses. For example, lizards may pant when exposed to high temperatures</w:t>
      </w:r>
      <w:r>
        <w:t xml:space="preserve"> </w:t>
      </w:r>
      <w:r>
        <w:t xml:space="preserve">[46]</w:t>
      </w:r>
      <w:r>
        <w:t xml:space="preserve">, birds may</w:t>
      </w:r>
      <w:r>
        <w:t xml:space="preserve"> </w:t>
      </w:r>
      <w:r>
        <w:t xml:space="preserve">‘</w:t>
      </w:r>
      <w:r>
        <w:t xml:space="preserve">wind surf</w:t>
      </w:r>
      <w:r>
        <w:t xml:space="preserve">’</w:t>
      </w:r>
      <w:r>
        <w:t xml:space="preserve"> </w:t>
      </w:r>
      <w:r>
        <w:t xml:space="preserve">or seek thermal micro-refugia</w:t>
      </w:r>
      <w:r>
        <w:t xml:space="preserve"> </w:t>
      </w:r>
      <w:r>
        <w:t xml:space="preserve">[47]</w:t>
      </w:r>
      <w:r>
        <w:t xml:space="preserve">, and stomatal behavior may depart from the typical responses to vapor pressure and light intensity to allow emergency cooling</w:t>
      </w:r>
      <w:r>
        <w:t xml:space="preserve"> </w:t>
      </w:r>
      <w:r>
        <w:t xml:space="preserve">[48]</w:t>
      </w:r>
      <w:r>
        <w:t xml:space="preserve">, though this response may depend on prior soil moisture conditions</w:t>
      </w:r>
      <w:r>
        <w:t xml:space="preserve"> </w:t>
      </w:r>
      <w:r>
        <w:t xml:space="preserve">[49]</w:t>
      </w:r>
      <w:r>
        <w:t xml:space="preserve">.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bookmarkEnd w:id="30"/>
    <w:bookmarkStart w:id="32"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[21,50]</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w:t>
      </w:r>
      <w:r>
        <w:t xml:space="preserve"> </w:t>
      </w:r>
      <w:r>
        <w:t xml:space="preserve">[e.g. Table 1 in 51]</w:t>
      </w:r>
      <w:r>
        <w:t xml:space="preserve">. Endpoints are predicted by assuming the effect of time at a given temperature decreases survival or fertility exponentially</w:t>
      </w:r>
      <w:r>
        <w:t xml:space="preserve"> </w:t>
      </w:r>
      <w:r>
        <w:t xml:space="preserve">[11,12,21,50]</w:t>
      </w:r>
      <w:r>
        <w:t xml:space="preserve">. For example, Ørsted</w:t>
      </w:r>
      <w:r>
        <w:t xml:space="preserve"> </w:t>
      </w:r>
      <w:r>
        <w:rPr>
          <w:i/>
          <w:iCs/>
        </w:rPr>
        <w:t xml:space="preserve">et al.</w:t>
      </w:r>
      <w:r>
        <w:t xml:space="preserve"> </w:t>
      </w:r>
      <w:r>
        <w:t xml:space="preserve">[12]</w:t>
      </w:r>
      <w:r>
        <w:t xml:space="preserve"> </w:t>
      </w:r>
      <w:r>
        <w:t xml:space="preserve">show that both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[51,52]</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important for understanding how heat waves affect organisms because both processes can result in lagged responses to heat stress – a common feature of extreme heat events</w:t>
      </w:r>
      <w:r>
        <w:t xml:space="preserve"> </w:t>
      </w:r>
      <w:r>
        <w:t xml:space="preserve">[53]</w:t>
      </w:r>
      <w:r>
        <w:t xml:space="preserve">. Once the thermal sensitivity (i.e., the slope</w:t>
      </w:r>
      <w:r>
        <w:t xml:space="preserve"> </w:t>
      </w:r>
      <m:oMath>
        <m:r>
          <m:t>z</m:t>
        </m:r>
      </m:oMath>
      <w:r>
        <w:t xml:space="preserve">, Figure 1) for a particular endpoint has been quantified it can be used to predict the accumulation of damage during stressful temperatures experienced under realistic conditions</w:t>
      </w:r>
      <w:r>
        <w:t xml:space="preserve"> </w:t>
      </w:r>
      <w:r>
        <w:t xml:space="preserve">[11,12,50]</w:t>
      </w:r>
      <w:r>
        <w:t xml:space="preserve">. Several approaches can be used to capture the accumulation of damage</w:t>
      </w:r>
      <w:r>
        <w:t xml:space="preserve"> </w:t>
      </w:r>
      <w:r>
        <w:t xml:space="preserve">[11,12,50]</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1"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endChr m:val=")"/>
                      <m:sepChr m:val=""/>
                      <m:grow/>
                    </m:dPr>
                    <m:e>
                      <m:sSub>
                        <m:e>
                          <m:r>
                            <m:t>t</m:t>
                          </m:r>
                        </m:e>
                        <m:sub>
                          <m:r>
                            <m:t>i</m:t>
                          </m:r>
                          <m:r>
                            <m:rPr>
                              <m:sty m:val="p"/>
                            </m:rPr>
                            <m:t>+</m:t>
                          </m:r>
                          <m:r>
                            <m:t>1</m:t>
                          </m:r>
                        </m:sub>
                      </m:sSub>
                      <m:r>
                        <m:rPr>
                          <m:sty m:val="p"/>
                        </m:rPr>
                        <m:t>−</m:t>
                      </m:r>
                      <m:sSub>
                        <m:e>
                          <m:r>
                            <m:t>t</m:t>
                          </m:r>
                        </m:e>
                        <m:sub>
                          <m:r>
                            <m:t>i</m:t>
                          </m:r>
                        </m:sub>
                      </m:sSub>
                    </m:e>
                  </m:d>
                </m:num>
                <m:den>
                  <m:sSup>
                    <m:e>
                      <m:r>
                        <m:t>10</m:t>
                      </m:r>
                    </m:e>
                    <m:sup>
                      <m:d>
                        <m:dPr>
                          <m:begChr m:val="("/>
                          <m:endChr m:val=")"/>
                          <m:sepChr m:val=""/>
                          <m:grow/>
                        </m:dPr>
                        <m:e>
                          <m:r>
                            <m:rPr>
                              <m:sty m:val="p"/>
                            </m:rPr>
                            <m:t>−</m:t>
                          </m:r>
                          <m:f>
                            <m:fPr>
                              <m:type m:val="bar"/>
                            </m:fPr>
                            <m:num>
                              <m:r>
                                <m:t>1</m:t>
                              </m:r>
                            </m:num>
                            <m:den>
                              <m:r>
                                <m:t>z</m:t>
                              </m:r>
                            </m:den>
                          </m:f>
                          <m:r>
                            <m:rPr>
                              <m:sty m:val="p"/>
                            </m:rPr>
                            <m:t>⋅</m:t>
                          </m:r>
                          <m:r>
                            <m:t>m</m:t>
                          </m:r>
                          <m:r>
                            <m:t>a</m:t>
                          </m:r>
                          <m:r>
                            <m:t>x</m:t>
                          </m:r>
                          <m:d>
                            <m:dPr>
                              <m:begChr m:val="("/>
                              <m:endChr m:val=")"/>
                              <m:sep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endChr m:val=")"/>
              <m:sepChr m:val=""/>
              <m:grow/>
            </m:dPr>
            <m:e>
              <m:r>
                <m:t>1</m:t>
              </m:r>
            </m:e>
          </m:d>
        </m:oMath>
      </m:oMathPara>
      <w:bookmarkEnd w:id="31"/>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Sensitivity to extreme heat is mediated by environmental feedbacks</w:t>
            </w:r>
          </w:p>
          <w:p>
            <w:pPr>
              <w:pStyle w:val="BodyText"/>
            </w:pPr>
            <w:pPr>
              <w:spacing w:before="16"/>
            </w:pPr>
            <w:r>
              <w:t xml:space="preserve">Natural and anthropogenic environmental factors shape thermal sensitivity and should be considered in any systems modelling approach. For example, drought, often associated with periods of extreme heat, can reduce thermal tolerance in plants by reducing influencing their ability to cool through transpiration leading to leaf damage []. Extended periods of water stress (e.g., several days or more) have also been shown to increase thermal sensitivity in insects, reducing the time they could deal with extreme heat</w:t>
            </w:r>
            <w:r>
              <w:t xml:space="preserve"> </w:t>
            </w:r>
            <w:r>
              <w:t xml:space="preserve">[54]</w:t>
            </w:r>
            <w:r>
              <w:t xml:space="preserve">.</w:t>
            </w:r>
          </w:p>
          <w:p>
            <w:pPr>
              <w:pStyle w:val="BodyText"/>
            </w:pPr>
            <w:pPr>
              <w:spacing w:after="16"/>
            </w:pPr>
            <w:r>
              <w:t xml:space="preserve">Heat tolerance of animals and plants can also both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w:t>
            </w:r>
            <w:r>
              <w:t xml:space="preserve"> </w:t>
            </w:r>
            <w:r>
              <w:t xml:space="preserve">[55–57]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[58,59]</w:t>
            </w:r>
            <w:r>
              <w:t xml:space="preserve">. For example,</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[60]</w:t>
            </w:r>
            <w:r>
              <w:t xml:space="preserve">. Moreover, this protective effect can influence the ability of the host to evolve further resistance to the heat shock and harboured more bacteria</w:t>
            </w:r>
            <w:r>
              <w:t xml:space="preserve"> </w:t>
            </w:r>
            <w:r>
              <w:t xml:space="preserve">[61]</w:t>
            </w:r>
            <w:r>
              <w:t xml:space="preserve">.</w:t>
            </w:r>
          </w:p>
        </w:tc>
      </w:tr>
    </w:tbl>
    <w:bookmarkEnd w:id="32"/>
    <w:bookmarkStart w:id="33"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w:t>
      </w:r>
      <w:r>
        <w:t xml:space="preserve"> </w:t>
      </w:r>
      <w:r>
        <w:t xml:space="preserve">[16,62]</w:t>
      </w:r>
      <w:r>
        <w:t xml:space="preserve">. DEB models consider organisms as a thermodynamic system (adhering to energy-mass balance) capturing the exchange of food, water, respiratory gases and metabolic waste throughout the life cycle</w:t>
      </w:r>
      <w:r>
        <w:t xml:space="preserve"> </w:t>
      </w:r>
      <w:r>
        <w:t xml:space="preserve">[20]</w:t>
      </w:r>
      <w:r>
        <w:t xml:space="preserve">. DEB models can translate short-term (hourly) variation in factors, such as temperature, toxins (e.g., toxicants,</w:t>
      </w:r>
      <w:r>
        <w:t xml:space="preserve"> </w:t>
      </w:r>
      <w:r>
        <w:t xml:space="preserve">[64]</w:t>
      </w:r>
      <w:r>
        <w:t xml:space="preserve">) and resource availability (nutrients)</w:t>
      </w:r>
      <w:r>
        <w:t xml:space="preserve"> </w:t>
      </w:r>
      <w:r>
        <w:t xml:space="preserve">[65,66]</w:t>
      </w:r>
      <w:r>
        <w:t xml:space="preserve"> </w:t>
      </w:r>
      <w:r>
        <w:t xml:space="preserve">into long-term (days, months, years) effects on development, growth, reproduction and survival</w:t>
      </w:r>
      <w:r>
        <w:t xml:space="preserve"> </w:t>
      </w:r>
      <w:r>
        <w:t xml:space="preserve">[17,20]</w:t>
      </w:r>
      <w:r>
        <w:t xml:space="preserve">, though they have been applied to plants much less than for animal and microbial systems</w:t>
      </w:r>
      <w:r>
        <w:t xml:space="preserve">[67]</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of an organism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[68,69]</w:t>
      </w:r>
      <w:r>
        <w:t xml:space="preserve"> </w:t>
      </w:r>
      <w:r>
        <w:t xml:space="preserve">and approaches for using DEB theory to model plant growth and performance are being developed</w:t>
      </w:r>
      <w:r>
        <w:t xml:space="preserve"> </w:t>
      </w:r>
      <w:r>
        <w:t xml:space="preserve">[67]</w:t>
      </w:r>
      <w:r>
        <w:t xml:space="preserve">. New analytical approaches using phylogenetic imputation methods allow for models to be developed independently for all species even when data are lacking. These methods show promise in predicting DEB parameters for over 1.3 million species</w:t>
      </w:r>
      <w:r>
        <w:t xml:space="preserve"> </w:t>
      </w:r>
      <w:r>
        <w:t xml:space="preserve">[see, 70]</w:t>
      </w:r>
      <w:r>
        <w:t xml:space="preserve">. In addition, software packages such as</w:t>
      </w:r>
      <w:r>
        <w:t xml:space="preserve"> </w:t>
      </w:r>
      <w:r>
        <w:rPr>
          <w:i/>
          <w:iCs/>
        </w:rPr>
        <w:t xml:space="preserve">NicheMapR</w:t>
      </w:r>
      <w:r>
        <w:t xml:space="preserve"> </w:t>
      </w:r>
      <w:r>
        <w:t xml:space="preserve">[33,71]</w:t>
      </w:r>
      <w:r>
        <w:t xml:space="preserve"> </w:t>
      </w:r>
      <w:r>
        <w:t xml:space="preserve">allow for simulations of life-cycles using parameters for diverse species. From these models key outputs on organisms such as body mass and size, reproductive success and events, along with survival can be used to parameterize vital rates needed for population and community models.</w:t>
      </w:r>
    </w:p>
    <w:bookmarkEnd w:id="33"/>
    <w:bookmarkStart w:id="35"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[72]</w:t>
      </w:r>
      <w:r>
        <w:t xml:space="preserve"> </w:t>
      </w:r>
      <w:r>
        <w:t xml:space="preserve">and Beverton-Holt</w:t>
      </w:r>
      <w:r>
        <w:t xml:space="preserve"> </w:t>
      </w:r>
      <w:r>
        <w:t xml:space="preserve">[73]</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[74]</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[75]</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Integrating eco-evolutionary feedbacks within a systems-modelling framework</w:t>
            </w:r>
          </w:p>
          <w:p>
            <w:pPr>
              <w:pStyle w:val="BodyText"/>
            </w:pPr>
            <w:pPr>
              <w:spacing w:before="16"/>
            </w:pPr>
            <w:r>
              <w:t xml:space="preserve">Extreme environments both impact trait development and act as a potent selective force triggering evolutionary change in populations</w:t>
            </w:r>
            <w:r>
              <w:t xml:space="preserve"> </w:t>
            </w:r>
            <w:r>
              <w:t xml:space="preserve">[76–78]</w:t>
            </w:r>
            <w:r>
              <w:t xml:space="preserve">.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w:t>
            </w:r>
            <w:r>
              <w:t xml:space="preserve"> </w:t>
            </w:r>
            <w:r>
              <w:t xml:space="preserve">[76]</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[77,79–82]</w:t>
            </w:r>
            <w:r>
              <w:t xml:space="preserve">.</w:t>
            </w:r>
          </w:p>
          <w:p>
            <w:pPr>
              <w:pStyle w:val="BodyText"/>
            </w:pPr>
            <w:r>
              <w:t xml:space="preserve">Plasticity and evolution can be incorporated into a systems modelling framework by allowing environments to govern</w:t>
            </w:r>
            <w:r>
              <w:t xml:space="preserve"> </w:t>
            </w:r>
            <w:r>
              <w:t xml:space="preserve">‘</w:t>
            </w:r>
            <w:r>
              <w:t xml:space="preserve">trait</w:t>
            </w:r>
            <w:r>
              <w:t xml:space="preserve">’</w:t>
            </w:r>
            <w:r>
              <w:t xml:space="preserve"> </w:t>
            </w:r>
            <w:r>
              <w:t xml:space="preserve">development (plasticity) and by incorporating selection and genetic (co)variance estimates for</w:t>
            </w:r>
            <w:r>
              <w:t xml:space="preserve"> </w:t>
            </w:r>
            <w:r>
              <w:t xml:space="preserve">‘</w:t>
            </w:r>
            <w:r>
              <w:t xml:space="preserve">traits</w:t>
            </w:r>
            <w:r>
              <w:t xml:space="preserve">’</w:t>
            </w:r>
            <w:r>
              <w:t xml:space="preserve"> </w:t>
            </w:r>
            <w:r>
              <w:t xml:space="preserve">within these models (evolution). We speak of</w:t>
            </w:r>
            <w:r>
              <w:t xml:space="preserve"> </w:t>
            </w:r>
            <w:r>
              <w:t xml:space="preserve">‘</w:t>
            </w:r>
            <w:r>
              <w:t xml:space="preserve">traits</w:t>
            </w:r>
            <w:r>
              <w:t xml:space="preserve">’</w:t>
            </w:r>
            <w:r>
              <w:t xml:space="preserve"> </w:t>
            </w:r>
            <w:r>
              <w:t xml:space="preserve">broadly here because these need not be traits typically thought of by evolutionary ecologists (e.g., body mass, morphology). Rather,</w:t>
            </w:r>
            <w:r>
              <w:t xml:space="preserve"> </w:t>
            </w:r>
            <w:r>
              <w:t xml:space="preserve">‘</w:t>
            </w:r>
            <w:r>
              <w:t xml:space="preserve">traits</w:t>
            </w:r>
            <w:r>
              <w:t xml:space="preserve">’</w:t>
            </w:r>
            <w:r>
              <w:t xml:space="preserve"> </w:t>
            </w:r>
            <w:r>
              <w:t xml:space="preserve">can also include the parameters within models (e.g., DEB parameters) that allow functional traits to emerge</w:t>
            </w:r>
            <w:r>
              <w:t xml:space="preserve"> </w:t>
            </w:r>
            <w:r>
              <w:t xml:space="preserve">[83]</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w:t>
            </w:r>
            <w:r>
              <w:t xml:space="preserve"> </w:t>
            </w:r>
            <w:r>
              <w:t xml:space="preserve">[84]</w:t>
            </w:r>
            <w:r>
              <w:t xml:space="preserve">:</w:t>
            </w:r>
          </w:p>
          <w:p>
            <w:pPr>
              <w:pStyle w:val="BodyText"/>
            </w:pPr>
            <w:bookmarkStart w:id="34"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endChr m:val=")"/>
                    <m:sepChr m:val=""/>
                    <m:grow/>
                  </m:dPr>
                  <m:e>
                    <m:r>
                      <m:t>2</m:t>
                    </m:r>
                  </m:e>
                </m:d>
              </m:oMath>
            </m:oMathPara>
            <w:bookmarkEnd w:id="34"/>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[85]</w:t>
            </w:r>
            <w:r>
              <w:t xml:space="preserve">). While the multivariate breeders equation can be useful for predicting short term evolutionary responses (i.e., one or a few generations) it is likely limited in predictive power over longer timespans because of changes in heritability and selection through time</w:t>
            </w:r>
            <w:r>
              <w:t xml:space="preserve"> </w:t>
            </w:r>
            <w:r>
              <w:t xml:space="preserve">[78,85]</w:t>
            </w:r>
            <w:r>
              <w:t xml:space="preserve">.</w:t>
            </w:r>
          </w:p>
          <w:p>
            <w:pPr>
              <w:pStyle w:val="BodyText"/>
            </w:pPr>
            <w:pPr>
              <w:spacing w:after="16"/>
            </w:pPr>
            <w:r>
              <w:t xml:space="preserve">Measuring and incorporating both plasticity and evolution into our proposed systems modelling framework is challenging because such models usually focus on one or a few</w:t>
            </w:r>
            <w:r>
              <w:t xml:space="preserve"> </w:t>
            </w:r>
            <w:r>
              <w:t xml:space="preserve">‘</w:t>
            </w:r>
            <w:r>
              <w:t xml:space="preserve">traits</w:t>
            </w:r>
            <w:r>
              <w:t xml:space="preserve">’</w:t>
            </w:r>
            <w:r>
              <w:t xml:space="preserve">. Studies that have attempted to measure plasticity and evolutionary potential in traits demonstrate how such processes can shape outcomes in important ways</w:t>
            </w:r>
            <w:r>
              <w:t xml:space="preserve"> </w:t>
            </w:r>
            <w:r>
              <w:t xml:space="preserve">[54,86–90]</w:t>
            </w:r>
            <w:r>
              <w:t xml:space="preserve">. For example, using isogenic lines of</w:t>
            </w:r>
            <w:r>
              <w:t xml:space="preserve"> </w:t>
            </w:r>
            <w:r>
              <w:rPr>
                <w:i/>
                <w:iCs/>
              </w:rPr>
              <w:t xml:space="preserve">Drosophia melanogaster</w:t>
            </w:r>
            <w:r>
              <w:t xml:space="preserve">,</w:t>
            </w:r>
            <w:r>
              <w:t xml:space="preserve"> </w:t>
            </w:r>
            <w:r>
              <w:t xml:space="preserve">[90]</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[86]</w:t>
            </w:r>
            <w:r>
              <w:t xml:space="preserve">. In the alpine plant</w:t>
            </w:r>
            <w:r>
              <w:t xml:space="preserve"> </w:t>
            </w:r>
            <w:r>
              <w:rPr>
                <w:i/>
                <w:iCs/>
              </w:rPr>
              <w:t xml:space="preserve">Wahlenbergia ceracea</w:t>
            </w:r>
            <w:r>
              <w:t xml:space="preserve"> </w:t>
            </w:r>
            <w:r>
              <w:t xml:space="preserve">despite ample plasticity in response to warming there is little genetic variation in plasticity, thus adaptive evolution of plasticity in response to extreme heat is unlikely</w:t>
            </w:r>
            <w:r>
              <w:t xml:space="preserve"> </w:t>
            </w:r>
            <w:r>
              <w:t xml:space="preserve">[91]</w:t>
            </w:r>
            <w:r>
              <w:t xml:space="preserve">. Indeed, few studies have attempted to quantify genetic variation in plasticity in response to warming, never mind extreme heat events, and among those that have there is little evidence that such plasticity is adaptive</w:t>
            </w:r>
            <w:r>
              <w:t xml:space="preserve"> </w:t>
            </w:r>
            <w:r>
              <w:t xml:space="preserve">[91,92]</w:t>
            </w:r>
            <w:r>
              <w:t xml:space="preserve">. One challenge in assessing the adaptive evolution of plasticity is that trait values themselves are also under selection in the different environments that elicit the plasticity; thus selection on plasticity reflects both selection on trait means in a given environment and selection on the full range of phenotypes across environments</w:t>
            </w:r>
            <w:r>
              <w:t xml:space="preserve"> </w:t>
            </w:r>
            <w:r>
              <w:t xml:space="preserve">[84,91]</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[93]</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[94]</w:t>
            </w:r>
            <w:r>
              <w:t xml:space="preserve">. Thermal stressors may even influence producers’ psychological beliefs about their level of control over land management, and perceived resources available for management practices</w:t>
            </w:r>
            <w:r>
              <w:t xml:space="preserve"> </w:t>
            </w:r>
            <w:r>
              <w:t xml:space="preserve">[95]</w:t>
            </w:r>
            <w:r>
              <w:t xml:space="preserve">. Thermal risks to ecosystems may also precipitate declines in individual wellbeing, and these consequences may accrue differently across regions and across peoples</w:t>
            </w:r>
            <w:r>
              <w:t xml:space="preserve"> </w:t>
            </w:r>
            <w:r>
              <w:t xml:space="preserve">[96]</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[97,98]</w:t>
            </w:r>
            <w:r>
              <w:t xml:space="preserve">. On the other hand, adapting thermal risks in upper stream producers may also be influenced by the perception and behavior of downstream consumers</w:t>
            </w:r>
            <w:r>
              <w:t xml:space="preserve"> </w:t>
            </w:r>
            <w:r>
              <w:t xml:space="preserve">[99]</w:t>
            </w:r>
            <w:r>
              <w:t xml:space="preserve">. The cascading</w:t>
            </w:r>
            <w:r>
              <w:t xml:space="preserve"> </w:t>
            </w:r>
            <w:r>
              <w:t xml:space="preserve">[100]</w:t>
            </w:r>
            <w:r>
              <w:t xml:space="preserve"> </w:t>
            </w:r>
            <w:r>
              <w:t xml:space="preserve">and telecoupled</w:t>
            </w:r>
            <w:r>
              <w:t xml:space="preserve"> </w:t>
            </w:r>
            <w:r>
              <w:t xml:space="preserve">[101]</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[102]</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[103]</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[104]</w:t>
            </w:r>
            <w:r>
              <w:t xml:space="preserve">. Social-ecological models aim to capture the social systems, natural systems and their interactions</w:t>
            </w:r>
            <w:r>
              <w:t xml:space="preserve"> </w:t>
            </w:r>
            <w:r>
              <w:t xml:space="preserve">[105]</w:t>
            </w:r>
            <w:r>
              <w:t xml:space="preserve">. Such models can display non-trivial emergent behavior resulting from complex interactions within the social-ecological systems. For example, responding to decreased productivity from thermal stress by farming more intensively could lead to a maladaptation or</w:t>
            </w:r>
            <w:r>
              <w:t xml:space="preserve"> </w:t>
            </w:r>
            <w:r>
              <w:t xml:space="preserve">‘</w:t>
            </w:r>
            <w:r>
              <w:t xml:space="preserve">lock-in</w:t>
            </w:r>
            <w:r>
              <w:t xml:space="preserve">’</w:t>
            </w:r>
            <w:r>
              <w:t xml:space="preserve"> </w:t>
            </w:r>
            <w:r>
              <w:t xml:space="preserve">from which it is difficult to escape</w:t>
            </w:r>
            <w:r>
              <w:t xml:space="preserve"> </w:t>
            </w:r>
            <w:r>
              <w:t xml:space="preserve">[106]</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[107]</w:t>
            </w:r>
            <w:r>
              <w:t xml:space="preserve">. Process-based approaches are critical to understanding how emergent social-ecological phenomena develop</w:t>
            </w:r>
            <w:r>
              <w:t xml:space="preserve"> </w:t>
            </w:r>
            <w:r>
              <w:t xml:space="preserve">[108]</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behavioral theory and empirical data; and interactions between them in the system of interest. Since obtaining all these data can be challenging, social-ecological modelling is often performed in an exploratory mode</w:t>
            </w:r>
            <w:r>
              <w:t xml:space="preserve"> </w:t>
            </w:r>
            <w:r>
              <w:t xml:space="preserve">[109]</w:t>
            </w:r>
            <w:r>
              <w:t xml:space="preserve"> </w:t>
            </w:r>
            <w:r>
              <w:t xml:space="preserve">to anticipate possible future modes of behavior, such as the direction of change of human behavior and environmental state or the risk of emergent phenomena such as tipping points, rather than trying to predict specific outcomes.</w:t>
            </w:r>
          </w:p>
        </w:tc>
      </w:tr>
    </w:tbl>
    <w:bookmarkEnd w:id="35"/>
    <w:bookmarkStart w:id="36"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FirstParagraph"/>
      </w:pPr>
      <w:r>
        <w:t xml:space="preserve">Extreme heat will have dramatic and widespread effects on the socioecological systems that humans rely upon (</w:t>
      </w:r>
      <w:r>
        <w:rPr>
          <w:b/>
          <w:bCs/>
        </w:rPr>
        <w:t xml:space="preserve">Box 3</w:t>
      </w:r>
      <w:r>
        <w:t xml:space="preserve">). For example, under current global climate change scenarios, each degree Celsius increase in global mean temperature is estimated to reduce the global yield of wheat by 6.0% and soybean by 3.1%</w:t>
      </w:r>
      <w:r>
        <w:t xml:space="preserve"> </w:t>
      </w:r>
      <w:r>
        <w:t xml:space="preserve">[110]</w:t>
      </w:r>
      <w:r>
        <w:t xml:space="preserve"> </w:t>
      </w:r>
      <w:r>
        <w:t xml:space="preserve">exacerbating food shortages globally.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(See Case Study 4 in the</w:t>
      </w:r>
      <w:r>
        <w:t xml:space="preserve"> </w:t>
      </w:r>
      <w:hyperlink r:id="rId28">
        <w:r>
          <w:rPr>
            <w:rStyle w:val="Hyperlink"/>
            <w:i/>
            <w:iCs/>
          </w:rPr>
          <w:t xml:space="preserve">Supplementary Online Material</w:t>
        </w:r>
      </w:hyperlink>
      <w:r>
        <w:t xml:space="preserve">). Identifying and/or modifying the thermal suitability of landscapes to benefit plants and animals under extreme heat shows immense promise</w:t>
      </w:r>
      <w:r>
        <w:t xml:space="preserve"> </w:t>
      </w:r>
      <w:r>
        <w:t xml:space="preserve">[20]</w:t>
      </w:r>
      <w:r>
        <w:t xml:space="preserve">. Additionally, as our understanding of the mechanisms associated with heat tolerance improve, genetic tools, environmental manipulations and artifical breeding can be used to enhance thermal tolerance creating more resilience to extreme heat events</w:t>
      </w:r>
      <w:r>
        <w:t xml:space="preserve"> </w:t>
      </w:r>
      <w:r>
        <w:t xml:space="preserve">[e.g., 57]</w:t>
      </w:r>
      <w:r>
        <w:t xml:space="preserve">. Integrating these solutions into a systems modelling framework will then allow for a calculated understanding of the viability of such approaches in real world situations.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Outstanding Questions</w:t>
            </w:r>
          </w:p>
          <w:p>
            <w:pPr>
              <w:pStyle w:val="Compact"/>
              <w:numPr>
                <w:ilvl w:val="0"/>
                <w:numId w:val="1001"/>
              </w:numPr>
            </w:pPr>
            <w:r>
              <w:t xml:space="preserve">How effective are models using parameters of closely related species at predicting the impacts of extreme heat on species and communities lacking data?</w:t>
            </w:r>
          </w:p>
          <w:p>
            <w:pPr>
              <w:pStyle w:val="Compact"/>
              <w:numPr>
                <w:ilvl w:val="0"/>
                <w:numId w:val="1001"/>
              </w:numPr>
            </w:pPr>
            <w:r>
              <w:t xml:space="preserve">How can we capture longer-term evolutionary responses to extreme heat in a systems modelling framework?</w:t>
            </w:r>
          </w:p>
          <w:p>
            <w:pPr>
              <w:pStyle w:val="Compact"/>
              <w:numPr>
                <w:ilvl w:val="0"/>
                <w:numId w:val="1001"/>
              </w:numPr>
            </w:pPr>
            <w:r>
              <w:t xml:space="preserve">For modular plant species, can we build and couple dynamic energy budget models to predict how extreme heat will impact tissue and life cycle dynamics?</w:t>
            </w:r>
          </w:p>
        </w:tc>
      </w:tr>
    </w:tbl>
    <w:bookmarkEnd w:id="36"/>
    <w:bookmarkStart w:id="37"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28">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bookmarkEnd w:id="37"/>
    <w:bookmarkStart w:id="149" w:name="references"/>
    <w:p>
      <w:pPr>
        <w:pStyle w:val="Heading1"/>
      </w:pPr>
      <w:r>
        <w:t xml:space="preserve">References</w:t>
      </w:r>
    </w:p>
    <w:p>
      <w:pPr>
        <w:pStyle w:val="FirstParagraph"/>
      </w:pPr>
    </w:p>
    <w:bookmarkStart w:id="148" w:name="refs"/>
    <w:bookmarkStart w:id="38"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38"/>
    <w:bookmarkStart w:id="39"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39"/>
    <w:bookmarkStart w:id="40"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0"/>
    <w:bookmarkStart w:id="41"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1"/>
    <w:bookmarkStart w:id="42"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2"/>
    <w:bookmarkStart w:id="43"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3"/>
    <w:bookmarkStart w:id="44"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4"/>
    <w:bookmarkStart w:id="45"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5"/>
    <w:bookmarkStart w:id="46"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6"/>
    <w:bookmarkStart w:id="47"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47"/>
    <w:bookmarkStart w:id="48"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48"/>
    <w:bookmarkStart w:id="49"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49"/>
    <w:bookmarkStart w:id="50"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0"/>
    <w:bookmarkStart w:id="51"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1"/>
    <w:bookmarkStart w:id="52"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2"/>
    <w:bookmarkStart w:id="53"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3"/>
    <w:bookmarkStart w:id="54"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4"/>
    <w:bookmarkStart w:id="55"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5"/>
    <w:bookmarkStart w:id="56"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56"/>
    <w:bookmarkStart w:id="57"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57"/>
    <w:bookmarkStart w:id="58"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58"/>
    <w:bookmarkStart w:id="59"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59"/>
    <w:bookmarkStart w:id="60"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0"/>
    <w:bookmarkStart w:id="61" w:name="ref-Fick2017"/>
    <w:p>
      <w:pPr>
        <w:pStyle w:val="Bibliography"/>
      </w:pPr>
      <w:r>
        <w:t xml:space="preserve">24.</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61"/>
    <w:bookmarkStart w:id="62" w:name="ref-Kalnay2018"/>
    <w:p>
      <w:pPr>
        <w:pStyle w:val="Bibliography"/>
      </w:pPr>
      <w:r>
        <w:t xml:space="preserve">25.</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62"/>
    <w:bookmarkStart w:id="63" w:name="ref-Hersbach2020"/>
    <w:p>
      <w:pPr>
        <w:pStyle w:val="Bibliography"/>
      </w:pPr>
      <w:r>
        <w:t xml:space="preserve">26.</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63"/>
    <w:bookmarkStart w:id="64" w:name="ref-Klinges2022"/>
    <w:p>
      <w:pPr>
        <w:pStyle w:val="Bibliography"/>
      </w:pPr>
      <w:r>
        <w:t xml:space="preserve">27.</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64"/>
    <w:bookmarkStart w:id="65" w:name="ref-Meyer2023"/>
    <w:p>
      <w:pPr>
        <w:pStyle w:val="Bibliography"/>
      </w:pPr>
      <w:r>
        <w:t xml:space="preserve">28.</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65"/>
    <w:bookmarkStart w:id="66" w:name="ref-Munoz-Sabater2021"/>
    <w:p>
      <w:pPr>
        <w:pStyle w:val="Bibliography"/>
      </w:pPr>
      <w:r>
        <w:t xml:space="preserve">29.</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66"/>
    <w:bookmarkStart w:id="67" w:name="ref-Bezanson2012"/>
    <w:p>
      <w:pPr>
        <w:pStyle w:val="Bibliography"/>
      </w:pPr>
      <w:r>
        <w:t xml:space="preserve">30.</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67"/>
    <w:bookmarkStart w:id="68" w:name="ref-Yatunin2025"/>
    <w:p>
      <w:pPr>
        <w:pStyle w:val="Bibliography"/>
      </w:pPr>
      <w:r>
        <w:t xml:space="preserve">31.</w:t>
      </w:r>
      <w:r>
        <w:t xml:space="preserve"> </w:t>
      </w:r>
      <w:r>
        <w:t xml:space="preserve">	</w:t>
      </w:r>
      <w:r>
        <w:t xml:space="preserve">Yatunin, D.</w:t>
      </w:r>
      <w:r>
        <w:t xml:space="preserve"> </w:t>
      </w:r>
      <w:r>
        <w:rPr>
          <w:i/>
          <w:iCs/>
        </w:rPr>
        <w:t xml:space="preserve">et al.</w:t>
      </w:r>
      <w:r>
        <w:t xml:space="preserve"> </w:t>
      </w:r>
      <w:r>
        <w:t xml:space="preserve">(2025) The climate modeling alliance atmosphere dynamical core: Concepts, numerics, and scaling.</w:t>
      </w:r>
      <w:r>
        <w:t xml:space="preserve"> </w:t>
      </w:r>
      <w:r>
        <w:rPr>
          <w:i/>
          <w:iCs/>
        </w:rPr>
        <w:t xml:space="preserve">Authorea Preprints</w:t>
      </w:r>
    </w:p>
    <w:bookmarkEnd w:id="68"/>
    <w:bookmarkStart w:id="69" w:name="ref-Braziunas2025"/>
    <w:p>
      <w:pPr>
        <w:pStyle w:val="Bibliography"/>
      </w:pPr>
      <w:r>
        <w:t xml:space="preserve">32.</w:t>
      </w:r>
      <w:r>
        <w:t xml:space="preserve"> </w:t>
      </w:r>
      <w:r>
        <w:t xml:space="preserve">	</w:t>
      </w:r>
      <w:r>
        <w:t xml:space="preserve">Braziunas, K.H.</w:t>
      </w:r>
      <w:r>
        <w:t xml:space="preserve"> </w:t>
      </w:r>
      <w:r>
        <w:rPr>
          <w:i/>
          <w:iCs/>
        </w:rPr>
        <w:t xml:space="preserve">et al.</w:t>
      </w:r>
      <w:r>
        <w:t xml:space="preserve"> </w:t>
      </w:r>
      <w:r>
        <w:t xml:space="preserve">(2025) Microclimate temperature effects propagate across scales in forest ecosystems.</w:t>
      </w:r>
      <w:r>
        <w:t xml:space="preserve"> </w:t>
      </w:r>
      <w:r>
        <w:rPr>
          <w:i/>
          <w:iCs/>
        </w:rPr>
        <w:t xml:space="preserve">Landsc. Ecol.</w:t>
      </w:r>
      <w:r>
        <w:t xml:space="preserve"> </w:t>
      </w:r>
      <w:r>
        <w:t xml:space="preserve">40, 37</w:t>
      </w:r>
    </w:p>
    <w:bookmarkEnd w:id="69"/>
    <w:bookmarkStart w:id="70" w:name="ref-Kearney2017"/>
    <w:p>
      <w:pPr>
        <w:pStyle w:val="Bibliography"/>
      </w:pPr>
      <w:r>
        <w:t xml:space="preserve">33.</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0"/>
    <w:bookmarkStart w:id="71" w:name="ref-Maclean2019"/>
    <w:p>
      <w:pPr>
        <w:pStyle w:val="Bibliography"/>
      </w:pPr>
      <w:r>
        <w:t xml:space="preserve">34.</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71"/>
    <w:bookmarkStart w:id="72" w:name="ref-Kearney2020"/>
    <w:p>
      <w:pPr>
        <w:pStyle w:val="Bibliography"/>
      </w:pPr>
      <w:r>
        <w:t xml:space="preserve">35.</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72"/>
    <w:bookmarkStart w:id="73" w:name="ref-Maclean2021"/>
    <w:p>
      <w:pPr>
        <w:pStyle w:val="Bibliography"/>
      </w:pPr>
      <w:r>
        <w:t xml:space="preserve">36.</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73"/>
    <w:bookmarkStart w:id="74" w:name="ref-Buckley2023"/>
    <w:p>
      <w:pPr>
        <w:pStyle w:val="Bibliography"/>
      </w:pPr>
      <w:r>
        <w:t xml:space="preserve">37.</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74"/>
    <w:bookmarkStart w:id="75" w:name="ref-De_Frenne2024"/>
    <w:p>
      <w:pPr>
        <w:pStyle w:val="Bibliography"/>
      </w:pPr>
      <w:r>
        <w:t xml:space="preserve">38.</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75"/>
    <w:bookmarkStart w:id="76" w:name="ref-Levy2016"/>
    <w:p>
      <w:pPr>
        <w:pStyle w:val="Bibliography"/>
      </w:pPr>
      <w:r>
        <w:t xml:space="preserve">39.</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76"/>
    <w:bookmarkStart w:id="77" w:name="ref-Manzoni2022"/>
    <w:p>
      <w:pPr>
        <w:pStyle w:val="Bibliography"/>
      </w:pPr>
      <w:r>
        <w:t xml:space="preserve">40.</w:t>
      </w:r>
      <w:r>
        <w:t xml:space="preserve"> </w:t>
      </w:r>
      <w:r>
        <w:t xml:space="preserve">	</w:t>
      </w:r>
      <w:r>
        <w:t xml:space="preserve">Manzoni, S.</w:t>
      </w:r>
      <w:r>
        <w:t xml:space="preserve"> </w:t>
      </w:r>
      <w:r>
        <w:rPr>
          <w:i/>
          <w:iCs/>
        </w:rPr>
        <w:t xml:space="preserve">et al.</w:t>
      </w:r>
      <w:r>
        <w:t xml:space="preserve"> </w:t>
      </w:r>
      <w:r>
        <w:t xml:space="preserve">(2022) Consistent responses of vegetation gas exchange to elevated atmospheric</w:t>
      </w:r>
      <w:r>
        <w:t xml:space="preserve"> </w:t>
      </w:r>
      <w:r>
        <w:t xml:space="preserve">CO</w:t>
      </w:r>
      <w:r>
        <w:t xml:space="preserve"> </w:t>
      </w:r>
      <w:r>
        <w:t xml:space="preserve">2 emerge from heuristic and optimization models.</w:t>
      </w:r>
      <w:r>
        <w:t xml:space="preserve"> </w:t>
      </w:r>
      <w:r>
        <w:rPr>
          <w:i/>
          <w:iCs/>
        </w:rPr>
        <w:t xml:space="preserve">Biogeosciences</w:t>
      </w:r>
      <w:r>
        <w:t xml:space="preserve"> </w:t>
      </w:r>
      <w:r>
        <w:t xml:space="preserve">19, 4387–4414</w:t>
      </w:r>
    </w:p>
    <w:bookmarkEnd w:id="77"/>
    <w:bookmarkStart w:id="78" w:name="ref-Porter1973"/>
    <w:p>
      <w:pPr>
        <w:pStyle w:val="Bibliography"/>
      </w:pPr>
      <w:r>
        <w:t xml:space="preserve">41.</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78"/>
    <w:bookmarkStart w:id="79" w:name="ref-Porter1969"/>
    <w:p>
      <w:pPr>
        <w:pStyle w:val="Bibliography"/>
      </w:pPr>
      <w:r>
        <w:t xml:space="preserve">42.</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79"/>
    <w:bookmarkStart w:id="80" w:name="ref-Riddell2017"/>
    <w:p>
      <w:pPr>
        <w:pStyle w:val="Bibliography"/>
      </w:pPr>
      <w:r>
        <w:t xml:space="preserve">43.</w:t>
      </w:r>
      <w:r>
        <w:t xml:space="preserve"> </w:t>
      </w:r>
      <w:r>
        <w:t xml:space="preserve">	</w:t>
      </w:r>
      <w:r>
        <w:t xml:space="preserve">Riddell, E.A.</w:t>
      </w:r>
      <w:r>
        <w:t xml:space="preserve"> </w:t>
      </w:r>
      <w:r>
        <w:rPr>
          <w:i/>
          <w:iCs/>
        </w:rPr>
        <w:t xml:space="preserve">et al.</w:t>
      </w:r>
      <w:r>
        <w:t xml:space="preserve"> </w:t>
      </w:r>
      <w:r>
        <w:t xml:space="preserve">(2017) Physical calculations of resistance to water loss improve predictions of species range models.</w:t>
      </w:r>
      <w:r>
        <w:t xml:space="preserve"> </w:t>
      </w:r>
      <w:r>
        <w:rPr>
          <w:i/>
          <w:iCs/>
        </w:rPr>
        <w:t xml:space="preserve">Ecol. Monogr.</w:t>
      </w:r>
      <w:r>
        <w:t xml:space="preserve"> </w:t>
      </w:r>
      <w:r>
        <w:t xml:space="preserve">87, 21–33</w:t>
      </w:r>
    </w:p>
    <w:bookmarkEnd w:id="80"/>
    <w:bookmarkStart w:id="81" w:name="ref-Duursma2015"/>
    <w:p>
      <w:pPr>
        <w:pStyle w:val="Bibliography"/>
      </w:pPr>
      <w:r>
        <w:t xml:space="preserve">44.</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81"/>
    <w:bookmarkStart w:id="82" w:name="ref-Briscoe2022"/>
    <w:p>
      <w:pPr>
        <w:pStyle w:val="Bibliography"/>
      </w:pPr>
      <w:r>
        <w:t xml:space="preserve">45.</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82"/>
    <w:bookmarkStart w:id="83" w:name="ref-Loughran2020"/>
    <w:p>
      <w:pPr>
        <w:pStyle w:val="Bibliography"/>
      </w:pPr>
      <w:r>
        <w:t xml:space="preserve">46.</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83"/>
    <w:bookmarkStart w:id="84" w:name="ref-Sharpe2022"/>
    <w:p>
      <w:pPr>
        <w:pStyle w:val="Bibliography"/>
      </w:pPr>
      <w:r>
        <w:t xml:space="preserve">47.</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84"/>
    <w:bookmarkStart w:id="85" w:name="ref-Drake2018"/>
    <w:p>
      <w:pPr>
        <w:pStyle w:val="Bibliography"/>
      </w:pPr>
      <w:r>
        <w:t xml:space="preserve">48.</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85"/>
    <w:bookmarkStart w:id="86" w:name="ref-Posch2024"/>
    <w:p>
      <w:pPr>
        <w:pStyle w:val="Bibliography"/>
      </w:pPr>
      <w:r>
        <w:t xml:space="preserve">49.</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86"/>
    <w:bookmarkStart w:id="87" w:name="ref-Orsted2022"/>
    <w:p>
      <w:pPr>
        <w:pStyle w:val="Bibliography"/>
      </w:pPr>
      <w:r>
        <w:t xml:space="preserve">50.</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87"/>
    <w:bookmarkStart w:id="88" w:name="ref-Jagadish2021"/>
    <w:p>
      <w:pPr>
        <w:pStyle w:val="Bibliography"/>
      </w:pPr>
      <w:r>
        <w:t xml:space="preserve">51.</w:t>
      </w:r>
      <w:r>
        <w:t xml:space="preserve"> </w:t>
      </w:r>
      <w:r>
        <w:t xml:space="preserve">	</w:t>
      </w:r>
      <w:r>
        <w:t xml:space="preserve">Jagadish, S.V.K.</w:t>
      </w:r>
      <w:r>
        <w:t xml:space="preserve"> </w:t>
      </w:r>
      <w:r>
        <w:rPr>
          <w:i/>
          <w:iCs/>
        </w:rPr>
        <w:t xml:space="preserve">et al.</w:t>
      </w:r>
      <w:r>
        <w:t xml:space="preserve"> </w:t>
      </w:r>
      <w:r>
        <w:t xml:space="preserve">(2021) Plant heat stress: Concepts directing future research.</w:t>
      </w:r>
      <w:r>
        <w:t xml:space="preserve"> </w:t>
      </w:r>
      <w:r>
        <w:rPr>
          <w:i/>
          <w:iCs/>
        </w:rPr>
        <w:t xml:space="preserve">Plant Cell Environ.</w:t>
      </w:r>
      <w:r>
        <w:t xml:space="preserve"> </w:t>
      </w:r>
      <w:r>
        <w:t xml:space="preserve">44, 1992–2005</w:t>
      </w:r>
    </w:p>
    <w:bookmarkEnd w:id="88"/>
    <w:bookmarkStart w:id="89" w:name="ref-Faber2024"/>
    <w:p>
      <w:pPr>
        <w:pStyle w:val="Bibliography"/>
      </w:pPr>
      <w:r>
        <w:t xml:space="preserve">52.</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89"/>
    <w:bookmarkStart w:id="90" w:name="ref-Martinez-De_Leon2024"/>
    <w:p>
      <w:pPr>
        <w:pStyle w:val="Bibliography"/>
      </w:pPr>
      <w:r>
        <w:t xml:space="preserve">53.</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90"/>
    <w:bookmarkStart w:id="91" w:name="ref-Youngblood2025"/>
    <w:p>
      <w:pPr>
        <w:pStyle w:val="Bibliography"/>
      </w:pPr>
      <w:r>
        <w:t xml:space="preserve">54.</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91"/>
    <w:bookmarkStart w:id="92" w:name="ref-Chouhan2023"/>
    <w:p>
      <w:pPr>
        <w:pStyle w:val="Bibliography"/>
      </w:pPr>
      <w:r>
        <w:t xml:space="preserve">55.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92"/>
    <w:bookmarkStart w:id="93" w:name="ref-Liu2025"/>
    <w:p>
      <w:pPr>
        <w:pStyle w:val="Bibliography"/>
      </w:pPr>
      <w:r>
        <w:t xml:space="preserve">56.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93"/>
    <w:bookmarkStart w:id="94" w:name="ref-Marquez2007"/>
    <w:p>
      <w:pPr>
        <w:pStyle w:val="Bibliography"/>
      </w:pPr>
      <w:r>
        <w:t xml:space="preserve">57.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94"/>
    <w:bookmarkStart w:id="95" w:name="ref-Huang2019"/>
    <w:p>
      <w:pPr>
        <w:pStyle w:val="Bibliography"/>
      </w:pPr>
      <w:r>
        <w:t xml:space="preserve">58.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95"/>
    <w:bookmarkStart w:id="96" w:name="ref-Dastogeer2022"/>
    <w:p>
      <w:pPr>
        <w:pStyle w:val="Bibliography"/>
      </w:pPr>
      <w:r>
        <w:t xml:space="preserve">59.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96"/>
    <w:bookmarkStart w:id="97" w:name="ref-Hoang2019"/>
    <w:p>
      <w:pPr>
        <w:pStyle w:val="Bibliography"/>
      </w:pPr>
      <w:r>
        <w:t xml:space="preserve">60.</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97"/>
    <w:bookmarkStart w:id="98" w:name="ref-Gehman2019"/>
    <w:p>
      <w:pPr>
        <w:pStyle w:val="Bibliography"/>
      </w:pPr>
      <w:r>
        <w:t xml:space="preserve">61.</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98"/>
    <w:bookmarkStart w:id="99" w:name="ref-Nisbet2000"/>
    <w:p>
      <w:pPr>
        <w:pStyle w:val="Bibliography"/>
      </w:pPr>
      <w:r>
        <w:t xml:space="preserve">62.</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99"/>
    <w:bookmarkStart w:id="100" w:name="ref-Jager2020"/>
    <w:p>
      <w:pPr>
        <w:pStyle w:val="Bibliography"/>
      </w:pPr>
      <w:r>
        <w:t xml:space="preserve">63.</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00"/>
    <w:bookmarkStart w:id="101" w:name="ref-Haberle2025"/>
    <w:p>
      <w:pPr>
        <w:pStyle w:val="Bibliography"/>
      </w:pPr>
      <w:r>
        <w:t xml:space="preserve">64.</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101"/>
    <w:bookmarkStart w:id="102" w:name="ref-Kearney2013"/>
    <w:p>
      <w:pPr>
        <w:pStyle w:val="Bibliography"/>
      </w:pPr>
      <w:r>
        <w:t xml:space="preserve">65.</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02"/>
    <w:bookmarkStart w:id="103" w:name="ref-Kearney2010"/>
    <w:p>
      <w:pPr>
        <w:pStyle w:val="Bibliography"/>
      </w:pPr>
      <w:r>
        <w:t xml:space="preserve">66.</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03"/>
    <w:bookmarkStart w:id="104" w:name="ref-Russo2022"/>
    <w:p>
      <w:pPr>
        <w:pStyle w:val="Bibliography"/>
      </w:pPr>
      <w:r>
        <w:t xml:space="preserve">67.</w:t>
      </w:r>
      <w:r>
        <w:t xml:space="preserve"> </w:t>
      </w:r>
      <w:r>
        <w:t xml:space="preserve">	</w:t>
      </w:r>
      <w:r>
        <w:t xml:space="preserve">Russo, S.E.</w:t>
      </w:r>
      <w:r>
        <w:t xml:space="preserve"> </w:t>
      </w:r>
      <w:r>
        <w:rPr>
          <w:i/>
          <w:iCs/>
        </w:rPr>
        <w:t xml:space="preserve">et al.</w:t>
      </w:r>
      <w:r>
        <w:t xml:space="preserve"> </w:t>
      </w:r>
      <w:r>
        <w:t xml:space="preserve">(2022) Dynamic energy budget models: Fertile ground for understanding resource allocation in plants in a changing world.</w:t>
      </w:r>
      <w:r>
        <w:t xml:space="preserve"> </w:t>
      </w:r>
      <w:r>
        <w:rPr>
          <w:i/>
          <w:iCs/>
        </w:rPr>
        <w:t xml:space="preserve">Conserv. Physiol.</w:t>
      </w:r>
      <w:r>
        <w:t xml:space="preserve"> </w:t>
      </w:r>
      <w:r>
        <w:t xml:space="preserve">10, coac061</w:t>
      </w:r>
    </w:p>
    <w:bookmarkEnd w:id="104"/>
    <w:bookmarkStart w:id="105" w:name="ref-Marques2018"/>
    <w:p>
      <w:pPr>
        <w:pStyle w:val="Bibliography"/>
      </w:pPr>
      <w:r>
        <w:t xml:space="preserve">68.</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05"/>
    <w:bookmarkStart w:id="106" w:name="ref-Kooijman2021"/>
    <w:p>
      <w:pPr>
        <w:pStyle w:val="Bibliography"/>
      </w:pPr>
      <w:r>
        <w:t xml:space="preserve">69.</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06"/>
    <w:bookmarkStart w:id="107" w:name="ref-Bruggeman2009"/>
    <w:p>
      <w:pPr>
        <w:pStyle w:val="Bibliography"/>
      </w:pPr>
      <w:r>
        <w:t xml:space="preserve">70.</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07"/>
    <w:bookmarkStart w:id="108" w:name="ref-Kearney2020a"/>
    <w:p>
      <w:pPr>
        <w:pStyle w:val="Bibliography"/>
      </w:pPr>
      <w:r>
        <w:t xml:space="preserve">71.</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08"/>
    <w:bookmarkStart w:id="109" w:name="ref-Ricker1954a"/>
    <w:p>
      <w:pPr>
        <w:pStyle w:val="Bibliography"/>
      </w:pPr>
      <w:r>
        <w:t xml:space="preserve">72.</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09"/>
    <w:bookmarkStart w:id="110" w:name="ref-Beverton2012"/>
    <w:p>
      <w:pPr>
        <w:pStyle w:val="Bibliography"/>
      </w:pPr>
      <w:r>
        <w:t xml:space="preserve">73.</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10"/>
    <w:bookmarkStart w:id="111" w:name="ref-Bertness1994"/>
    <w:p>
      <w:pPr>
        <w:pStyle w:val="Bibliography"/>
      </w:pPr>
      <w:r>
        <w:t xml:space="preserve">74.</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111"/>
    <w:bookmarkStart w:id="112" w:name="ref-Weiss-Lehman2022"/>
    <w:p>
      <w:pPr>
        <w:pStyle w:val="Bibliography"/>
      </w:pPr>
      <w:r>
        <w:t xml:space="preserve">75.</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12"/>
    <w:bookmarkStart w:id="113" w:name="ref-Chevin2017"/>
    <w:p>
      <w:pPr>
        <w:pStyle w:val="Bibliography"/>
      </w:pPr>
      <w:r>
        <w:t xml:space="preserve">76.</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13"/>
    <w:bookmarkStart w:id="114" w:name="ref-Urban2024"/>
    <w:p>
      <w:pPr>
        <w:pStyle w:val="Bibliography"/>
      </w:pPr>
      <w:r>
        <w:t xml:space="preserve">77.</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14"/>
    <w:bookmarkStart w:id="115" w:name="ref-Hoffmann2011"/>
    <w:p>
      <w:pPr>
        <w:pStyle w:val="Bibliography"/>
      </w:pPr>
      <w:r>
        <w:t xml:space="preserve">78.</w:t>
      </w:r>
      <w:r>
        <w:t xml:space="preserve"> </w:t>
      </w:r>
      <w:r>
        <w:t xml:space="preserve">	</w:t>
      </w:r>
      <w:r>
        <w:t xml:space="preserve">Hoffmann, A.A. and Sgrò, C.M. (2011) Climate change and evolutionary adaptation. 470, 479–485</w:t>
      </w:r>
    </w:p>
    <w:bookmarkEnd w:id="115"/>
    <w:bookmarkStart w:id="116" w:name="ref-Hoffmann2022"/>
    <w:p>
      <w:pPr>
        <w:pStyle w:val="Bibliography"/>
      </w:pPr>
      <w:r>
        <w:t xml:space="preserve">79.</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16"/>
    <w:bookmarkStart w:id="117" w:name="ref-Ghalambor2015"/>
    <w:p>
      <w:pPr>
        <w:pStyle w:val="Bibliography"/>
      </w:pPr>
      <w:r>
        <w:t xml:space="preserve">80.</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17"/>
    <w:bookmarkStart w:id="118" w:name="ref-Oostra2018"/>
    <w:p>
      <w:pPr>
        <w:pStyle w:val="Bibliography"/>
      </w:pPr>
      <w:r>
        <w:t xml:space="preserve">81.</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18"/>
    <w:bookmarkStart w:id="119" w:name="ref-Noble2019"/>
    <w:p>
      <w:pPr>
        <w:pStyle w:val="Bibliography"/>
      </w:pPr>
      <w:r>
        <w:t xml:space="preserve">82.</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19"/>
    <w:bookmarkStart w:id="120" w:name="ref-Sousa2010"/>
    <w:p>
      <w:pPr>
        <w:pStyle w:val="Bibliography"/>
      </w:pPr>
      <w:r>
        <w:t xml:space="preserve">83.</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20"/>
    <w:bookmarkStart w:id="121" w:name="ref-Lande1979"/>
    <w:p>
      <w:pPr>
        <w:pStyle w:val="Bibliography"/>
      </w:pPr>
      <w:r>
        <w:t xml:space="preserve">84.</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21"/>
    <w:bookmarkStart w:id="122" w:name="ref-Walsh2018"/>
    <w:p>
      <w:pPr>
        <w:pStyle w:val="Bibliography"/>
      </w:pPr>
      <w:r>
        <w:t xml:space="preserve">85.</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22"/>
    <w:bookmarkStart w:id="123" w:name="ref-Baeza_Icaza2025"/>
    <w:p>
      <w:pPr>
        <w:pStyle w:val="Bibliography"/>
      </w:pPr>
      <w:r>
        <w:t xml:space="preserve">86.</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23"/>
    <w:bookmarkStart w:id="124" w:name="ref-Kearney2009a"/>
    <w:p>
      <w:pPr>
        <w:pStyle w:val="Bibliography"/>
      </w:pPr>
      <w:r>
        <w:t xml:space="preserve">87.</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24"/>
    <w:bookmarkStart w:id="125" w:name="ref-Ellner2011"/>
    <w:p>
      <w:pPr>
        <w:pStyle w:val="Bibliography"/>
      </w:pPr>
      <w:r>
        <w:t xml:space="preserve">88.</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25"/>
    <w:bookmarkStart w:id="126" w:name="ref-Pottier2022a"/>
    <w:p>
      <w:pPr>
        <w:pStyle w:val="Bibliography"/>
      </w:pPr>
      <w:r>
        <w:t xml:space="preserve">89.</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26"/>
    <w:bookmarkStart w:id="127" w:name="ref-Leiva2024b"/>
    <w:p>
      <w:pPr>
        <w:pStyle w:val="Bibliography"/>
      </w:pPr>
      <w:r>
        <w:t xml:space="preserve">90.</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27"/>
    <w:bookmarkStart w:id="128" w:name="ref-Arnold2019a"/>
    <w:p>
      <w:pPr>
        <w:pStyle w:val="Bibliography"/>
      </w:pPr>
      <w:r>
        <w:t xml:space="preserve">91.</w:t>
      </w:r>
      <w:r>
        <w:t xml:space="preserve"> </w:t>
      </w:r>
      <w:r>
        <w:t xml:space="preserve">	</w:t>
      </w:r>
      <w:r>
        <w:t xml:space="preserve">Arnold, P.A.</w:t>
      </w:r>
      <w:r>
        <w:t xml:space="preserve"> </w:t>
      </w:r>
      <w:r>
        <w:rPr>
          <w:i/>
          <w:iCs/>
        </w:rPr>
        <w:t xml:space="preserve">et al.</w:t>
      </w:r>
      <w:r>
        <w:t xml:space="preserve"> </w:t>
      </w:r>
      <w:r>
        <w:t xml:space="preserve">(2019) Sparse evidence for selection on phenotypic plasticity in response to temperature.</w:t>
      </w:r>
      <w:r>
        <w:t xml:space="preserve"> </w:t>
      </w:r>
      <w:r>
        <w:rPr>
          <w:i/>
          <w:iCs/>
        </w:rPr>
        <w:t xml:space="preserve">Philos. Trans. R. Soc. Lond. B Biol. Sci.</w:t>
      </w:r>
      <w:r>
        <w:t xml:space="preserve"> </w:t>
      </w:r>
      <w:r>
        <w:t xml:space="preserve">374, 20180185</w:t>
      </w:r>
    </w:p>
    <w:bookmarkEnd w:id="128"/>
    <w:bookmarkStart w:id="129" w:name="ref-Arnold2024"/>
    <w:p>
      <w:pPr>
        <w:pStyle w:val="Bibliography"/>
      </w:pPr>
      <w:r>
        <w:t xml:space="preserve">92.</w:t>
      </w:r>
      <w:r>
        <w:t xml:space="preserve"> </w:t>
      </w:r>
      <w:r>
        <w:t xml:space="preserve">	</w:t>
      </w:r>
      <w:r>
        <w:t xml:space="preserve">Arnold, P.A.</w:t>
      </w:r>
      <w:r>
        <w:t xml:space="preserve"> </w:t>
      </w:r>
      <w:r>
        <w:rPr>
          <w:i/>
          <w:iCs/>
        </w:rPr>
        <w:t xml:space="preserve">et al.</w:t>
      </w:r>
      <w:r>
        <w:t xml:space="preserve"> </w:t>
      </w:r>
      <w:r>
        <w:t xml:space="preserve">(2024) Testing the evolutionary potential of an alpine plant: Phenotypic plasticity in response to growth temperature outweighs parental environmental effects and other genetic causes of variation.</w:t>
      </w:r>
      <w:r>
        <w:t xml:space="preserve"> </w:t>
      </w:r>
      <w:r>
        <w:rPr>
          <w:i/>
          <w:iCs/>
        </w:rPr>
        <w:t xml:space="preserve">J. Exp. Bot.</w:t>
      </w:r>
      <w:r>
        <w:t xml:space="preserve"> </w:t>
      </w:r>
      <w:r>
        <w:t xml:space="preserve">75, 5971–5988</w:t>
      </w:r>
    </w:p>
    <w:bookmarkEnd w:id="129"/>
    <w:bookmarkStart w:id="130" w:name="ref-Assessment_undated-fv"/>
    <w:p>
      <w:pPr>
        <w:pStyle w:val="Bibliography"/>
      </w:pPr>
      <w:r>
        <w:t xml:space="preserve">93.</w:t>
      </w:r>
      <w:r>
        <w:t xml:space="preserve"> </w:t>
      </w:r>
      <w:r>
        <w:t xml:space="preserve">	</w:t>
      </w:r>
      <w:r>
        <w:t xml:space="preserve">Assessment, M.E. (2005) Opportunities and challenges for business and industryunioviedo.es</w:t>
      </w:r>
    </w:p>
    <w:bookmarkEnd w:id="130"/>
    <w:bookmarkStart w:id="131" w:name="ref-Dandy2019"/>
    <w:p>
      <w:pPr>
        <w:pStyle w:val="Bibliography"/>
      </w:pPr>
      <w:r>
        <w:t xml:space="preserve">94.</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31"/>
    <w:bookmarkStart w:id="132" w:name="ref-Price2014"/>
    <w:p>
      <w:pPr>
        <w:pStyle w:val="Bibliography"/>
      </w:pPr>
      <w:r>
        <w:t xml:space="preserve">95.</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32"/>
    <w:bookmarkStart w:id="133" w:name="ref-Leviston2018"/>
    <w:p>
      <w:pPr>
        <w:pStyle w:val="Bibliography"/>
      </w:pPr>
      <w:r>
        <w:t xml:space="preserve">96.</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33"/>
    <w:bookmarkStart w:id="134" w:name="ref-Bai2016"/>
    <w:p>
      <w:pPr>
        <w:pStyle w:val="Bibliography"/>
      </w:pPr>
      <w:r>
        <w:t xml:space="preserve">97.</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34"/>
    <w:bookmarkStart w:id="135" w:name="ref-Grimm2008"/>
    <w:p>
      <w:pPr>
        <w:pStyle w:val="Bibliography"/>
      </w:pPr>
      <w:r>
        <w:t xml:space="preserve">98.</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35"/>
    <w:bookmarkStart w:id="136" w:name="ref-Hendricks2022"/>
    <w:p>
      <w:pPr>
        <w:pStyle w:val="Bibliography"/>
      </w:pPr>
      <w:r>
        <w:t xml:space="preserve">99.</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36"/>
    <w:bookmarkStart w:id="137" w:name="ref-Sutanto2020"/>
    <w:p>
      <w:pPr>
        <w:pStyle w:val="Bibliography"/>
      </w:pPr>
      <w:r>
        <w:t xml:space="preserve">100.</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37"/>
    <w:bookmarkStart w:id="138" w:name="ref-Liu2007"/>
    <w:p>
      <w:pPr>
        <w:pStyle w:val="Bibliography"/>
      </w:pPr>
      <w:r>
        <w:t xml:space="preserve">101.</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38"/>
    <w:bookmarkStart w:id="139" w:name="ref-Black2011"/>
    <w:p>
      <w:pPr>
        <w:pStyle w:val="Bibliography"/>
      </w:pPr>
      <w:r>
        <w:t xml:space="preserve">102.</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39"/>
    <w:bookmarkStart w:id="140" w:name="ref-Neil_Adger1999"/>
    <w:p>
      <w:pPr>
        <w:pStyle w:val="Bibliography"/>
      </w:pPr>
      <w:r>
        <w:t xml:space="preserve">103.</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40"/>
    <w:bookmarkStart w:id="141" w:name="ref-Folke2016"/>
    <w:p>
      <w:pPr>
        <w:pStyle w:val="Bibliography"/>
      </w:pPr>
      <w:r>
        <w:t xml:space="preserve">104.</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41"/>
    <w:bookmarkStart w:id="142" w:name="ref-Schluter2012"/>
    <w:p>
      <w:pPr>
        <w:pStyle w:val="Bibliography"/>
      </w:pPr>
      <w:r>
        <w:t xml:space="preserve">105.</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42"/>
    <w:bookmarkStart w:id="143" w:name="ref-Wise2014"/>
    <w:p>
      <w:pPr>
        <w:pStyle w:val="Bibliography"/>
      </w:pPr>
      <w:r>
        <w:t xml:space="preserve">106.</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43"/>
    <w:bookmarkStart w:id="144" w:name="ref-Biggs2021"/>
    <w:p>
      <w:pPr>
        <w:pStyle w:val="Bibliography"/>
      </w:pPr>
      <w:r>
        <w:t xml:space="preserve">107.</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44"/>
    <w:bookmarkStart w:id="145" w:name="ref-Brown2021"/>
    <w:p>
      <w:pPr>
        <w:pStyle w:val="Bibliography"/>
      </w:pPr>
      <w:r>
        <w:t xml:space="preserve">108.</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45"/>
    <w:bookmarkStart w:id="146" w:name="ref-Kwakkel2013"/>
    <w:p>
      <w:pPr>
        <w:pStyle w:val="Bibliography"/>
      </w:pPr>
      <w:r>
        <w:t xml:space="preserve">109.</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46"/>
    <w:bookmarkStart w:id="147" w:name="ref-Shekhawat2022"/>
    <w:p>
      <w:pPr>
        <w:pStyle w:val="Bibliography"/>
      </w:pPr>
      <w:r>
        <w:t xml:space="preserve">110.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47"/>
    <w:bookmarkEnd w:id="148"/>
    <w:p>
      <w:pPr>
        <w:pStyle w:val="BodyText"/>
      </w:pPr>
    </w:p>
    <w:bookmarkEnd w:id="149"/>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8"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28"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2025-06-01T01:54:03Z</dcterms:created>
  <dcterms:modified xsi:type="dcterms:W3CDTF">2025-06-01T01:54:03Z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