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systems-modelling approach to predict biological responses to extreme heat</w:t>
      </w:r>
    </w:p>
    <w:p>
      <w:pPr>
        <w:pStyle w:val="FirstParagraph"/>
      </w:pPr>
      <w:r>
        <w:t xml:space="preserve">Daniel W.A. Noble</w:t>
      </w:r>
      <w:r>
        <w:rPr>
          <w:vertAlign w:val="superscript"/>
        </w:rPr>
        <w:t xml:space="preserve">1</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w:t>
      </w:r>
      <m:oMath>
        <m:r>
          <m:rPr>
            <m:sty m:val="p"/>
          </m:rPr>
          <m:t>†</m:t>
        </m:r>
      </m:oMath>
      <w:r>
        <w:t xml:space="preserve">, James Cook</w:t>
      </w:r>
      <w:r>
        <w:rPr>
          <w:vertAlign w:val="superscript"/>
        </w:rPr>
        <w:t xml:space="preserve">3</w:t>
      </w:r>
      <w:r>
        <w:t xml:space="preserve">, Brajesh Singh</w:t>
      </w:r>
      <w:r>
        <w:rPr>
          <w:vertAlign w:val="superscript"/>
        </w:rPr>
        <w:t xml:space="preserve">3</w:t>
      </w:r>
      <w:r>
        <w:t xml:space="preserve">, Adrienne Nicotra</w:t>
      </w:r>
      <w:r>
        <w:rPr>
          <w:vertAlign w:val="superscript"/>
        </w:rPr>
        <w:t xml:space="preserve">1,4</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Danielle Way</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Zhong-Hua Chen</w:t>
      </w:r>
      <w:r>
        <w:rPr>
          <w:vertAlign w:val="superscript"/>
        </w:rPr>
        <w:t xml:space="preserve">3</w:t>
      </w:r>
      <w:r>
        <w:t xml:space="preserve"> </w:t>
      </w:r>
      <m:oMath>
        <m:r>
          <m:rPr>
            <m:sty m:val="p"/>
          </m:rPr>
          <m:t>†</m:t>
        </m:r>
      </m:oMath>
      <w:r>
        <w:t xml:space="preserve">, Steven Lade</w:t>
      </w:r>
      <w:r>
        <w:rPr>
          <w:vertAlign w:val="superscript"/>
        </w:rPr>
        <w:t xml:space="preserve">5</w:t>
      </w:r>
      <w:r>
        <w:t xml:space="preserve"> </w:t>
      </w:r>
      <m:oMath>
        <m:r>
          <m:rPr>
            <m:sty m:val="p"/>
          </m:rPr>
          <m:t>†</m:t>
        </m:r>
      </m:oMath>
      <w:r>
        <w:t xml:space="preserve">, Xuemei Bai</w:t>
      </w:r>
      <w:r>
        <w:rPr>
          <w:vertAlign w:val="superscript"/>
        </w:rPr>
        <w:t xml:space="preserve">5</w:t>
      </w:r>
      <w:r>
        <w:t xml:space="preserve"> </w:t>
      </w:r>
      <m:oMath>
        <m:r>
          <m:rPr>
            <m:sty m:val="p"/>
          </m:rPr>
          <m:t>†</m:t>
        </m:r>
      </m:oMath>
      <w:r>
        <w:t xml:space="preserve">, Micheal R. Kearney</w:t>
      </w:r>
      <w:r>
        <w:rPr>
          <w:vertAlign w:val="superscript"/>
        </w:rPr>
        <w:t xml:space="preserve">2</w:t>
      </w:r>
      <w:r>
        <w:t xml:space="preserve"> </w:t>
      </w:r>
      <m:oMath>
        <m:r>
          <m:rPr>
            <m:sty m:val="p"/>
          </m:rPr>
          <m:t>‡</m:t>
        </m:r>
      </m:oMath>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w:t>
      </w:r>
      <w:r>
        <w:br/>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 &amp; m.kearney@unimelb.edu.au</w:t>
      </w:r>
      <w:r>
        <w:br/>
      </w:r>
      <m:oMath>
        <m:r>
          <m:rPr>
            <m:sty m:val="p"/>
          </m:rPr>
          <m:t>†</m:t>
        </m:r>
      </m:oMath>
      <w:r>
        <w:t xml:space="preserve"> </w:t>
      </w:r>
      <w:r>
        <w:t xml:space="preserve">These authors contributed equally to this work.</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This includes knowledge of habitat-mediated changes in microclimates, biophysical controls on body temperature, temperature sensitivity of organismal physiology, and how the effects of heatwaves vary depending on thermal history. We show how existing models in disparate fields can be linked to achieve a level of understanding necessary for calculated responses to extreme heat from individuals to socioecological systems, now and into the future.</w:t>
      </w:r>
    </w:p>
    <w:bookmarkEnd w:id="20"/>
    <w:bookmarkStart w:id="21" w:name="X34830df71e149b35ac0b6fcbe8f39884d8c43ee"/>
    <w:p>
      <w:pPr>
        <w:pStyle w:val="Heading1"/>
      </w:pPr>
      <w:r>
        <w:t xml:space="preserve">A need for a mechanistically informed modelling framework for interpreting and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biophysical, physiological, population and community ecology models. We argue that such a feat is becoming increasingly more tangible and will provide powerful new ways of predicting how extreme heat shapes community dynamics. Physiological models can now be seamlessly integrated with biophysical models of heat and mass exchange to characterise organismal body temperatures and simulate the effects of extreme heat events on the entire life cycle of species within communities</w:t>
      </w:r>
      <w:r>
        <w:t xml:space="preserve"> </w:t>
      </w:r>
      <w:r>
        <w:t xml:space="preserve">[16–20]</w:t>
      </w:r>
      <w:r>
        <w:t xml:space="preserve">. Physiological models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w:t>
      </w:r>
      <w:r>
        <w:t xml:space="preserve"> </w:t>
      </w:r>
      <w:r>
        <w:t xml:space="preserve">[22,23]</w:t>
      </w:r>
      <w:r>
        <w:t xml:space="preserve">.</w:t>
      </w:r>
    </w:p>
    <w:p>
      <w:pPr>
        <w:pStyle w:val="BodyText"/>
      </w:pPr>
      <w:r>
        <w:t xml:space="preserve">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‘extreme heat’</w:t>
      </w:r>
      <w:r>
        <w:t xml:space="preserve"> </w:t>
      </w:r>
      <w:r>
        <w:t xml:space="preserve">can take on a different meaning for these organisms. For example, plants and animals have different thermal tolerances or can exploit microthermal environments in different ways to dampen the effects of extreme atmospheric heat events. As such,</w:t>
      </w:r>
      <w:r>
        <w:t xml:space="preserve"> </w:t>
      </w:r>
      <w:r>
        <w:t xml:space="preserve">‘extreme’</w:t>
      </w:r>
      <w:r>
        <w:t xml:space="preserve"> </w:t>
      </w:r>
      <w:r>
        <w:t xml:space="preserve">will be relative to the biology of the organism in question. Our framework can capture these complexities and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 in response to extreme heat.</w:t>
      </w:r>
    </w:p>
    <w:bookmarkEnd w:id="21"/>
    <w:bookmarkStart w:id="22" w:name="X2b97b971c201f11017c10c1d6e4dbfd69043166"/>
    <w:p>
      <w:pPr>
        <w:pStyle w:val="Heading1"/>
      </w:pPr>
      <w:r>
        <w:t xml:space="preserve">A systems-modelling approach to modelling biotic impacts of heatwaves</w:t>
      </w:r>
    </w:p>
    <w:p>
      <w:pPr>
        <w:pStyle w:val="FirstParagraph"/>
      </w:pPr>
      <w:r>
        <w:rPr>
          <w:b/>
          <w:bCs/>
        </w:rPr>
        <w:t xml:space="preserve">?@fig-sys</w:t>
      </w:r>
      <w:r>
        <w:t xml:space="preserve"> </w:t>
      </w:r>
      <w:r>
        <w:t xml:space="preserve">illustrates how a systems-modelling approach to understanding heatwave impacts can be achieved scaling from the level of the atmosphere to microclimate, and from individuals to populations and communities. Ultimately the impacts of extreme heat events on a community are driven by responses of individuals. Therefore, to understand extreme heat impacts on a community of organisms we must characterise the proximal thermal environments – the</w:t>
      </w:r>
      <w:r>
        <w:t xml:space="preserve"> </w:t>
      </w:r>
      <w:r>
        <w:t xml:space="preserve">‘microclimates’</w:t>
      </w:r>
      <w:r>
        <w:t xml:space="preserve"> </w:t>
      </w:r>
      <w:r>
        <w:t xml:space="preserve">– experienced by individuals of different species under a given atmospheric event, which can vary dramatically both vertically and horizontally at a given time. These microclimates must then be translated into physiological and behavioural responses, including the processes of thermal damage and repair, and how individuals mitigate their exposure to extreme heat through habitat selection and other behaviours. Dynamic energy budgets translate these individual responses into growth and reproduction trajectories across life cycles to drive population and community models of the resulting interactions. In the next sections we outline new developments in how we model all the components in</w:t>
      </w:r>
      <w:r>
        <w:t xml:space="preserve"> </w:t>
      </w:r>
      <w:r>
        <w:rPr>
          <w:b/>
          <w:bCs/>
        </w:rPr>
        <w:t xml:space="preserve">?@fig-sys</w:t>
      </w:r>
      <w:r>
        <w:t xml:space="preserve"> </w:t>
      </w:r>
      <w:r>
        <w:t xml:space="preserve">such that a truly systems-based approach to modelling biotic impacts of heatwaves is now possible.</w:t>
      </w:r>
    </w:p>
    <w:bookmarkEnd w:id="22"/>
    <w:bookmarkStart w:id="23" w:name="Xbb8a3512749f7fb1c67948ca8a2ad003fcd6253"/>
    <w:p>
      <w:pPr>
        <w:pStyle w:val="Heading1"/>
      </w:pPr>
      <w:r>
        <w:t xml:space="preserve">The current climate of extreme weather modelling</w:t>
      </w:r>
    </w:p>
    <w:bookmarkEnd w:id="23"/>
    <w:bookmarkStart w:id="24" w:name="X4da05dea4acdb2054c1e59c2f12913febac8a0c"/>
    <w:p>
      <w:pPr>
        <w:pStyle w:val="Heading1"/>
      </w:pPr>
      <w:r>
        <w:t xml:space="preserve">From weather to microclimates: predicting community wide exposure to extreme heat</w:t>
      </w:r>
    </w:p>
    <w:bookmarkEnd w:id="24"/>
    <w:bookmarkStart w:id="25" w:name="X5a6e6d313f4187bfc77082e5e5979262b26b081"/>
    <w:p>
      <w:pPr>
        <w:pStyle w:val="Heading1"/>
      </w:pPr>
      <w:r>
        <w:t xml:space="preserve">Translating exposure to organism temperature: biophysics to the rescue!</w:t>
      </w:r>
    </w:p>
    <w:p>
      <w:pPr>
        <w:pStyle w:val="FirstParagraph"/>
      </w:pPr>
      <w:r>
        <w:t xml:space="preserve">Understanding the impacts of extreme heat on a community of organisms requires that we estimate and predict the thermal environment that organisms actually experience in nature and the ways in which they mitigate their exposure to extreme heat. Climate modelling and weather event forecasting has historically been achieved through General Circulation Models – large partial differential equation networks of atmospheric, oceanic and biospheric energy and mass exchange processes – coded in fast but inflexible languages like Fortran and C. The emergence of the Julia language for scientific computing has created an opportunity to rebuild climate models in a more modular manner allowing easier interfacing between discipline-specific models and easier integration of the massive emerging power of AI for data assimilation and machine learning. Well-established models are now available to integrate information about atmospheric conditions and habitat (topography, vegetation structure, soil/substrate properties) into microclimates and then translate microclimates into trait-mediated (behaviour, morphology, physiology) body temperature through the principles of biophysical ecology. Elaborate … emphasise how very different trajectories of body temperature can arise from the same atmospheric events due to position in the habitat, morphological and physiological traits (endothermy, evaporative cooling capacity, etc.), and behavioural responses. Link this later to how it can be applied to infer differential exposure of members of a community to predict relative exposure with different degrees of detail (from rank-order stress exposure to hourly trajecto</w:t>
      </w:r>
    </w:p>
    <w:bookmarkEnd w:id="25"/>
    <w:bookmarkStart w:id="27" w:name="Xd22b977f88f0add426f49399196084251b1e16e"/>
    <w:p>
      <w:pPr>
        <w:pStyle w:val="Heading1"/>
      </w:pPr>
      <w:r>
        <w:t xml:space="preserve">Capturing the balance between physiological damage and repair to predict multi-species thermal sensitivity (Dan, Adrienne)</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[21,24]</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 Endpoints are predicted by assuming the effect of time at a given temperature decreases survival or fertility exponentially</w:t>
      </w:r>
      <w:r>
        <w:t xml:space="preserve"> </w:t>
      </w:r>
      <w:r>
        <w:t xml:space="preserve">[11,12,21,24]</w:t>
      </w:r>
      <w:r>
        <w:t xml:space="preserve">. For example, Ørsted</w:t>
      </w:r>
      <w:r>
        <w:t xml:space="preserve"> </w:t>
      </w:r>
      <w:r>
        <w:rPr>
          <w:i/>
          <w:iCs/>
        </w:rPr>
        <w:t xml:space="preserve">et al.</w:t>
      </w:r>
      <w:r>
        <w:t xml:space="preserve"> </w:t>
      </w:r>
      <w:r>
        <w:t xml:space="preserve">[12]</w:t>
      </w:r>
      <w:r>
        <w:t xml:space="preserve"> </w:t>
      </w:r>
      <w:r>
        <w:t xml:space="preserve">show that several critical life-history traits (i.e., mortality and fecundity) follow a clear exponential relationship with time, with survival and fecundity being compromised most for long thermal exposures at high temperatures in</w:t>
      </w:r>
      <w:r>
        <w:t xml:space="preserve"> </w:t>
      </w:r>
      <w:r>
        <w:rPr>
          <w:i/>
          <w:iCs/>
        </w:rPr>
        <w:t xml:space="preserve">Drosophila suzuki</w:t>
      </w:r>
      <w:r>
        <w:t xml:space="preserve">. Importantly, Ørsted</w:t>
      </w:r>
      <w:r>
        <w:t xml:space="preserve"> </w:t>
      </w:r>
      <w:r>
        <w:rPr>
          <w:i/>
          <w:iCs/>
        </w:rPr>
        <w:t xml:space="preserve">et al.</w:t>
      </w:r>
      <w:r>
        <w:t xml:space="preserve"> </w:t>
      </w:r>
      <w:r>
        <w:t xml:space="preserve">[12]</w:t>
      </w:r>
      <w:r>
        <w:t xml:space="preserve"> </w:t>
      </w:r>
      <w:r>
        <w:t xml:space="preserve">also show that reproductive sensitivity can be higher than mortality with heat injury accumulating faster to impact productivity earlier than survival. TLS theory has also been shown to apply well to photosynthetic function in plants</w:t>
      </w:r>
      <w:r>
        <w:t xml:space="preserve"> </w:t>
      </w:r>
      <w:r>
        <w:t xml:space="preserve">[25]</w:t>
      </w:r>
      <w:r>
        <w:t xml:space="preserve"> </w:t>
      </w:r>
      <w:r>
        <w:t xml:space="preserve">highlighting the potential generality of the TLS framework.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w:t>
      </w:r>
    </w:p>
    <w:p>
      <w:pPr>
        <w:pStyle w:val="BodyText"/>
      </w:pPr>
      <w:r>
        <w:t xml:space="preserve">The concept of damage/repair is critically important for understanding how heat waves affect organisms because such a mechanism can result in lagged responses to heat stress – a common feature of extreme heat events</w:t>
      </w:r>
      <w:r>
        <w:t xml:space="preserve"> </w:t>
      </w:r>
      <w:r>
        <w:t xml:space="preserve">[26]</w:t>
      </w:r>
      <w:r>
        <w:t xml:space="preserve">. Once a thermal tolerance landscape for a particular endpoint has been quantified, the thermal sensitivity (i.e., the slope</w:t>
      </w:r>
      <w:r>
        <w:t xml:space="preserve"> </w:t>
      </w:r>
      <m:oMath>
        <m:r>
          <m:t>z</m:t>
        </m:r>
      </m:oMath>
      <w:r>
        <w:t xml:space="preserve">, Figure 1) can be used to predict the accumulation of damage during stressful temperatures experienced in nature</w:t>
      </w:r>
      <w:r>
        <w:t xml:space="preserve"> </w:t>
      </w:r>
      <w:r>
        <w:t xml:space="preserve">[11,12,24]</w:t>
      </w:r>
      <w:r>
        <w:t xml:space="preserve">. Several approaches can be used to capture the accumulation of damage</w:t>
      </w:r>
      <w:r>
        <w:t xml:space="preserve"> </w:t>
      </w:r>
      <w:r>
        <w:t xml:space="preserve">[11,12,24]</w:t>
      </w:r>
      <w:r>
        <w:t xml:space="preserve">, but a simplistic way can be computed following Ørsted</w:t>
      </w:r>
      <w:r>
        <w:t xml:space="preserve"> </w:t>
      </w:r>
      <w:r>
        <w:rPr>
          <w:i/>
          <w:iCs/>
        </w:rPr>
        <w:t xml:space="preserve">et al.</w:t>
      </w:r>
      <w:r>
        <w:t xml:space="preserve"> </w:t>
      </w:r>
      <w:r>
        <w:t xml:space="preserve">[12]</w:t>
      </w:r>
      <w:r>
        <w:t xml:space="preserve">:</w:t>
      </w:r>
    </w:p>
    <w:p>
      <w:pPr>
        <w:pStyle w:val="BodyText"/>
      </w:pPr>
      <w:bookmarkStart w:id="26" w:name="eq-hi"/>
      <m:oMathPara>
        <m:oMathParaPr>
          <m:jc m:val="center"/>
        </m:oMathParaPr>
        <m:oMath>
          <m:r>
            <m:t>H</m:t>
          </m:r>
          <m:r>
            <m:t>I</m:t>
          </m:r>
          <m:r>
            <m:rPr>
              <m:sty m:val="p"/>
            </m:rPr>
            <m:t>=</m:t>
          </m:r>
          <m:nary>
            <m:naryPr>
              <m:chr m:val="∑"/>
              <m:limLoc m:val="undOvr"/>
              <m:subHide m:val="off"/>
              <m:supHide m:val="off"/>
            </m:naryPr>
            <m:sub>
              <m:r>
                <m:t>i</m:t>
              </m:r>
              <m:r>
                <m:rPr>
                  <m:sty m:val="p"/>
                </m:rPr>
                <m:t>=</m:t>
              </m:r>
              <m:r>
                <m:t>1</m:t>
              </m:r>
            </m:sub>
            <m:sup>
              <m:sSub>
                <m:e>
                  <m:r>
                    <m:t>T</m:t>
                  </m:r>
                </m:e>
                <m:sub>
                  <m:r>
                    <m:t>e</m:t>
                  </m:r>
                </m:sub>
              </m:sSub>
              <m:r>
                <m:rPr>
                  <m:sty m:val="p"/>
                </m:rPr>
                <m:t>&gt;</m:t>
              </m:r>
              <m:sSub>
                <m:e>
                  <m:r>
                    <m:t>T</m:t>
                  </m:r>
                </m:e>
                <m:sub>
                  <m:r>
                    <m:t>c</m:t>
                  </m:r>
                </m:sub>
              </m:sSub>
            </m:sup>
            <m:e>
              <m:f>
                <m:fPr>
                  <m:type m:val="bar"/>
                </m:fPr>
                <m:num>
                  <m:r>
                    <m:t>100</m:t>
                  </m:r>
                  <m:r>
                    <m:rPr>
                      <m:sty m:val="p"/>
                    </m:rPr>
                    <m:t>⋅</m:t>
                  </m:r>
                  <m:d>
                    <m:dPr>
                      <m:begChr m:val="("/>
                      <m:sepChr m:val=""/>
                      <m:endChr m:val=")"/>
                      <m:grow/>
                    </m:dPr>
                    <m:e>
                      <m:sSub>
                        <m:e>
                          <m:r>
                            <m:t>t</m:t>
                          </m:r>
                        </m:e>
                        <m:sub>
                          <m:r>
                            <m:t>i</m:t>
                          </m:r>
                          <m:r>
                            <m:rPr>
                              <m:sty m:val="p"/>
                            </m:rPr>
                            <m:t>+</m:t>
                          </m:r>
                          <m:r>
                            <m:t>1</m:t>
                          </m:r>
                        </m:sub>
                      </m:sSub>
                      <m:r>
                        <m:rPr>
                          <m:sty m:val="p"/>
                        </m:rPr>
                        <m:t>−</m:t>
                      </m:r>
                      <m:sSub>
                        <m:e>
                          <m:r>
                            <m:t>t</m:t>
                          </m:r>
                        </m:e>
                        <m:sub>
                          <m:r>
                            <m:t>i</m:t>
                          </m:r>
                        </m:sub>
                      </m:sSub>
                    </m:e>
                  </m:d>
                </m:num>
                <m:den>
                  <m:sSup>
                    <m:e>
                      <m:r>
                        <m:t>10</m:t>
                      </m:r>
                    </m:e>
                    <m:sup>
                      <m:d>
                        <m:dPr>
                          <m:begChr m:val="("/>
                          <m:sepChr m:val=""/>
                          <m:endChr m:val=")"/>
                          <m:grow/>
                        </m:dPr>
                        <m:e>
                          <m:r>
                            <m:rPr>
                              <m:sty m:val="p"/>
                            </m:rPr>
                            <m:t>−</m:t>
                          </m:r>
                          <m:f>
                            <m:fPr>
                              <m:type m:val="bar"/>
                            </m:fPr>
                            <m:num>
                              <m:r>
                                <m:t>1</m:t>
                              </m:r>
                            </m:num>
                            <m:den>
                              <m:r>
                                <m:t>z</m:t>
                              </m:r>
                            </m:den>
                          </m:f>
                          <m:r>
                            <m:rPr>
                              <m:sty m:val="p"/>
                            </m:rPr>
                            <m:t>⋅</m:t>
                          </m:r>
                          <m:r>
                            <m:t>m</m:t>
                          </m:r>
                          <m:r>
                            <m:t>a</m:t>
                          </m:r>
                          <m:r>
                            <m:t>x</m:t>
                          </m:r>
                          <m:d>
                            <m:dPr>
                              <m:begChr m:val="("/>
                              <m:sepChr m:val=""/>
                              <m:endChr m:val=")"/>
                              <m:grow/>
                            </m:dPr>
                            <m:e>
                              <m:sSub>
                                <m:e>
                                  <m:r>
                                    <m:t>T</m:t>
                                  </m:r>
                                </m:e>
                                <m:sub>
                                  <m:r>
                                    <m:t>i</m:t>
                                  </m:r>
                                </m:sub>
                              </m:sSub>
                              <m:r>
                                <m:rPr>
                                  <m:sty m:val="p"/>
                                </m:rPr>
                                <m:t>;</m:t>
                              </m:r>
                              <m:sSub>
                                <m:e>
                                  <m:r>
                                    <m:t>T</m:t>
                                  </m:r>
                                </m:e>
                                <m:sub>
                                  <m:r>
                                    <m:t>i</m:t>
                                  </m:r>
                                  <m:r>
                                    <m:rPr>
                                      <m:sty m:val="p"/>
                                    </m:rPr>
                                    <m:t>+</m:t>
                                  </m:r>
                                  <m:r>
                                    <m:t>1</m:t>
                                  </m:r>
                                </m:sub>
                              </m:sSub>
                            </m:e>
                          </m:d>
                          <m:r>
                            <m:rPr>
                              <m:sty m:val="p"/>
                            </m:rPr>
                            <m:t>+</m:t>
                          </m:r>
                          <m:r>
                            <m:t>α</m:t>
                          </m:r>
                        </m:e>
                      </m:d>
                    </m:sup>
                  </m:sSup>
                </m:den>
              </m:f>
            </m:e>
          </m:nary>
          <m:r>
            <m:t>  </m:t>
          </m:r>
          <m:d>
            <m:dPr>
              <m:begChr m:val="("/>
              <m:sepChr m:val=""/>
              <m:endChr m:val=")"/>
              <m:grow/>
            </m:dPr>
            <m:e>
              <m:r>
                <m:t>1</m:t>
              </m:r>
            </m:e>
          </m:d>
        </m:oMath>
      </m:oMathPara>
      <w:bookmarkEnd w:id="26"/>
    </w:p>
    <w:p>
      <w:pPr>
        <w:pStyle w:val="FirstParagraph"/>
      </w:pPr>
      <w:hyperlink w:anchor="eq-hi">
        <w:r>
          <w:rPr>
            <w:rStyle w:val="Hyperlink"/>
          </w:rPr>
          <w:t xml:space="preserve">Equation 1</w:t>
        </w:r>
      </w:hyperlink>
      <w:r>
        <w:t xml:space="preserve"> </w:t>
      </w:r>
      <w:r>
        <w:t xml:space="preserve">summarizes heat injures (HI) sustained across time,</w:t>
      </w:r>
      <w:r>
        <w:t xml:space="preserve"> </w:t>
      </w:r>
      <m:oMath>
        <m:r>
          <m:t>t</m:t>
        </m:r>
      </m:oMath>
      <w:r>
        <w:t xml:space="preserve">, during heat stress events (i.e., when body temperatures are greater than the critical temperatures,</w:t>
      </w:r>
      <w:r>
        <w:t xml:space="preserve"> </w:t>
      </w:r>
      <m:oMath>
        <m:sSub>
          <m:e>
            <m:r>
              <m:t>T</m:t>
            </m:r>
          </m:e>
          <m:sub>
            <m:r>
              <m:t>e</m:t>
            </m:r>
          </m:sub>
        </m:sSub>
        <m:r>
          <m:rPr>
            <m:sty m:val="p"/>
          </m:rPr>
          <m:t>&gt;</m:t>
        </m:r>
        <m:sSub>
          <m:e>
            <m:r>
              <m:t>T</m:t>
            </m:r>
          </m:e>
          <m:sub>
            <m:r>
              <m:t>c</m:t>
            </m:r>
          </m:sub>
        </m:sSub>
      </m:oMath>
      <w:r>
        <w:t xml:space="preserve">) using information about the maximum temperature,</w:t>
      </w:r>
      <w:r>
        <w:t xml:space="preserve"> </w:t>
      </w:r>
      <m:oMath>
        <m:r>
          <m:t>T</m:t>
        </m:r>
      </m:oMath>
      <w:r>
        <w:t xml:space="preserve">, experienced between time point</w:t>
      </w:r>
      <w:r>
        <w:t xml:space="preserve"> </w:t>
      </w:r>
      <m:oMath>
        <m:sSub>
          <m:e>
            <m:r>
              <m:t>t</m:t>
            </m:r>
          </m:e>
          <m:sub>
            <m:r>
              <m:t>i</m:t>
            </m:r>
          </m:sub>
        </m:sSub>
      </m:oMath>
      <w:r>
        <w:t xml:space="preserve"> </w:t>
      </w:r>
      <w:r>
        <w:t xml:space="preserve">and</w:t>
      </w:r>
      <w:r>
        <w:t xml:space="preserve"> </w:t>
      </w:r>
      <m:oMath>
        <m:sSub>
          <m:e>
            <m:r>
              <m:t>t</m:t>
            </m:r>
          </m:e>
          <m:sub>
            <m:r>
              <m:t>i</m:t>
            </m:r>
            <m:r>
              <m:rPr>
                <m:sty m:val="p"/>
              </m:rPr>
              <m:t>+</m:t>
            </m:r>
            <m:r>
              <m:t>1</m:t>
            </m:r>
          </m:sub>
        </m:sSub>
      </m:oMath>
      <w:r>
        <w:t xml:space="preserve"> </w:t>
      </w:r>
      <w:r>
        <w:t xml:space="preserve">and the thermal sensitivity (i.e.,</w:t>
      </w:r>
      <w:r>
        <w:t xml:space="preserve"> </w:t>
      </w:r>
      <m:oMath>
        <m:r>
          <m:t>z</m:t>
        </m:r>
      </m:oMath>
      <w:r>
        <w:t xml:space="preserve"> </w:t>
      </w:r>
      <w:r>
        <w:t xml:space="preserve">and</w:t>
      </w:r>
      <w:r>
        <w:t xml:space="preserve"> </w:t>
      </w:r>
      <m:oMath>
        <m:r>
          <m:t>α</m:t>
        </m:r>
      </m:oMath>
      <w:r>
        <w:t xml:space="preserve">). Once an organism accumulates damage to reach a given threshold the endpoint has been reached. While the process of repair can be decoupled from damage and integrated within these models thermal sensitivity already captures aspects of the repair process. Modelling the intricate balance between damage and repair for a suite of different species can help identify susceptible species, life stages and tissues that are most at risk from extreme heat events which allow for more accurate predictions of the varying sensitivity of species across a community.</w:t>
      </w:r>
    </w:p>
    <w:bookmarkEnd w:id="27"/>
    <w:bookmarkStart w:id="28" w:name="X26e2617c7557035eb826bdba0aa1bfc30f8def3"/>
    <w:p>
      <w:pPr>
        <w:pStyle w:val="Heading1"/>
      </w:pPr>
      <w:r>
        <w:t xml:space="preserve">Sensitivity to extreme heat is mediated by environmental feedbacks</w:t>
      </w:r>
    </w:p>
    <w:bookmarkEnd w:id="28"/>
    <w:bookmarkStart w:id="29" w:name="X709d9ec1b3c8fb9d05ea9ded451dca156568e07"/>
    <w:p>
      <w:pPr>
        <w:pStyle w:val="Heading1"/>
      </w:pPr>
      <w:r>
        <w:t xml:space="preserve">Community interactions that can shape thermal sensitivity in plants and animals</w:t>
      </w:r>
    </w:p>
    <w:p>
      <w:pPr>
        <w:pStyle w:val="FirstParagraph"/>
      </w:pPr>
      <w:r>
        <w:t xml:space="preserve">When modelling the heat sensitivity of plants and animals it can be important to consider interactions with microbial communities and how these communities might also change in response to extreme heat. For example, heat tolerance of animals can be both increased and decreased through changes in the gut microbiome and/or through microbes that are resident in animal tissues (endosymbionts). Disruption of the natural gut microbiome of tadpoles increases their sensitivity to heat</w:t>
      </w:r>
      <w:r>
        <w:t xml:space="preserve"> </w:t>
      </w:r>
      <w:r>
        <w:t xml:space="preserve">[27]</w:t>
      </w:r>
      <w:r>
        <w:t xml:space="preserve">, which is thought to be associated with transcriptional buffering of hosts by the natural microbiome</w:t>
      </w:r>
      <w:r>
        <w:t xml:space="preserve"> </w:t>
      </w:r>
      <w:r>
        <w:t xml:space="preserve">[28]</w:t>
      </w:r>
      <w:r>
        <w:t xml:space="preserve">. Specific gut bacteria may provide a protective effect on their host.</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[29]</w:t>
      </w:r>
      <w:r>
        <w:t xml:space="preserve">. Moreover, this protective effect can influence the ability of the host to evolve further resistance to the heat shock and harboured more bacteria</w:t>
      </w:r>
      <w:r>
        <w:t xml:space="preserve"> </w:t>
      </w:r>
      <w:r>
        <w:t xml:space="preserve">[30]</w:t>
      </w:r>
      <w:r>
        <w:t xml:space="preserve">. Even microbes that are normally parasitic on their hosts can generate benefits to them under stressful conditions. In the mussel</w:t>
      </w:r>
      <w:r>
        <w:t xml:space="preserve"> </w:t>
      </w:r>
      <w:r>
        <w:rPr>
          <w:i/>
          <w:iCs/>
        </w:rPr>
        <w:t xml:space="preserve">Mytilis californianus</w:t>
      </w:r>
      <w:r>
        <w:t xml:space="preserve">, microbes living on the shell of this species weaken it but also change shell colour in such a way that the mussels become more resistant to heat stress when exposed at low tide</w:t>
      </w:r>
      <w:r>
        <w:t xml:space="preserve"> </w:t>
      </w:r>
      <w:r>
        <w:t xml:space="preserve">[31]</w:t>
      </w:r>
      <w:r>
        <w:t xml:space="preserve">, On the other hand, many endosymbionts including those providing host benefits appear particularly sensitive to heat</w:t>
      </w:r>
      <w:r>
        <w:t xml:space="preserve"> </w:t>
      </w:r>
      <w:r>
        <w:t xml:space="preserve">[32]</w:t>
      </w:r>
      <w:r>
        <w:t xml:space="preserve">. The density of</w:t>
      </w:r>
      <w:r>
        <w:t xml:space="preserve"> </w:t>
      </w:r>
      <w:r>
        <w:rPr>
          <w:i/>
          <w:iCs/>
        </w:rPr>
        <w:t xml:space="preserve">Buchnera</w:t>
      </w:r>
      <w:r>
        <w:t xml:space="preserve"> </w:t>
      </w:r>
      <w:r>
        <w:t xml:space="preserve">decreases under heat in aphid species that are relatively less tolerant to heat, whereas</w:t>
      </w:r>
      <w:r>
        <w:t xml:space="preserve"> </w:t>
      </w:r>
      <w:r>
        <w:rPr>
          <w:i/>
          <w:iCs/>
        </w:rPr>
        <w:t xml:space="preserve">Buchnera</w:t>
      </w:r>
      <w:r>
        <w:t xml:space="preserve"> </w:t>
      </w:r>
      <w:r>
        <w:t xml:space="preserve">densities in more tolerant aphids appear unaffected</w:t>
      </w:r>
      <w:r>
        <w:t xml:space="preserve"> </w:t>
      </w:r>
      <w:r>
        <w:t xml:space="preserve">[33]</w:t>
      </w:r>
      <w:r>
        <w:t xml:space="preserve">. Nevertheless, the heat tolerance of pea aphids can be sharply increased through a mutation in a heat shock protein encoded by</w:t>
      </w:r>
      <w:r>
        <w:t xml:space="preserve"> </w:t>
      </w:r>
      <w:r>
        <w:rPr>
          <w:i/>
          <w:iCs/>
        </w:rPr>
        <w:t xml:space="preserve">Buchnera</w:t>
      </w:r>
      <w:r>
        <w:t xml:space="preserve"> </w:t>
      </w:r>
      <w:r>
        <w:t xml:space="preserve">[34]</w:t>
      </w:r>
      <w:r>
        <w:t xml:space="preserve">.</w:t>
      </w:r>
    </w:p>
    <w:p>
      <w:pPr>
        <w:pStyle w:val="BodyText"/>
      </w:pPr>
      <w:r>
        <w:t xml:space="preserve">Interactions between plants and microorganisms, such as plant growth-promoting rhizobacteria (PGPR), arbuscular mycorrhizal fungi (AMF), and bacterial or fungal endophytes have also been shown to impact growth, defense, and heat tolerance in plants</w:t>
      </w:r>
      <w:r>
        <w:t xml:space="preserve"> </w:t>
      </w:r>
      <w:r>
        <w:t xml:space="preserve">[35–37]</w:t>
      </w:r>
      <w:r>
        <w:t xml:space="preserve">. These interactions are usually achieved by stimulating the production of essential phytohormones, secondary metabolites, organic acids, and amino acids that helps the plant to mitigate heat stress</w:t>
      </w:r>
      <w:r>
        <w:t xml:space="preserve"> </w:t>
      </w:r>
      <w:r>
        <w:t xml:space="preserve">[38,39]</w:t>
      </w:r>
      <w:r>
        <w:t xml:space="preserve">. Under the current global climate change scenarios, each degree Celsius increase in global mean temperature is estimated to reduce the global yield of wheat by 6.0% and soybean (Glycine max) by 3.1%</w:t>
      </w:r>
      <w:r>
        <w:t xml:space="preserve"> </w:t>
      </w:r>
      <w:r>
        <w:t xml:space="preserve">[40]</w:t>
      </w:r>
      <w:r>
        <w:t xml:space="preserve">. For instance, bread wheat (</w:t>
      </w:r>
      <w:r>
        <w:rPr>
          <w:i/>
          <w:iCs/>
        </w:rPr>
        <w:t xml:space="preserve">Triticum aestivum</w:t>
      </w:r>
      <w:r>
        <w:t xml:space="preserve">) has an optimum temperature of 22°C, but temperatures above that range impair cellular processes, with adverse effects on development and reproductive of plants, leading to senescence and yield loss</w:t>
      </w:r>
      <w:r>
        <w:t xml:space="preserve"> </w:t>
      </w:r>
      <w:r>
        <w:t xml:space="preserve">[41,42]</w:t>
      </w:r>
      <w:r>
        <w:t xml:space="preserve">. The complexity of plant-microbe interaction under heat stress means that enormous efforts are required to decipher the interaction networks at molecular, tissue, and organism levels. These cannot be fully understood without the advanced bioinformatics tools and models of Artificial Intelligence/Machine Learning (AI/ML) in the new era of AI for all aspects of sciences. There are excellent AI/ML models developed for plants</w:t>
      </w:r>
      <w:r>
        <w:t xml:space="preserve"> </w:t>
      </w:r>
      <w:r>
        <w:t xml:space="preserve">[43,44]</w:t>
      </w:r>
      <w:r>
        <w:t xml:space="preserve"> </w:t>
      </w:r>
      <w:r>
        <w:t xml:space="preserve">and microorganism</w:t>
      </w:r>
      <w:r>
        <w:t xml:space="preserve"> </w:t>
      </w:r>
      <w:r>
        <w:t xml:space="preserve">[45]</w:t>
      </w:r>
      <w:r>
        <w:t xml:space="preserve">. However, comprehensive models with high prediction powers for plant microbe interactions are still lacking, which hampers our understanding of the heat tolerance in plants and microorganisms.</w:t>
      </w:r>
    </w:p>
    <w:bookmarkEnd w:id="29"/>
    <w:bookmarkStart w:id="30" w:name="Xf7a8b061298c769a249e4cfc121bdb94e09ce12"/>
    <w:p>
      <w:pPr>
        <w:pStyle w:val="Heading1"/>
      </w:pPr>
      <w:r>
        <w:t xml:space="preserve">Dynamic Energy Budget (DEB) models that capture the effects of extreme heat across life (Mike and Dan)</w:t>
      </w:r>
    </w:p>
    <w:p>
      <w:pPr>
        <w:pStyle w:val="FirstParagraph"/>
      </w:pPr>
      <w:r>
        <w:t xml:space="preserve">Dynamic Energy Budget (DEB) models are physiologically explicit life-cycle models of energy and mass uptake and conversion that predict key life-history transitions, growth, reproduction and survival through time for diverse species</w:t>
      </w:r>
      <w:r>
        <w:t xml:space="preserve"> </w:t>
      </w:r>
      <w:r>
        <w:t xml:space="preserve">[16,46]</w:t>
      </w:r>
      <w:r>
        <w:t xml:space="preserve">. DEB models consider organisms as a thermodynamic system (adhering to energy-mass balance) capturing the exchange of food, water, respiratory gases and metabolic waste from egg to adult</w:t>
      </w:r>
      <w:r>
        <w:t xml:space="preserve"> </w:t>
      </w:r>
      <w:r>
        <w:t xml:space="preserve">[20]</w:t>
      </w:r>
      <w:r>
        <w:t xml:space="preserve">. DEB models can translate short-term (hourly) variation in factors, such as temperature, toxins (e.g., toxicants,</w:t>
      </w:r>
      <w:r>
        <w:t xml:space="preserve"> </w:t>
      </w:r>
      <w:r>
        <w:t xml:space="preserve">[48]</w:t>
      </w:r>
      <w:r>
        <w:t xml:space="preserve">) and resource availability (nutrients)</w:t>
      </w:r>
      <w:r>
        <w:t xml:space="preserve"> </w:t>
      </w:r>
      <w:r>
        <w:t xml:space="preserve">[49,50]</w:t>
      </w:r>
      <w:r>
        <w:t xml:space="preserve"> </w:t>
      </w:r>
      <w:r>
        <w:t xml:space="preserve">into long-term (days, months, years) effects on development, growth, reproduction and survival</w:t>
      </w:r>
      <w:r>
        <w:t xml:space="preserve"> </w:t>
      </w:r>
      <w:r>
        <w:t xml:space="preserve">[17,20]</w:t>
      </w:r>
      <w:r>
        <w:t xml:space="preserve">. DEB theory, when combined with biophysical models more generally, allows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5000 species already</w:t>
      </w:r>
      <w:r>
        <w:t xml:space="preserve"> </w:t>
      </w:r>
      <w:r>
        <w:t xml:space="preserve">[51,52]</w:t>
      </w:r>
      <w:r>
        <w:t xml:space="preserve">. New analytical approaches using phylogenetic imputation methods can be used to predict DEB parameters for over 1.3 million species providing immense opportunities to model how heat will affect life-cycles of multi-species assemblages (see https://deb.bolding-bruggeman.com,</w:t>
      </w:r>
      <w:r>
        <w:t xml:space="preserve"> </w:t>
      </w:r>
      <w:r>
        <w:t xml:space="preserve">[53]</w:t>
      </w:r>
      <w:r>
        <w:t xml:space="preserve">). In addition, software packages such as</w:t>
      </w:r>
      <w:r>
        <w:t xml:space="preserve"> </w:t>
      </w:r>
      <w:r>
        <w:rPr>
          <w:i/>
          <w:iCs/>
        </w:rPr>
        <w:t xml:space="preserve">NicheMapR</w:t>
      </w:r>
      <w:r>
        <w:t xml:space="preserve"> </w:t>
      </w:r>
      <w:r>
        <w:t xml:space="preserve">[54,55]</w:t>
      </w:r>
      <w:r>
        <w:t xml:space="preserve"> </w:t>
      </w:r>
      <w:r>
        <w:t xml:space="preserve">allow for simulations of life-cycles using parameters for diverse species. From these models key outputs on organisms such as body mass and size, reproductive success and events, along with survival can be used to parameterise vital rates needed for population and community models.</w:t>
      </w:r>
    </w:p>
    <w:bookmarkEnd w:id="30"/>
    <w:bookmarkStart w:id="31" w:name="Xbdb3df2871e98d114a1e4e74a52caa28253dc0c"/>
    <w:p>
      <w:pPr>
        <w:pStyle w:val="Heading1"/>
      </w:pPr>
      <w:r>
        <w:t xml:space="preserve">Mechanistic approaches that</w:t>
      </w:r>
      <w:r>
        <w:t xml:space="preserve"> </w:t>
      </w:r>
      <w:r>
        <w:t xml:space="preserve">‘speak’</w:t>
      </w:r>
      <w:r>
        <w:t xml:space="preserve"> </w:t>
      </w:r>
      <w:r>
        <w:t xml:space="preserve">to population and community ecology under extreme heat (Margie)</w:t>
      </w:r>
    </w:p>
    <w:p>
      <w:pPr>
        <w:pStyle w:val="FirstParagraph"/>
      </w:pPr>
      <w:r>
        <w:t xml:space="preserve">In the plant community and coexistence literature, the maintenance of community-level plant diversity is typically modelled using individual fitness models to parameterise population growth models. The most common Individual-based performance models used for this purpose in plants are the Ricker</w:t>
      </w:r>
      <w:r>
        <w:t xml:space="preserve"> </w:t>
      </w:r>
      <w:r>
        <w:t xml:space="preserve">[56]</w:t>
      </w:r>
      <w:r>
        <w:t xml:space="preserve"> </w:t>
      </w:r>
      <w:r>
        <w:t xml:space="preserve">and Beverton-Holt</w:t>
      </w:r>
      <w:r>
        <w:t xml:space="preserve"> </w:t>
      </w:r>
      <w:r>
        <w:t xml:space="preserve">[57]</w:t>
      </w:r>
      <w:r>
        <w:t xml:space="preserve"> </w:t>
      </w:r>
      <w:r>
        <w:t xml:space="preserve">models. Both of these models assume that species interactions are competitive in nature but the Ricker model allows interaction outcomes to be positive as well as negative, as long as the net outcome of interactions are negative. This is an important feature as ecological theory tells us that facilitative interactions between species, in which one or both species benefit from the presence of the other, are more common under stressful, or harsh, environments</w:t>
      </w:r>
      <w:r>
        <w:t xml:space="preserve"> </w:t>
      </w:r>
      <w:r>
        <w:t xml:space="preserve">[58]</w:t>
      </w:r>
      <w:r>
        <w:t xml:space="preserve">. In thinking about thermal extremes, it is likely that species experience a switch from amenable to harsh conditions, making it likely that interaction outcomes may flip signs</w:t>
      </w:r>
      <w:r>
        <w:t xml:space="preserve"> </w:t>
      </w:r>
      <w:r>
        <w:t xml:space="preserve">[22]</w:t>
      </w:r>
      <w:r>
        <w:t xml:space="preserve">.</w:t>
      </w:r>
    </w:p>
    <w:p>
      <w:pPr>
        <w:pStyle w:val="BodyText"/>
      </w:pPr>
      <w:r>
        <w:t xml:space="preserve">Based on modern coexistence theory, we can calculate the mutual invasibility of two populations while interacting with each other to determine if each pair of species in a community can persist indefinitely. This approach typically does not work for predicting whole community diversity, but the tools developed to test for coexistence are well suited to exploring how to link biophysical models with population growth models to advance out ability to predict how extreme thermal events will impact species in the long-term within a community context.</w:t>
      </w:r>
    </w:p>
    <w:p>
      <w:pPr>
        <w:pStyle w:val="BodyText"/>
      </w:pPr>
      <w:r>
        <w:t xml:space="preserve">Recent efforts to increase the biological realism of coexistence models have focused on exploring ways to add environmental variation into these models. Basic coexistence models are parameterised using average fitness estimates for an average environment. Approaches for integrating demographic and environmental variation into these models are emerging</w:t>
      </w:r>
      <w:r>
        <w:t xml:space="preserve"> </w:t>
      </w:r>
      <w:r>
        <w:t xml:space="preserve">[22,23]</w:t>
      </w:r>
      <w:r>
        <w:t xml:space="preserve">. The calculation of technical coexistence is not necessary for these models to help us understand the impacts extreme heat will have on individual species within a community context. Understanding how population growth will be impacted by the biophysical and physiological consequences of extreme heat events are conceptually easy to add to Ricker and Beverton-Holt population growth models, with new Bayesian frameworks</w:t>
      </w:r>
      <w:r>
        <w:t xml:space="preserve"> </w:t>
      </w:r>
      <w:r>
        <w:t xml:space="preserve">[23]</w:t>
      </w:r>
      <w:r>
        <w:t xml:space="preserve"> </w:t>
      </w:r>
      <w:r>
        <w:t xml:space="preserve">also allowing us to calculate probabilities of population growth and coexistence of population experiencing these conditions. The simplest approach to this is to modify the vital rate functions used in these models to compare population growth predictions for species that have and have not been exposed to extreme heat during core life history stages. Physiological models can be used to estimate changes to fitness resulting from an extreme heat event. We can then model the difference in population growth rates for populations that have and have not experienced those events. We can increase complexity by following Bimler</w:t>
      </w:r>
      <w:r>
        <w:t xml:space="preserve"> </w:t>
      </w:r>
      <w:r>
        <w:rPr>
          <w:i/>
          <w:iCs/>
        </w:rPr>
        <w:t xml:space="preserve">et al.</w:t>
      </w:r>
      <w:r>
        <w:t xml:space="preserve"> </w:t>
      </w:r>
      <w:r>
        <w:t xml:space="preserve">[22]</w:t>
      </w:r>
      <w:r>
        <w:t xml:space="preserve">’s approach to measuring the effects of environmental gradients on the outcomes of pairwise species interactions and the calculation of species fitness and niche differences. We could use this same technique in combination with biophysical models to estimate the consequences of localized extreme heat of different local extremes on species interactions with each other and the carry-on effects these interactions have on species fitness within local communities. Taking this a step forward, new methods are now available for calculation interaction networks based on interaction outcomes calculated using Ricker or Beverton-Holt population growth models. Thus we could take these pairwise models of population growth and create whole community networks to assess how heatwaves will alter the structure of community network structures and stability in addition to pairwise interactions</w:t>
      </w:r>
      <w:r>
        <w:t xml:space="preserve"> </w:t>
      </w:r>
      <w:r>
        <w:t xml:space="preserve">[22]</w:t>
      </w:r>
      <w:r>
        <w:t xml:space="preserve">. The limitation of these methods is that they are data hungry, but even this can be handled by emerging approaches for reducing model complexity without losing model power</w:t>
      </w:r>
      <w:r>
        <w:t xml:space="preserve"> </w:t>
      </w:r>
      <w:r>
        <w:t xml:space="preserve">[59]</w:t>
      </w:r>
      <w:r>
        <w:t xml:space="preserve">.</w:t>
      </w:r>
    </w:p>
    <w:p>
      <w:pPr>
        <w:pStyle w:val="Compact"/>
        <w:numPr>
          <w:ilvl w:val="0"/>
          <w:numId w:val="1001"/>
        </w:numPr>
      </w:pPr>
      <w:r>
        <w:t xml:space="preserve">How can we link mechanistic physiological models with population and community ecology theory?</w:t>
      </w:r>
    </w:p>
    <w:p>
      <w:pPr>
        <w:pStyle w:val="Compact"/>
        <w:numPr>
          <w:ilvl w:val="0"/>
          <w:numId w:val="1001"/>
        </w:numPr>
      </w:pPr>
      <w:r>
        <w:t xml:space="preserve">Introducing population and network models to link outputs from DEB (survival, reproduction, abundance) to population growth.</w:t>
      </w:r>
    </w:p>
    <w:p>
      <w:pPr>
        <w:pStyle w:val="Compact"/>
        <w:numPr>
          <w:ilvl w:val="0"/>
          <w:numId w:val="1001"/>
        </w:numPr>
      </w:pPr>
      <w:r>
        <w:t xml:space="preserve">How people are analysing communities with network theory. Some important papers</w:t>
      </w:r>
      <w:r>
        <w:t xml:space="preserve"> </w:t>
      </w:r>
      <w:r>
        <w:t xml:space="preserve">[60]</w:t>
      </w:r>
      <w:r>
        <w:t xml:space="preserve"> </w:t>
      </w:r>
      <w:r>
        <w:t xml:space="preserve">[61]</w:t>
      </w:r>
      <w:r>
        <w:t xml:space="preserve"> </w:t>
      </w:r>
      <w:r>
        <w:t xml:space="preserve">[62]</w:t>
      </w:r>
      <w:r>
        <w:t xml:space="preserve"> </w:t>
      </w:r>
      <w:r>
        <w:t xml:space="preserve">[63]</w:t>
      </w:r>
      <w:r>
        <w:t xml:space="preserve"> </w:t>
      </w:r>
      <w:r>
        <w:t xml:space="preserve">[64]</w:t>
      </w:r>
      <w:r>
        <w:t xml:space="preserve"> </w:t>
      </w:r>
      <w:r>
        <w:t xml:space="preserve">[65]</w:t>
      </w:r>
      <w:r>
        <w:t xml:space="preserve"> </w:t>
      </w:r>
      <w:r>
        <w:t xml:space="preserve">[66]</w:t>
      </w:r>
      <w:r>
        <w:t xml:space="preserve"> </w:t>
      </w:r>
      <w:r>
        <w:t xml:space="preserve">Should also look at this book</w:t>
      </w:r>
      <w:r>
        <w:t xml:space="preserve"> </w:t>
      </w:r>
      <w:r>
        <w:t xml:space="preserve">[67]</w:t>
      </w:r>
    </w:p>
    <w:p>
      <w:pPr>
        <w:pStyle w:val="Compact"/>
        <w:numPr>
          <w:ilvl w:val="0"/>
          <w:numId w:val="1001"/>
        </w:numPr>
      </w:pPr>
      <w:r>
        <w:t xml:space="preserve">How can we capture interactions among species within the community to predict how heat stress will affect community structure?</w:t>
      </w:r>
    </w:p>
    <w:p>
      <w:pPr>
        <w:pStyle w:val="Compact"/>
        <w:numPr>
          <w:ilvl w:val="0"/>
          <w:numId w:val="1001"/>
        </w:numPr>
      </w:pPr>
      <w:r>
        <w:t xml:space="preserve">Figure 2: demonstrating how TLS, biophysical and DEB models can be used to predict heat stress impacts on plants and animals, growth, reproduction, survival. (Dan, Margie)</w:t>
      </w:r>
    </w:p>
    <w:p>
      <w:pPr>
        <w:pStyle w:val="Compact"/>
        <w:numPr>
          <w:ilvl w:val="0"/>
          <w:numId w:val="1001"/>
        </w:numPr>
      </w:pPr>
      <w:r>
        <w:t xml:space="preserve">Also this is a cool paper</w:t>
      </w:r>
      <w:r>
        <w:t xml:space="preserve"> </w:t>
      </w:r>
      <w:r>
        <w:t xml:space="preserve">[68]</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[69]</w:t>
      </w:r>
      <w:r>
        <w:t xml:space="preserve">. We can here model the actual abundance of a given species and it would seem more flexible to incorporate thermal tolerance infor into these models.</w:t>
      </w:r>
    </w:p>
    <w:p>
      <w:pPr>
        <w:pStyle w:val="Compact"/>
        <w:numPr>
          <w:ilvl w:val="0"/>
          <w:numId w:val="1001"/>
        </w:numPr>
      </w:pPr>
      <w:r>
        <w:t xml:space="preserve">have a close look at</w:t>
      </w:r>
      <w:r>
        <w:t xml:space="preserve"> </w:t>
      </w:r>
      <w:r>
        <w:t xml:space="preserve">[70]</w:t>
      </w:r>
      <w:r>
        <w:t xml:space="preserve"> </w:t>
      </w:r>
      <w:r>
        <w:t xml:space="preserve">and</w:t>
      </w:r>
      <w:r>
        <w:t xml:space="preserve"> </w:t>
      </w:r>
      <w:r>
        <w:t xml:space="preserve">[71]</w:t>
      </w:r>
      <w:r>
        <w:t xml:space="preserve">, limitations</w:t>
      </w:r>
      <w:r>
        <w:t xml:space="preserve"> </w:t>
      </w:r>
      <w:r>
        <w:t xml:space="preserve">[72]</w:t>
      </w:r>
    </w:p>
    <w:bookmarkEnd w:id="31"/>
    <w:bookmarkStart w:id="33" w:name="X5f60cb5872271d873b61a7524ce9c4bd1e0d2b7"/>
    <w:p>
      <w:pPr>
        <w:pStyle w:val="Heading1"/>
      </w:pPr>
      <w:r>
        <w:t xml:space="preserve">Integrating eco-evolutionary feedbacks within a systems-modelling framework</w:t>
      </w:r>
    </w:p>
    <w:p>
      <w:pPr>
        <w:pStyle w:val="FirstParagraph"/>
      </w:pPr>
      <w:r>
        <w:t xml:space="preserve">Extreme environments both impact trait development and act as a potent selective force allowing populations to evolve</w:t>
      </w:r>
      <w:r>
        <w:t xml:space="preserve"> </w:t>
      </w:r>
      <w:r>
        <w:t xml:space="preserve">[73–75]</w:t>
      </w:r>
      <w:r>
        <w:t xml:space="preserve">. Phenotypic plasticty and adaptive evolutionary change are two processes that are expected to allow systems to respond and build resilience to extreme heat. Evolutionary responses will depend on the amount of phenotypic and genetic variation exposed to natural selection and the strength of selection on phenotypes. Extreme environments pose unique challenges for predicting evolutionary change because they are, by definiton, rare events. Adaptive evolution will therefore depend on the frequency of extreme environments and the underlying genetic correlation between traits expressed across common and extreme environments</w:t>
      </w:r>
      <w:r>
        <w:t xml:space="preserve"> </w:t>
      </w:r>
      <w:r>
        <w:t xml:space="preserve">[73]</w:t>
      </w:r>
      <w:r>
        <w:t xml:space="preserve">. In addition, phenotypic plasticity can result in both maladaptive and adaptive outcomes by either shielding selection on genetic variation or by facilitating persistence and selection</w:t>
      </w:r>
      <w:r>
        <w:t xml:space="preserve"> </w:t>
      </w:r>
      <w:r>
        <w:t xml:space="preserve">[74,76–79]</w:t>
      </w:r>
      <w:r>
        <w:t xml:space="preserve">. Both plasticity and evolution can be incorperated into a systems modelling framework by allowing environments to govern</w:t>
      </w:r>
      <w:r>
        <w:t xml:space="preserve"> </w:t>
      </w:r>
      <w:r>
        <w:t xml:space="preserve">‘trait’</w:t>
      </w:r>
      <w:r>
        <w:t xml:space="preserve"> </w:t>
      </w:r>
      <w:r>
        <w:t xml:space="preserve">development (plasticity) and by incoperating selection and genetic (co)variance estimates for</w:t>
      </w:r>
      <w:r>
        <w:t xml:space="preserve"> </w:t>
      </w:r>
      <w:r>
        <w:t xml:space="preserve">‘traits’</w:t>
      </w:r>
      <w:r>
        <w:t xml:space="preserve"> </w:t>
      </w:r>
      <w:r>
        <w:t xml:space="preserve">within these models (evolution). We speak of</w:t>
      </w:r>
      <w:r>
        <w:t xml:space="preserve"> </w:t>
      </w:r>
      <w:r>
        <w:t xml:space="preserve">‘traits’</w:t>
      </w:r>
      <w:r>
        <w:t xml:space="preserve"> </w:t>
      </w:r>
      <w:r>
        <w:t xml:space="preserve">broadly here because these need not be traits typically thought of by evolutionary ecologists (e.g., body mass, morphology). Rather,</w:t>
      </w:r>
      <w:r>
        <w:t xml:space="preserve"> </w:t>
      </w:r>
      <w:r>
        <w:t xml:space="preserve">‘traits’</w:t>
      </w:r>
      <w:r>
        <w:t xml:space="preserve"> </w:t>
      </w:r>
      <w:r>
        <w:t xml:space="preserve">can also include the parameters within models that allow functional taits to emerge</w:t>
      </w:r>
      <w:r>
        <w:t xml:space="preserve"> </w:t>
      </w:r>
      <w:r>
        <w:t xml:space="preserve">[80]</w:t>
      </w:r>
      <w:r>
        <w:t xml:space="preserve">. Plasticity can be captured by mapping trait development to the environment. In contrast, evolutionary change that considers genetic correlation between traits (i.e., constraints) can be predcited using the multivariate breeders equation</w:t>
      </w:r>
      <w:r>
        <w:t xml:space="preserve"> </w:t>
      </w:r>
      <w:r>
        <w:t xml:space="preserve">[81]</w:t>
      </w:r>
      <w:r>
        <w:t xml:space="preserve">:</w:t>
      </w:r>
    </w:p>
    <w:p>
      <w:pPr>
        <w:pStyle w:val="BodyText"/>
      </w:pPr>
      <w:bookmarkStart w:id="32" w:name="eq-breeders"/>
      <m:oMathPara>
        <m:oMathParaPr>
          <m:jc m:val="center"/>
        </m:oMathParaPr>
        <m:oMath>
          <m:r>
            <m:t>Δ</m:t>
          </m:r>
          <m:acc>
            <m:accPr>
              <m:chr m:val="‾"/>
            </m:accPr>
            <m:e>
              <m:r>
                <m:rPr>
                  <m:sty m:val="b"/>
                </m:rPr>
                <m:t>z</m:t>
              </m:r>
            </m:e>
          </m:acc>
          <m:r>
            <m:rPr>
              <m:sty m:val="p"/>
            </m:rPr>
            <m:t>=</m:t>
          </m:r>
          <m:r>
            <m:rPr>
              <m:sty m:val="b"/>
            </m:rPr>
            <m:t>G</m:t>
          </m:r>
          <m:r>
            <m:rPr>
              <m:sty m:val="p"/>
            </m:rPr>
            <m:t>⋅</m:t>
          </m:r>
          <m:r>
            <m:rPr>
              <m:sty m:val="b"/>
            </m:rPr>
            <m:t>β</m:t>
          </m:r>
          <m:r>
            <m:t>  </m:t>
          </m:r>
          <m:d>
            <m:dPr>
              <m:begChr m:val="("/>
              <m:sepChr m:val=""/>
              <m:endChr m:val=")"/>
              <m:grow/>
            </m:dPr>
            <m:e>
              <m:r>
                <m:t>2</m:t>
              </m:r>
            </m:e>
          </m:d>
        </m:oMath>
      </m:oMathPara>
      <w:bookmarkEnd w:id="32"/>
    </w:p>
    <w:p>
      <w:pPr>
        <w:pStyle w:val="FirstParagraph"/>
      </w:pPr>
      <w:r>
        <w:t xml:space="preserve">where</w:t>
      </w:r>
      <w:r>
        <w:t xml:space="preserve"> </w:t>
      </w:r>
      <m:oMath>
        <m:r>
          <m:t>Δ</m:t>
        </m:r>
        <m:acc>
          <m:accPr>
            <m:chr m:val="‾"/>
          </m:accPr>
          <m:e>
            <m:r>
              <m:rPr>
                <m:sty m:val="b"/>
              </m:rPr>
              <m:t>z</m:t>
            </m:r>
          </m:e>
        </m:acc>
      </m:oMath>
      <w:r>
        <w:t xml:space="preserve"> </w:t>
      </w:r>
      <w:r>
        <w:t xml:space="preserve">is the vector of changes in the mean trait values,</w:t>
      </w:r>
      <w:r>
        <w:t xml:space="preserve"> </w:t>
      </w:r>
      <m:oMath>
        <m:r>
          <m:rPr>
            <m:sty m:val="b"/>
          </m:rPr>
          <m:t>G</m:t>
        </m:r>
      </m:oMath>
      <w:r>
        <w:t xml:space="preserve"> </w:t>
      </w:r>
      <w:r>
        <w:t xml:space="preserve">is the genetic covariance matrix and</w:t>
      </w:r>
      <w:r>
        <w:t xml:space="preserve"> </w:t>
      </w:r>
      <m:oMath>
        <m:r>
          <m:rPr>
            <m:sty m:val="b"/>
          </m:rPr>
          <m:t>β</m:t>
        </m:r>
      </m:oMath>
      <w:r>
        <w:t xml:space="preserve"> </w:t>
      </w:r>
      <w:r>
        <w:t xml:space="preserve">is the vector of standardised selection gradients that regress each trait on relative fitness (i.e.,</w:t>
      </w:r>
      <w:r>
        <w:t xml:space="preserve"> </w:t>
      </w:r>
      <m:oMath>
        <m:r>
          <m:rPr>
            <m:sty m:val="b"/>
          </m:rPr>
          <m:t>ω</m:t>
        </m:r>
        <m:r>
          <m:rPr>
            <m:sty m:val="p"/>
          </m:rPr>
          <m:t>=</m:t>
        </m:r>
        <m:r>
          <m:rPr>
            <m:sty m:val="b"/>
          </m:rPr>
          <m:t>α</m:t>
        </m:r>
        <m:r>
          <m:rPr>
            <m:sty m:val="p"/>
          </m:rPr>
          <m:t>+</m:t>
        </m:r>
        <m:sSup>
          <m:e>
            <m:r>
              <m:rPr>
                <m:sty m:val="b"/>
              </m:rPr>
              <m:t>β</m:t>
            </m:r>
          </m:e>
          <m:sup>
            <m:r>
              <m:rPr>
                <m:sty m:val="b"/>
              </m:rPr>
              <m:t>T</m:t>
            </m:r>
          </m:sup>
        </m:sSup>
        <m:r>
          <m:rPr>
            <m:sty m:val="p"/>
          </m:rPr>
          <m:t>⋅</m:t>
        </m:r>
        <m:r>
          <m:rPr>
            <m:sty m:val="b"/>
          </m:rPr>
          <m:t>z</m:t>
        </m:r>
        <m:r>
          <m:rPr>
            <m:sty m:val="p"/>
          </m:rPr>
          <m:t>+</m:t>
        </m:r>
        <m:r>
          <m:rPr>
            <m:sty m:val="b"/>
          </m:rPr>
          <m:t>e</m:t>
        </m:r>
      </m:oMath>
      <w:r>
        <w:t xml:space="preserve">;</w:t>
      </w:r>
      <w:r>
        <w:t xml:space="preserve"> </w:t>
      </w:r>
      <w:r>
        <w:t xml:space="preserve">[82]</w:t>
      </w:r>
      <w:r>
        <w:t xml:space="preserve">). While the multivariate breeders equation can be applied, and is versatile, it will likely only be useful for predicting short term evolutonary responses</w:t>
      </w:r>
      <w:r>
        <w:t xml:space="preserve"> </w:t>
      </w:r>
      <w:r>
        <w:t xml:space="preserve">[82]</w:t>
      </w:r>
      <w:r>
        <w:t xml:space="preserve">.</w:t>
      </w:r>
    </w:p>
    <w:bookmarkEnd w:id="33"/>
    <w:bookmarkStart w:id="39" w:name="Xe7540e51cb84d29e47d083817996607ca5f8009"/>
    <w:p>
      <w:pPr>
        <w:pStyle w:val="Heading1"/>
      </w:pPr>
      <w:r>
        <w:t xml:space="preserve">Incorporating context-dependent environmental feedback to evaluate resilience to extreme heat (Brajesh, Brendan, James, Everyone else who wants to contribute)</w:t>
      </w:r>
    </w:p>
    <w:p>
      <w:pPr>
        <w:pStyle w:val="Compact"/>
        <w:numPr>
          <w:ilvl w:val="0"/>
          <w:numId w:val="1002"/>
        </w:numPr>
      </w:pPr>
      <w:r>
        <w:t xml:space="preserve">Goal of this section is to briefly focus on the BIOLOGY that will shift thermal exposure and sensitivity in plants and animals.</w:t>
      </w:r>
    </w:p>
    <w:p>
      <w:pPr>
        <w:pStyle w:val="Compact"/>
        <w:numPr>
          <w:ilvl w:val="0"/>
          <w:numId w:val="1002"/>
        </w:numPr>
      </w:pPr>
      <w:r>
        <w:t xml:space="preserve">I</w:t>
      </w:r>
      <w:r>
        <w:t xml:space="preserve"> </w:t>
      </w:r>
      <w:r>
        <w:rPr>
          <w:b/>
          <w:bCs/>
        </w:rPr>
        <w:t xml:space="preserve">just</w:t>
      </w:r>
      <w:r>
        <w:t xml:space="preserve"> </w:t>
      </w:r>
      <w:r>
        <w:t xml:space="preserve">found this important paper for which a lot can be gleaned upon. Many of the important things we have been discussing are discussed in here:</w:t>
      </w:r>
      <w:r>
        <w:t xml:space="preserve"> </w:t>
      </w:r>
      <w:r>
        <w:t xml:space="preserve">[26]</w:t>
      </w:r>
      <w:r>
        <w:t xml:space="preserve">, so we should be careful to make our narrative distinct. The limitation of this study is it lacks the focus on modelling frameworks, so I think us distinguishing how we link these concepts back into the model would be quite novel and distinguish ourselves from them..</w:t>
      </w:r>
    </w:p>
    <w:p>
      <w:pPr>
        <w:pStyle w:val="Compact"/>
        <w:numPr>
          <w:ilvl w:val="0"/>
          <w:numId w:val="1002"/>
        </w:numPr>
      </w:pPr>
      <w:r>
        <w:t xml:space="preserve">Then, we overlay briefly how we might capture that in the modelling framework we setup above. For example, you all write the biology and we then need to think about how we can adjust models to capture these nuances.</w:t>
      </w:r>
    </w:p>
    <w:p>
      <w:pPr>
        <w:pStyle w:val="Compact"/>
        <w:numPr>
          <w:ilvl w:val="0"/>
          <w:numId w:val="1002"/>
        </w:numPr>
      </w:pPr>
      <w:r>
        <w:t xml:space="preserve">If uncertain about adding a sentence to the link to the models above, that’s ok, Dan, Mike, Margie and Belinda can add.</w:t>
      </w:r>
    </w:p>
    <w:bookmarkStart w:id="34" w:name="X1b136e3eae891c477bc728d2597e572ca649eaa"/>
    <w:p>
      <w:pPr>
        <w:pStyle w:val="Heading3"/>
      </w:pPr>
      <w:r>
        <w:t xml:space="preserve">Microbial communities can impact thermal sensitivity in plants and animals (Brajesh)</w:t>
      </w:r>
    </w:p>
    <w:p>
      <w:pPr>
        <w:pStyle w:val="Compact"/>
        <w:numPr>
          <w:ilvl w:val="0"/>
          <w:numId w:val="1003"/>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[37]</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3"/>
        </w:numPr>
      </w:pPr>
      <w:r>
        <w:t xml:space="preserve">See</w:t>
      </w:r>
      <w:r>
        <w:t xml:space="preserve"> </w:t>
      </w:r>
      <w:r>
        <w:t xml:space="preserve">[83]</w:t>
      </w:r>
      <w:r>
        <w:t xml:space="preserve">. The paper provides a framework for modelling soil plant interactions</w:t>
      </w:r>
    </w:p>
    <w:bookmarkEnd w:id="34"/>
    <w:bookmarkStart w:id="35" w:name="X24738ef4513767bb724ce8804ac017259eaf2ee"/>
    <w:p>
      <w:pPr>
        <w:pStyle w:val="Heading3"/>
      </w:pPr>
      <w:r>
        <w:t xml:space="preserve">Water availability can impact thermal sensitivity of plants and animals (Brendan)</w:t>
      </w:r>
    </w:p>
    <w:bookmarkEnd w:id="35"/>
    <w:bookmarkStart w:id="36"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04"/>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[84]</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[84]</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36"/>
    <w:bookmarkStart w:id="37" w:name="Xdbc91e02dcd505372e716f3d2147fb46ffba4bf"/>
    <w:p>
      <w:pPr>
        <w:pStyle w:val="Heading3"/>
      </w:pPr>
      <w:r>
        <w:t xml:space="preserve">Acclimation can impact thermal sensitivity of plants and animals (Everyone)</w:t>
      </w:r>
    </w:p>
    <w:p>
      <w:pPr>
        <w:pStyle w:val="FirstParagraph"/>
      </w:pPr>
      <w:r>
        <w:t xml:space="preserve">A very important paper</w:t>
      </w:r>
      <w:r>
        <w:t xml:space="preserve"> </w:t>
      </w:r>
      <w:r>
        <w:t xml:space="preserve">[85]</w:t>
      </w:r>
      <w:r>
        <w:t xml:space="preserve">. Connects heat tolerance to population matrix models. And, shows acclimation responses (heat hardening).</w:t>
      </w:r>
    </w:p>
    <w:bookmarkEnd w:id="37"/>
    <w:bookmarkStart w:id="38" w:name="X1f820984f57b727edc20965138ee13069f96c01"/>
    <w:p>
      <w:pPr>
        <w:pStyle w:val="Heading3"/>
      </w:pPr>
      <w:r>
        <w:t xml:space="preserve">Phenology and activity pattern shifts mediating interactions (James?)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FirstParagraph"/>
            </w:pPr>
            <w:pPr>
              <w:spacing w:before="16" w:after="64"/>
            </w:pPr>
            <w:r>
              <w:rPr>
                <w:b/>
                <w:bCs/>
              </w:rPr>
              <w:t xml:space="preserve">Box 1: Interacting species interacting with people: social-ecological systems</w:t>
            </w:r>
          </w:p>
          <w:p>
            <w:pPr>
              <w:pStyle w:val="BodyText"/>
            </w:pPr>
            <w:pPr>
              <w:spacing w:before="16"/>
            </w:pPr>
            <w:r>
              <w:t xml:space="preserve">Thermal stress to ecosystems may threaten the services those ecosystems provide to people</w:t>
            </w:r>
            <w:r>
              <w:t xml:space="preserve"> </w:t>
            </w:r>
            <w:r>
              <w:t xml:space="preserve">[86]</w:t>
            </w:r>
            <w:r>
              <w:t xml:space="preserve">. For example, loss of output from production ecosystems will have substantial economic consequences for the local area. Degradation of natural ecosystems may affect their regulating services, such as flood mitigation, affecting nearby areas. Impacts on cultural services may be severe for communities that are closely connected to a landscape.</w:t>
            </w:r>
          </w:p>
          <w:p>
            <w:pPr>
              <w:pStyle w:val="BodyText"/>
            </w:pPr>
            <w:r>
              <w:t xml:space="preserve">In turn, people may respond to thermal risks to ecosystems in a variety of ways. For example, farmers or ecosystem managers may introduce new species or alter management practices; partial loss of ecosystems may lead farmers to farm remaining production ecosystems more intensively; and thermal stress may lead people to leave those areas where the stress is occurring, potentially leaving remaining communities more vulnerable to the impacts of thermal stress</w:t>
            </w:r>
            <w:r>
              <w:t xml:space="preserve"> </w:t>
            </w:r>
            <w:r>
              <w:t xml:space="preserve">[87]</w:t>
            </w:r>
            <w:r>
              <w:t xml:space="preserve">. Thermal stressors may even influence producers’ psychological beliefs about their level of control over land management, and perceived resources available for management practices</w:t>
            </w:r>
            <w:r>
              <w:t xml:space="preserve"> </w:t>
            </w:r>
            <w:r>
              <w:t xml:space="preserve">[88]</w:t>
            </w:r>
            <w:r>
              <w:t xml:space="preserve">. Thermal risks to ecosystems may also precipitate declines in individual wellbeing, and these consequences may accrue differently across regions and across peoples</w:t>
            </w:r>
            <w:r>
              <w:t xml:space="preserve"> </w:t>
            </w:r>
            <w:r>
              <w:t xml:space="preserve">[89]</w:t>
            </w:r>
            <w:r>
              <w:t xml:space="preserve">, and compound or accelerate the prior responses. Many of these impacts and responses, however, are poorly understood.</w:t>
            </w:r>
          </w:p>
          <w:p>
            <w:pPr>
              <w:pStyle w:val="BodyText"/>
            </w:pPr>
            <w:r>
              <w:t xml:space="preserve">The impacts of thermal stress on ecosystems can affect not only nearby communities but also human dominant systems such as cities far away from the affected ecosystems. Cities are human dominant complex systems that are intrinsically connected to and relying on other regions to maintain their functionality</w:t>
            </w:r>
            <w:r>
              <w:t xml:space="preserve"> </w:t>
            </w:r>
            <w:r>
              <w:t xml:space="preserve">[90,91]</w:t>
            </w:r>
            <w:r>
              <w:t xml:space="preserve">. On the other hand, adapting thermal risks in upper stream producers may also be influenced by the perception and behaviour of downstream consumers</w:t>
            </w:r>
            <w:r>
              <w:t xml:space="preserve"> </w:t>
            </w:r>
            <w:r>
              <w:t xml:space="preserve">[92]</w:t>
            </w:r>
            <w:r>
              <w:t xml:space="preserve">. The cascading</w:t>
            </w:r>
            <w:r>
              <w:t xml:space="preserve"> </w:t>
            </w:r>
            <w:r>
              <w:t xml:space="preserve">[93]</w:t>
            </w:r>
            <w:r>
              <w:t xml:space="preserve"> </w:t>
            </w:r>
            <w:r>
              <w:t xml:space="preserve">and telecoupled</w:t>
            </w:r>
            <w:r>
              <w:t xml:space="preserve"> </w:t>
            </w:r>
            <w:r>
              <w:t xml:space="preserve">[94]</w:t>
            </w:r>
            <w:r>
              <w:t xml:space="preserve"> </w:t>
            </w:r>
            <w:r>
              <w:t xml:space="preserve">impacts on urban systems can be manifested through multiple ways. For example, extreme heat stress may affect essential ecosystem services such as food production (ref), which can in turn affect price and access to food to people living in urban centers, with financial, economic and health consequences. The impacts on local communities could lead to loss of livelihood, which forms a pressure that push rural people to migrate to cities</w:t>
            </w:r>
            <w:r>
              <w:t xml:space="preserve"> </w:t>
            </w:r>
            <w:r>
              <w:t xml:space="preserve">[95]</w:t>
            </w:r>
            <w:r>
              <w:t xml:space="preserve">. These external pressures will interact with a system that is already constraint by multiple stressors, including direct impacts imposed by extreme heat and other aspects of clime change- to maintaining its normal functionality and the health and wellbeing of its citizens. If sufficiently widespread, economic and political destabilisation may occur as already observed in other parts of the world</w:t>
            </w:r>
            <w:r>
              <w:t xml:space="preserve"> </w:t>
            </w:r>
            <w:r>
              <w:t xml:space="preserve">[96]</w:t>
            </w:r>
            <w:r>
              <w:t xml:space="preserve">, which could in turn affect the management of the original ecosystems.</w:t>
            </w:r>
          </w:p>
          <w:p>
            <w:pPr>
              <w:pStyle w:val="BodyText"/>
            </w:pPr>
            <w:r>
              <w:t xml:space="preserve">Understand these relationships between people and nature requires adopting a social-ecological systems perspective, where people and nature are interdependent and intertwined</w:t>
            </w:r>
            <w:r>
              <w:t xml:space="preserve"> </w:t>
            </w:r>
            <w:r>
              <w:t xml:space="preserve">[97]</w:t>
            </w:r>
            <w:r>
              <w:t xml:space="preserve">. Social-ecological models aim to capture the social systems, natural systems and their interactions</w:t>
            </w:r>
            <w:r>
              <w:t xml:space="preserve"> </w:t>
            </w:r>
            <w:r>
              <w:t xml:space="preserve">[98]</w:t>
            </w:r>
            <w:r>
              <w:t xml:space="preserve">. Such models can display non-trivial emergent behaviour resulting from complex interactions within the social-ecological systems. For example, responding to decreased productivity from thermal stress by farming more intensively could lead to a maladaptation or</w:t>
            </w:r>
            <w:r>
              <w:t xml:space="preserve"> </w:t>
            </w:r>
            <w:r>
              <w:t xml:space="preserve">‘lock-in’</w:t>
            </w:r>
            <w:r>
              <w:t xml:space="preserve"> </w:t>
            </w:r>
            <w:r>
              <w:t xml:space="preserve">from which it is difficult to escape</w:t>
            </w:r>
            <w:r>
              <w:t xml:space="preserve"> </w:t>
            </w:r>
            <w:r>
              <w:t xml:space="preserve">[99]</w:t>
            </w:r>
            <w:r>
              <w:t xml:space="preserve">.</w:t>
            </w:r>
          </w:p>
          <w:p>
            <w:pPr>
              <w:pStyle w:val="BodyText"/>
            </w:pPr>
            <w:pPr>
              <w:spacing w:after="16"/>
            </w:pPr>
            <w:r>
              <w:t xml:space="preserve">Social-ecological models are conventionally built using process-based modelling frameworks such as agent-based models, dynamical systems models or state-and-transition models</w:t>
            </w:r>
            <w:r>
              <w:t xml:space="preserve"> </w:t>
            </w:r>
            <w:r>
              <w:t xml:space="preserve">[100]</w:t>
            </w:r>
            <w:r>
              <w:t xml:space="preserve">. Process-based approaches are critical to understanding how emergent social-ecological phenomena develop</w:t>
            </w:r>
            <w:r>
              <w:t xml:space="preserve"> </w:t>
            </w:r>
            <w:r>
              <w:t xml:space="preserve">[101]</w:t>
            </w:r>
            <w:r>
              <w:t xml:space="preserve">, such as tipping points, traps or other dynamics. Constructing process-based dynamical models requires knowledge and data about: the biophysical processes, which could be provided by the models from the previous sections; social processes, which could be developed from a combination of behavioural theory and empirical data; and interactions between them in the system of interest. Since obtaining all these data can be challenging, social-ecological modelling is often performed in an exploratory mode</w:t>
            </w:r>
            <w:r>
              <w:t xml:space="preserve"> </w:t>
            </w:r>
            <w:r>
              <w:t xml:space="preserve">[102]</w:t>
            </w:r>
            <w:r>
              <w:t xml:space="preserve"> </w:t>
            </w:r>
            <w:r>
              <w:t xml:space="preserve">to anticipate possible future modes of behaviour, such as the direction of change of human behaviour and environmental state or the risk of emergent phenomena such as tipping points, rather than trying to predict specific outcomes.</w:t>
            </w:r>
          </w:p>
        </w:tc>
      </w:tr>
    </w:tbl>
    <w:bookmarkEnd w:id="38"/>
    <w:bookmarkEnd w:id="39"/>
    <w:bookmarkStart w:id="40" w:name="X42ca7aa69937316dee7b1e100d4320aa777518f"/>
    <w:p>
      <w:pPr>
        <w:pStyle w:val="Heading1"/>
      </w:pPr>
      <w:r>
        <w:t xml:space="preserve">‘Hot’</w:t>
      </w:r>
      <w:r>
        <w:t xml:space="preserve"> </w:t>
      </w:r>
      <w:r>
        <w:t xml:space="preserve">solutions for a changing world (Alison, Owen and Belinda, Mike)</w:t>
      </w:r>
    </w:p>
    <w:p>
      <w:pPr>
        <w:pStyle w:val="Compact"/>
        <w:numPr>
          <w:ilvl w:val="0"/>
          <w:numId w:val="1005"/>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05"/>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06"/>
        </w:numPr>
      </w:pPr>
      <w:r>
        <w:t xml:space="preserve">Microbial recruitment (Braj)</w:t>
      </w:r>
    </w:p>
    <w:p>
      <w:pPr>
        <w:pStyle w:val="Compact"/>
        <w:numPr>
          <w:ilvl w:val="1"/>
          <w:numId w:val="1006"/>
        </w:numPr>
      </w:pPr>
      <w:r>
        <w:t xml:space="preserve">Pollinator services (James, Margie)</w:t>
      </w:r>
    </w:p>
    <w:p>
      <w:pPr>
        <w:pStyle w:val="Compact"/>
        <w:numPr>
          <w:ilvl w:val="0"/>
          <w:numId w:val="1005"/>
        </w:numPr>
      </w:pPr>
      <w:r>
        <w:t xml:space="preserve">Cooler landscapes</w:t>
      </w:r>
    </w:p>
    <w:p>
      <w:pPr>
        <w:pStyle w:val="Compact"/>
        <w:numPr>
          <w:ilvl w:val="1"/>
          <w:numId w:val="1007"/>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05"/>
        </w:numPr>
      </w:pPr>
      <w:r>
        <w:t xml:space="preserve">Pest and disease prediction and control. (Ary)</w:t>
      </w:r>
    </w:p>
    <w:p>
      <w:pPr>
        <w:pStyle w:val="Compact"/>
        <w:numPr>
          <w:ilvl w:val="0"/>
          <w:numId w:val="1005"/>
        </w:numPr>
      </w:pPr>
      <w:r>
        <w:t xml:space="preserve">Conservation (Adrienne?)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FirstParagraph"/>
            </w:pPr>
            <w:pPr>
              <w:spacing w:before="16" w:after="64"/>
            </w:pPr>
            <w:r>
              <w:rPr>
                <w:b/>
                <w:bCs/>
              </w:rPr>
              <w:t xml:space="preserve">Outstanding Questions</w:t>
            </w:r>
          </w:p>
        </w:tc>
      </w:tr>
    </w:tbl>
    <w:bookmarkEnd w:id="40"/>
    <w:bookmarkStart w:id="42" w:name="concluding-remarks"/>
    <w:p>
      <w:pPr>
        <w:pStyle w:val="Heading1"/>
      </w:pPr>
      <w:r>
        <w:t xml:space="preserve">Concluding Remarks</w:t>
      </w:r>
    </w:p>
    <w:p>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such a systems modelling framework can be approached (see</w:t>
      </w:r>
      <w:r>
        <w:t xml:space="preserve"> </w:t>
      </w:r>
      <w:hyperlink r:id="rId41">
        <w:r>
          <w:rPr>
            <w:rStyle w:val="Hyperlink"/>
            <w:i/>
            <w:iCs/>
          </w:rPr>
          <w:t xml:space="preserve">Supplementary Online Material</w:t>
        </w:r>
      </w:hyperlink>
      <w:r>
        <w:t xml:space="preserve">). While our case studies are necessarily hypothetical in nature they move us one step closer to implementing these models in real-world systems. However, there are still many challenges and gaps (see</w:t>
      </w:r>
      <w:r>
        <w:t xml:space="preserve"> </w:t>
      </w:r>
      <w:r>
        <w:rPr>
          <w:b/>
          <w:bCs/>
        </w:rPr>
        <w:t xml:space="preserve">Outstanding Questions</w:t>
      </w:r>
      <w:r>
        <w:t xml:space="preserve">) in our understanding of the impacts of extreme heat on organisms and communities that need to be addressed, which we outline below:</w:t>
      </w:r>
    </w:p>
    <w:p>
      <w:pPr>
        <w:pStyle w:val="Compact"/>
        <w:numPr>
          <w:ilvl w:val="0"/>
          <w:numId w:val="1008"/>
        </w:numPr>
      </w:pPr>
      <w:r>
        <w:rPr>
          <w:b/>
          <w:bCs/>
        </w:rPr>
        <w:t xml:space="preserve">Data limitations for applying DEB theory</w:t>
      </w:r>
      <w:r>
        <w:t xml:space="preserve">: DEB models require a lot of information on a given species to model life-cycles, and there are challenges in applying stage-structured populations (e.g., metamorphosis). We need to develop solutions to these challenges (Mike).</w:t>
      </w:r>
    </w:p>
    <w:p>
      <w:pPr>
        <w:pStyle w:val="Compact"/>
        <w:numPr>
          <w:ilvl w:val="0"/>
          <w:numId w:val="1008"/>
        </w:numPr>
      </w:pPr>
      <w:r>
        <w:rPr>
          <w:b/>
          <w:b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p>
      <w:pPr>
        <w:pStyle w:val="Compact"/>
        <w:numPr>
          <w:ilvl w:val="0"/>
          <w:numId w:val="1008"/>
        </w:numPr>
      </w:pPr>
      <w:r>
        <w:rPr>
          <w:b/>
          <w:bCs/>
        </w:rPr>
        <w:t xml:space="preserve">Behavioural responses to heat stress</w:t>
      </w:r>
      <w:r>
        <w:t xml:space="preserve">: Greater detail in the ways both plants and animals</w:t>
      </w:r>
      <w:r>
        <w:t xml:space="preserve"> </w:t>
      </w:r>
      <w:r>
        <w:t xml:space="preserve">‘behave’</w:t>
      </w:r>
      <w:r>
        <w:t xml:space="preserve"> </w:t>
      </w:r>
      <w:r>
        <w:t xml:space="preserve">to extreme heat is needed to better understand physiological and behavioural adjustments that might mitigate exposure to heat stress.</w:t>
      </w:r>
      <w:r>
        <w:br/>
      </w:r>
    </w:p>
    <w:p>
      <w:pPr>
        <w:pStyle w:val="Compact"/>
        <w:numPr>
          <w:ilvl w:val="0"/>
          <w:numId w:val="1008"/>
        </w:numPr>
      </w:pPr>
      <w:r>
        <w:rPr>
          <w:b/>
          <w:bCs/>
        </w:rPr>
        <w:t xml:space="preserve">Evolutionary dynamics leading to changes in thermal sensitivity and exposure</w:t>
      </w:r>
      <w:r>
        <w:t xml:space="preserve">: We need to understand how thermal sensitivity and exposure will evolve in response to climate change. This requires knowledge of heritability (not often known) and selection intensity (good idea of what’s driving selection). We could cite</w:t>
      </w:r>
      <w:r>
        <w:t xml:space="preserve"> </w:t>
      </w:r>
      <w:r>
        <w:t xml:space="preserve">[103]</w:t>
      </w:r>
      <w:r>
        <w:t xml:space="preserve"> </w:t>
      </w:r>
      <w:r>
        <w:t xml:space="preserve">(Ary).</w:t>
      </w:r>
    </w:p>
    <w:p>
      <w:pPr>
        <w:pStyle w:val="Compact"/>
        <w:numPr>
          <w:ilvl w:val="0"/>
          <w:numId w:val="1008"/>
        </w:numPr>
      </w:pPr>
      <w:r>
        <w:rPr>
          <w:b/>
          <w:b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p>
      <w:pPr>
        <w:pStyle w:val="Compact"/>
        <w:numPr>
          <w:ilvl w:val="0"/>
          <w:numId w:val="1008"/>
        </w:numPr>
      </w:pPr>
      <w:r>
        <w:rPr>
          <w:b/>
          <w:bCs/>
        </w:rPr>
        <w:t xml:space="preserve">Social-ecological systems</w:t>
      </w:r>
      <w:r>
        <w:t xml:space="preserve">: We need to understand how the impacts of extreme heat on ecosystems can affect the services those ecosystems provide to people and how people may respond to thermal risks to ecosystems. This requires a social-ecological systems perspective that captures the interactions between social and natural systems (Alison, Owen, Belinda, Mike).</w:t>
      </w:r>
    </w:p>
    <w:p>
      <w:pPr>
        <w:pStyle w:val="FirstParagraph"/>
      </w:pPr>
      <w:r>
        <w:t xml:space="preserve">Developing a systems modelling framework will require collaboration between different research fields, including biophysics, physiology, ecology and evolutionary biology. By working collaboratively, we can develop a more calculated understanding of the impacts that extreme heat will have on organisms, populations, and communities along with how to mitigate these impacts to preserve diverse systems now and into the future.</w:t>
      </w:r>
    </w:p>
    <w:bookmarkEnd w:id="42"/>
    <w:bookmarkStart w:id="147" w:name="references"/>
    <w:p>
      <w:pPr>
        <w:pStyle w:val="Heading1"/>
      </w:pPr>
      <w:r>
        <w:t xml:space="preserve">References</w:t>
      </w:r>
    </w:p>
    <w:bookmarkStart w:id="146" w:name="refs"/>
    <w:bookmarkStart w:id="43"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3"/>
    <w:bookmarkStart w:id="44"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4"/>
    <w:bookmarkStart w:id="45"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5"/>
    <w:bookmarkStart w:id="46"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6"/>
    <w:bookmarkStart w:id="47"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7"/>
    <w:bookmarkStart w:id="48"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48"/>
    <w:bookmarkStart w:id="49"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9"/>
    <w:bookmarkStart w:id="50"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50"/>
    <w:bookmarkStart w:id="51"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51"/>
    <w:bookmarkStart w:id="52"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52"/>
    <w:bookmarkStart w:id="53"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3"/>
    <w:bookmarkStart w:id="54"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4"/>
    <w:bookmarkStart w:id="55"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5"/>
    <w:bookmarkStart w:id="56"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6"/>
    <w:bookmarkStart w:id="57"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57"/>
    <w:bookmarkStart w:id="58"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8"/>
    <w:bookmarkStart w:id="59"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59"/>
    <w:bookmarkStart w:id="60"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60"/>
    <w:bookmarkStart w:id="61"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61"/>
    <w:bookmarkStart w:id="62"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62"/>
    <w:bookmarkStart w:id="63"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3"/>
    <w:bookmarkStart w:id="64" w:name="ref-Bimler2018"/>
    <w:p>
      <w:pPr>
        <w:pStyle w:val="Bibliography"/>
      </w:pPr>
      <w:r>
        <w:t xml:space="preserve">22.</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64"/>
    <w:bookmarkStart w:id="65" w:name="ref-Bowler2022"/>
    <w:p>
      <w:pPr>
        <w:pStyle w:val="Bibliography"/>
      </w:pPr>
      <w:r>
        <w:t xml:space="preserve">23.</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65"/>
    <w:bookmarkStart w:id="66" w:name="ref-Orsted2022"/>
    <w:p>
      <w:pPr>
        <w:pStyle w:val="Bibliography"/>
      </w:pPr>
      <w:r>
        <w:t xml:space="preserve">24.</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66"/>
    <w:bookmarkStart w:id="67" w:name="ref-Faber2024"/>
    <w:p>
      <w:pPr>
        <w:pStyle w:val="Bibliography"/>
      </w:pPr>
      <w:r>
        <w:t xml:space="preserve">25.</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67"/>
    <w:bookmarkStart w:id="68" w:name="ref-Martinez-De_Leon2024"/>
    <w:p>
      <w:pPr>
        <w:pStyle w:val="Bibliography"/>
      </w:pPr>
      <w:r>
        <w:t xml:space="preserve">26.</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68"/>
    <w:bookmarkStart w:id="69" w:name="ref-Fontaine2022"/>
    <w:p>
      <w:pPr>
        <w:pStyle w:val="Bibliography"/>
      </w:pPr>
      <w:r>
        <w:t xml:space="preserve">27.</w:t>
      </w:r>
      <w:r>
        <w:t xml:space="preserve"> </w:t>
      </w:r>
      <w:r>
        <w:t xml:space="preserve">	</w:t>
      </w:r>
      <w:r>
        <w:t xml:space="preserve">Fontaine, S.S.</w:t>
      </w:r>
      <w:r>
        <w:t xml:space="preserve"> </w:t>
      </w:r>
      <w:r>
        <w:rPr>
          <w:i/>
          <w:iCs/>
        </w:rPr>
        <w:t xml:space="preserve">et al.</w:t>
      </w:r>
      <w:r>
        <w:t xml:space="preserve"> </w:t>
      </w:r>
      <w:r>
        <w:t xml:space="preserve">(2022) Experimental manipulation of microbiota reduces host thermal tolerance and fitness under heat stress in a vertebrate ectotherm.</w:t>
      </w:r>
      <w:r>
        <w:t xml:space="preserve"> </w:t>
      </w:r>
      <w:r>
        <w:rPr>
          <w:i/>
          <w:iCs/>
        </w:rPr>
        <w:t xml:space="preserve">Nat. Ecol. Evol.</w:t>
      </w:r>
      <w:r>
        <w:t xml:space="preserve"> </w:t>
      </w:r>
      <w:r>
        <w:t xml:space="preserve">6, 405–417</w:t>
      </w:r>
    </w:p>
    <w:bookmarkEnd w:id="69"/>
    <w:bookmarkStart w:id="70" w:name="ref-Fontaine2023"/>
    <w:p>
      <w:pPr>
        <w:pStyle w:val="Bibliography"/>
      </w:pPr>
      <w:r>
        <w:t xml:space="preserve">28.</w:t>
      </w:r>
      <w:r>
        <w:t xml:space="preserve"> </w:t>
      </w:r>
      <w:r>
        <w:t xml:space="preserve">	</w:t>
      </w:r>
      <w:r>
        <w:t xml:space="preserve">Fontaine, S.S. and Kohl, K.D. (2023) The microbiome buffers tadpole hosts from heat stress: A hologenomic approach to understand host-microbe interactions under warming.</w:t>
      </w:r>
      <w:r>
        <w:t xml:space="preserve"> </w:t>
      </w:r>
      <w:r>
        <w:rPr>
          <w:i/>
          <w:iCs/>
        </w:rPr>
        <w:t xml:space="preserve">J. Exp. Biol.</w:t>
      </w:r>
      <w:r>
        <w:t xml:space="preserve"> </w:t>
      </w:r>
      <w:r>
        <w:t xml:space="preserve">226, jeb245191</w:t>
      </w:r>
    </w:p>
    <w:bookmarkEnd w:id="70"/>
    <w:bookmarkStart w:id="71" w:name="ref-Hoang2019"/>
    <w:p>
      <w:pPr>
        <w:pStyle w:val="Bibliography"/>
      </w:pPr>
      <w:r>
        <w:t xml:space="preserve">29.</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71"/>
    <w:bookmarkStart w:id="72" w:name="ref-Gehman2019"/>
    <w:p>
      <w:pPr>
        <w:pStyle w:val="Bibliography"/>
      </w:pPr>
      <w:r>
        <w:t xml:space="preserve">30.</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72"/>
    <w:bookmarkStart w:id="73" w:name="ref-Hoang2021"/>
    <w:p>
      <w:pPr>
        <w:pStyle w:val="Bibliography"/>
      </w:pPr>
      <w:r>
        <w:t xml:space="preserve">31.</w:t>
      </w:r>
      <w:r>
        <w:t xml:space="preserve"> </w:t>
      </w:r>
      <w:r>
        <w:t xml:space="preserve">	</w:t>
      </w:r>
      <w:r>
        <w:t xml:space="preserve">Hoang, K.L.</w:t>
      </w:r>
      <w:r>
        <w:t xml:space="preserve"> </w:t>
      </w:r>
      <w:r>
        <w:rPr>
          <w:i/>
          <w:iCs/>
        </w:rPr>
        <w:t xml:space="preserve">et al.</w:t>
      </w:r>
      <w:r>
        <w:t xml:space="preserve"> </w:t>
      </w:r>
      <w:r>
        <w:t xml:space="preserve">(2021) Association with a novel protective microbe facilitates host adaptation to a stressful environment.</w:t>
      </w:r>
      <w:r>
        <w:t xml:space="preserve"> </w:t>
      </w:r>
      <w:r>
        <w:rPr>
          <w:i/>
          <w:iCs/>
        </w:rPr>
        <w:t xml:space="preserve">Evol. Lett.</w:t>
      </w:r>
      <w:r>
        <w:t xml:space="preserve"> </w:t>
      </w:r>
      <w:r>
        <w:t xml:space="preserve">5, 118–129</w:t>
      </w:r>
    </w:p>
    <w:bookmarkEnd w:id="73"/>
    <w:bookmarkStart w:id="74" w:name="ref-Corbin2016"/>
    <w:p>
      <w:pPr>
        <w:pStyle w:val="Bibliography"/>
      </w:pPr>
      <w:r>
        <w:t xml:space="preserve">32.</w:t>
      </w:r>
      <w:r>
        <w:t xml:space="preserve"> </w:t>
      </w:r>
      <w:r>
        <w:t xml:space="preserve">	</w:t>
      </w:r>
      <w:r>
        <w:t xml:space="preserve">Corbin, C.</w:t>
      </w:r>
      <w:r>
        <w:t xml:space="preserve"> </w:t>
      </w:r>
      <w:r>
        <w:rPr>
          <w:i/>
          <w:iCs/>
        </w:rPr>
        <w:t xml:space="preserve">et al.</w:t>
      </w:r>
      <w:r>
        <w:t xml:space="preserve"> </w:t>
      </w:r>
      <w:r>
        <w:t xml:space="preserve">(2016) Heritable symbionts in a world of varying temperature.</w:t>
      </w:r>
      <w:r>
        <w:t xml:space="preserve"> </w:t>
      </w:r>
      <w:r>
        <w:rPr>
          <w:i/>
          <w:iCs/>
        </w:rPr>
        <w:t xml:space="preserve">Heredity (Edinb.)</w:t>
      </w:r>
      <w:r>
        <w:t xml:space="preserve"> </w:t>
      </w:r>
      <w:r>
        <w:t xml:space="preserve">118, 10–20</w:t>
      </w:r>
    </w:p>
    <w:bookmarkEnd w:id="74"/>
    <w:bookmarkStart w:id="75" w:name="ref-Zhang2019"/>
    <w:p>
      <w:pPr>
        <w:pStyle w:val="Bibliography"/>
      </w:pPr>
      <w:r>
        <w:t xml:space="preserve">33.</w:t>
      </w:r>
      <w:r>
        <w:t xml:space="preserve"> </w:t>
      </w:r>
      <w:r>
        <w:t xml:space="preserve">	</w:t>
      </w:r>
      <w:r>
        <w:t xml:space="preserve">Zhang, B.</w:t>
      </w:r>
      <w:r>
        <w:t xml:space="preserve"> </w:t>
      </w:r>
      <w:r>
        <w:rPr>
          <w:i/>
          <w:iCs/>
        </w:rPr>
        <w:t xml:space="preserve">et al.</w:t>
      </w:r>
      <w:r>
        <w:t xml:space="preserve"> </w:t>
      </w:r>
      <w:r>
        <w:t xml:space="preserve">(2019) Obligate bacterial endosymbionts limit thermal tolerance of insect host species.</w:t>
      </w:r>
      <w:r>
        <w:t xml:space="preserve"> </w:t>
      </w:r>
      <w:r>
        <w:rPr>
          <w:i/>
          <w:iCs/>
        </w:rPr>
        <w:t xml:space="preserve">Proc. Natl. Acad. Sci. U. S. A.</w:t>
      </w:r>
      <w:r>
        <w:t xml:space="preserve"> </w:t>
      </w:r>
      <w:r>
        <w:t xml:space="preserve">116, 24712–24718</w:t>
      </w:r>
    </w:p>
    <w:bookmarkEnd w:id="75"/>
    <w:bookmarkStart w:id="76" w:name="ref-Dunbar2007"/>
    <w:p>
      <w:pPr>
        <w:pStyle w:val="Bibliography"/>
      </w:pPr>
      <w:r>
        <w:t xml:space="preserve">34.</w:t>
      </w:r>
      <w:r>
        <w:t xml:space="preserve"> </w:t>
      </w:r>
      <w:r>
        <w:t xml:space="preserve">	</w:t>
      </w:r>
      <w:r>
        <w:t xml:space="preserve">Dunbar, H.E.</w:t>
      </w:r>
      <w:r>
        <w:t xml:space="preserve"> </w:t>
      </w:r>
      <w:r>
        <w:rPr>
          <w:i/>
          <w:iCs/>
        </w:rPr>
        <w:t xml:space="preserve">et al.</w:t>
      </w:r>
      <w:r>
        <w:t xml:space="preserve"> </w:t>
      </w:r>
      <w:r>
        <w:t xml:space="preserve">(2007) Aphid thermal tolerance is governed by a point mutation in bacterial symbionts.</w:t>
      </w:r>
      <w:r>
        <w:t xml:space="preserve"> </w:t>
      </w:r>
      <w:r>
        <w:rPr>
          <w:i/>
          <w:iCs/>
        </w:rPr>
        <w:t xml:space="preserve">PLoS Biol.</w:t>
      </w:r>
      <w:r>
        <w:t xml:space="preserve"> </w:t>
      </w:r>
      <w:r>
        <w:t xml:space="preserve">5, e96</w:t>
      </w:r>
    </w:p>
    <w:bookmarkEnd w:id="76"/>
    <w:bookmarkStart w:id="77" w:name="ref-Chouhan2023"/>
    <w:p>
      <w:pPr>
        <w:pStyle w:val="Bibliography"/>
      </w:pPr>
      <w:r>
        <w:t xml:space="preserve">35.</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77"/>
    <w:bookmarkStart w:id="78" w:name="ref-Liu2025"/>
    <w:p>
      <w:pPr>
        <w:pStyle w:val="Bibliography"/>
      </w:pPr>
      <w:r>
        <w:t xml:space="preserve">36.</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78"/>
    <w:bookmarkStart w:id="79" w:name="ref-Marquez2007"/>
    <w:p>
      <w:pPr>
        <w:pStyle w:val="Bibliography"/>
      </w:pPr>
      <w:r>
        <w:t xml:space="preserve">37.</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79"/>
    <w:bookmarkStart w:id="80" w:name="ref-Huang2019"/>
    <w:p>
      <w:pPr>
        <w:pStyle w:val="Bibliography"/>
      </w:pPr>
      <w:r>
        <w:t xml:space="preserve">38.</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80"/>
    <w:bookmarkStart w:id="81" w:name="ref-Dastogeer2022"/>
    <w:p>
      <w:pPr>
        <w:pStyle w:val="Bibliography"/>
      </w:pPr>
      <w:r>
        <w:t xml:space="preserve">39.</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81"/>
    <w:bookmarkStart w:id="82" w:name="ref-Shekhawat2022"/>
    <w:p>
      <w:pPr>
        <w:pStyle w:val="Bibliography"/>
      </w:pPr>
      <w:r>
        <w:t xml:space="preserve">40.</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82"/>
    <w:bookmarkStart w:id="83" w:name="ref-Lobell2012"/>
    <w:p>
      <w:pPr>
        <w:pStyle w:val="Bibliography"/>
      </w:pPr>
      <w:r>
        <w:t xml:space="preserve">41.</w:t>
      </w:r>
      <w:r>
        <w:t xml:space="preserve"> </w:t>
      </w:r>
      <w:r>
        <w:t xml:space="preserve">	</w:t>
      </w:r>
      <w:r>
        <w:t xml:space="preserve">Lobell, D.B.</w:t>
      </w:r>
      <w:r>
        <w:t xml:space="preserve"> </w:t>
      </w:r>
      <w:r>
        <w:rPr>
          <w:i/>
          <w:iCs/>
        </w:rPr>
        <w:t xml:space="preserve">et al.</w:t>
      </w:r>
      <w:r>
        <w:t xml:space="preserve"> </w:t>
      </w:r>
      <w:r>
        <w:t xml:space="preserve">(2012) Extreme heat effects on wheat senescence in india.</w:t>
      </w:r>
      <w:r>
        <w:t xml:space="preserve"> </w:t>
      </w:r>
      <w:r>
        <w:rPr>
          <w:i/>
          <w:iCs/>
        </w:rPr>
        <w:t xml:space="preserve">Nat. Clim. Chang.</w:t>
      </w:r>
      <w:r>
        <w:t xml:space="preserve"> </w:t>
      </w:r>
      <w:r>
        <w:t xml:space="preserve">2, 186–189</w:t>
      </w:r>
    </w:p>
    <w:bookmarkEnd w:id="83"/>
    <w:bookmarkStart w:id="84" w:name="ref-Farooq2011"/>
    <w:p>
      <w:pPr>
        <w:pStyle w:val="Bibliography"/>
      </w:pPr>
      <w:r>
        <w:t xml:space="preserve">42.</w:t>
      </w:r>
      <w:r>
        <w:t xml:space="preserve"> </w:t>
      </w:r>
      <w:r>
        <w:t xml:space="preserve">	</w:t>
      </w:r>
      <w:r>
        <w:t xml:space="preserve">Farooq, M.</w:t>
      </w:r>
      <w:r>
        <w:t xml:space="preserve"> </w:t>
      </w:r>
      <w:r>
        <w:rPr>
          <w:i/>
          <w:iCs/>
        </w:rPr>
        <w:t xml:space="preserve">et al.</w:t>
      </w:r>
      <w:r>
        <w:t xml:space="preserve"> </w:t>
      </w:r>
      <w:r>
        <w:t xml:space="preserve">(2011) Heat stress in wheat during reproductive and grain-filling phases.</w:t>
      </w:r>
      <w:r>
        <w:t xml:space="preserve"> </w:t>
      </w:r>
      <w:r>
        <w:rPr>
          <w:i/>
          <w:iCs/>
        </w:rPr>
        <w:t xml:space="preserve">CRC Crit. Rev. Plant Sci.</w:t>
      </w:r>
      <w:r>
        <w:t xml:space="preserve"> </w:t>
      </w:r>
      <w:r>
        <w:t xml:space="preserve">30, 491–507</w:t>
      </w:r>
    </w:p>
    <w:bookmarkEnd w:id="84"/>
    <w:bookmarkStart w:id="85" w:name="ref-He2025"/>
    <w:p>
      <w:pPr>
        <w:pStyle w:val="Bibliography"/>
      </w:pPr>
      <w:r>
        <w:t xml:space="preserve">43.</w:t>
      </w:r>
      <w:r>
        <w:t xml:space="preserve"> </w:t>
      </w:r>
      <w:r>
        <w:t xml:space="preserve">	</w:t>
      </w:r>
      <w:r>
        <w:t xml:space="preserve">He, J.</w:t>
      </w:r>
      <w:r>
        <w:t xml:space="preserve"> </w:t>
      </w:r>
      <w:r>
        <w:rPr>
          <w:i/>
          <w:iCs/>
        </w:rPr>
        <w:t xml:space="preserve">et al.</w:t>
      </w:r>
      <w:r>
        <w:t xml:space="preserve"> </w:t>
      </w:r>
      <w:r>
        <w:t xml:space="preserve">(2025) Technological advances on imaging and modelling of leaf structural traits: A review on heat stress in wheat.</w:t>
      </w:r>
      <w:r>
        <w:t xml:space="preserve"> </w:t>
      </w:r>
      <w:r>
        <w:rPr>
          <w:i/>
          <w:iCs/>
        </w:rPr>
        <w:t xml:space="preserve">Journal of Experimental Botany (in press)</w:t>
      </w:r>
    </w:p>
    <w:bookmarkEnd w:id="85"/>
    <w:bookmarkStart w:id="86" w:name="ref-Zhang2021"/>
    <w:p>
      <w:pPr>
        <w:pStyle w:val="Bibliography"/>
      </w:pPr>
      <w:r>
        <w:t xml:space="preserve">44.</w:t>
      </w:r>
      <w:r>
        <w:t xml:space="preserve"> </w:t>
      </w:r>
      <w:r>
        <w:t xml:space="preserve">	</w:t>
      </w:r>
      <w:r>
        <w:t xml:space="preserve">Zhang, P.</w:t>
      </w:r>
      <w:r>
        <w:t xml:space="preserve"> </w:t>
      </w:r>
      <w:r>
        <w:rPr>
          <w:i/>
          <w:iCs/>
        </w:rPr>
        <w:t xml:space="preserve">et al.</w:t>
      </w:r>
      <w:r>
        <w:t xml:space="preserve"> </w:t>
      </w:r>
      <w:r>
        <w:t xml:space="preserve">(2021) Nanotechnology and artificial intelligence to enable sustainable and precision agriculture.</w:t>
      </w:r>
      <w:r>
        <w:t xml:space="preserve"> </w:t>
      </w:r>
      <w:r>
        <w:rPr>
          <w:i/>
          <w:iCs/>
        </w:rPr>
        <w:t xml:space="preserve">Nat. Plants</w:t>
      </w:r>
      <w:r>
        <w:t xml:space="preserve"> </w:t>
      </w:r>
      <w:r>
        <w:t xml:space="preserve">7, 864–876</w:t>
      </w:r>
    </w:p>
    <w:bookmarkEnd w:id="86"/>
    <w:bookmarkStart w:id="87" w:name="ref-Zhang2023a"/>
    <w:p>
      <w:pPr>
        <w:pStyle w:val="Bibliography"/>
      </w:pPr>
      <w:r>
        <w:t xml:space="preserve">45.</w:t>
      </w:r>
      <w:r>
        <w:t xml:space="preserve"> </w:t>
      </w:r>
      <w:r>
        <w:t xml:space="preserve">	</w:t>
      </w:r>
      <w:r>
        <w:t xml:space="preserve">Zhang, J.</w:t>
      </w:r>
      <w:r>
        <w:t xml:space="preserve"> </w:t>
      </w:r>
      <w:r>
        <w:rPr>
          <w:i/>
          <w:iCs/>
        </w:rPr>
        <w:t xml:space="preserve">et al.</w:t>
      </w:r>
      <w:r>
        <w:t xml:space="preserve"> </w:t>
      </w:r>
      <w:r>
        <w:t xml:space="preserve">(2023) Applications of artificial neural networks in microorganism image analysis: A comprehensive review from conventional multilayer perceptron to popular convolutional neural network and potential visual transformer.</w:t>
      </w:r>
      <w:r>
        <w:t xml:space="preserve"> </w:t>
      </w:r>
      <w:r>
        <w:rPr>
          <w:i/>
          <w:iCs/>
        </w:rPr>
        <w:t xml:space="preserve">Artif. Intell. Rev.</w:t>
      </w:r>
      <w:r>
        <w:t xml:space="preserve"> </w:t>
      </w:r>
      <w:r>
        <w:t xml:space="preserve">56, 1013–1070</w:t>
      </w:r>
    </w:p>
    <w:bookmarkEnd w:id="87"/>
    <w:bookmarkStart w:id="88" w:name="ref-Nisbet2000"/>
    <w:p>
      <w:pPr>
        <w:pStyle w:val="Bibliography"/>
      </w:pPr>
      <w:r>
        <w:t xml:space="preserve">46.</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88"/>
    <w:bookmarkStart w:id="89" w:name="ref-Jager2020"/>
    <w:p>
      <w:pPr>
        <w:pStyle w:val="Bibliography"/>
      </w:pPr>
      <w:r>
        <w:t xml:space="preserve">47.</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89"/>
    <w:bookmarkStart w:id="90" w:name="ref-Haberle2025"/>
    <w:p>
      <w:pPr>
        <w:pStyle w:val="Bibliography"/>
      </w:pPr>
      <w:r>
        <w:t xml:space="preserve">48.</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90"/>
    <w:bookmarkStart w:id="91" w:name="ref-Kearney2013"/>
    <w:p>
      <w:pPr>
        <w:pStyle w:val="Bibliography"/>
      </w:pPr>
      <w:r>
        <w:t xml:space="preserve">49.</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91"/>
    <w:bookmarkStart w:id="92" w:name="ref-Kearney2010"/>
    <w:p>
      <w:pPr>
        <w:pStyle w:val="Bibliography"/>
      </w:pPr>
      <w:r>
        <w:t xml:space="preserve">50.</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92"/>
    <w:bookmarkStart w:id="93" w:name="ref-Marques2018"/>
    <w:p>
      <w:pPr>
        <w:pStyle w:val="Bibliography"/>
      </w:pPr>
      <w:r>
        <w:t xml:space="preserve">51.</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93"/>
    <w:bookmarkStart w:id="94" w:name="ref-Kooijman2021"/>
    <w:p>
      <w:pPr>
        <w:pStyle w:val="Bibliography"/>
      </w:pPr>
      <w:r>
        <w:t xml:space="preserve">52.</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94"/>
    <w:bookmarkStart w:id="95" w:name="ref-Bruggeman2009"/>
    <w:p>
      <w:pPr>
        <w:pStyle w:val="Bibliography"/>
      </w:pPr>
      <w:r>
        <w:t xml:space="preserve">53.</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95"/>
    <w:bookmarkStart w:id="96" w:name="ref-Kearney2017"/>
    <w:p>
      <w:pPr>
        <w:pStyle w:val="Bibliography"/>
      </w:pPr>
      <w:r>
        <w:t xml:space="preserve">54.</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96"/>
    <w:bookmarkStart w:id="97" w:name="ref-Kearney2020a"/>
    <w:p>
      <w:pPr>
        <w:pStyle w:val="Bibliography"/>
      </w:pPr>
      <w:r>
        <w:t xml:space="preserve">55.</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97"/>
    <w:bookmarkStart w:id="98" w:name="ref-Ricker1954a"/>
    <w:p>
      <w:pPr>
        <w:pStyle w:val="Bibliography"/>
      </w:pPr>
      <w:r>
        <w:t xml:space="preserve">56.</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98"/>
    <w:bookmarkStart w:id="99" w:name="ref-Beverton2012"/>
    <w:p>
      <w:pPr>
        <w:pStyle w:val="Bibliography"/>
      </w:pPr>
      <w:r>
        <w:t xml:space="preserve">57.</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99"/>
    <w:bookmarkStart w:id="100" w:name="ref-Bertness1994"/>
    <w:p>
      <w:pPr>
        <w:pStyle w:val="Bibliography"/>
      </w:pPr>
      <w:r>
        <w:t xml:space="preserve">58.</w:t>
      </w:r>
      <w:r>
        <w:t xml:space="preserve"> </w:t>
      </w:r>
      <w:r>
        <w:t xml:space="preserve">	</w:t>
      </w:r>
      <w:r>
        <w:t xml:space="preserve">Bertness, M. and Callaway, R. (1994) Positive interactions in communities.</w:t>
      </w:r>
      <w:r>
        <w:t xml:space="preserve"> </w:t>
      </w:r>
      <w:r>
        <w:rPr>
          <w:i/>
          <w:iCs/>
        </w:rPr>
        <w:t xml:space="preserve">Trends Ecol. Evol.</w:t>
      </w:r>
      <w:r>
        <w:t xml:space="preserve"> </w:t>
      </w:r>
      <w:r>
        <w:t xml:space="preserve">9, 191–193</w:t>
      </w:r>
    </w:p>
    <w:bookmarkEnd w:id="100"/>
    <w:bookmarkStart w:id="101" w:name="ref-Weiss-Lehman2022"/>
    <w:p>
      <w:pPr>
        <w:pStyle w:val="Bibliography"/>
      </w:pPr>
      <w:r>
        <w:t xml:space="preserve">59.</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101"/>
    <w:bookmarkStart w:id="102" w:name="ref-Delmas2019"/>
    <w:p>
      <w:pPr>
        <w:pStyle w:val="Bibliography"/>
      </w:pPr>
      <w:r>
        <w:t xml:space="preserve">60.</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 Rev. Camb. Philos. Soc.</w:t>
      </w:r>
      <w:r>
        <w:t xml:space="preserve"> </w:t>
      </w:r>
      <w:r>
        <w:t xml:space="preserve">94, 16–36</w:t>
      </w:r>
    </w:p>
    <w:bookmarkEnd w:id="102"/>
    <w:bookmarkStart w:id="103" w:name="ref-Godoy2019"/>
    <w:p>
      <w:pPr>
        <w:pStyle w:val="Bibliography"/>
      </w:pPr>
      <w:r>
        <w:t xml:space="preserve">61.</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 Ecol.</w:t>
      </w:r>
      <w:r>
        <w:t xml:space="preserve"> </w:t>
      </w:r>
      <w:r>
        <w:t xml:space="preserve">33, 1190–1201</w:t>
      </w:r>
    </w:p>
    <w:bookmarkEnd w:id="103"/>
    <w:bookmarkStart w:id="104" w:name="ref-Poisot2021"/>
    <w:p>
      <w:pPr>
        <w:pStyle w:val="Bibliography"/>
      </w:pPr>
      <w:r>
        <w:t xml:space="preserve">62.</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 Biogeogr.</w:t>
      </w:r>
      <w:r>
        <w:t xml:space="preserve"> </w:t>
      </w:r>
      <w:r>
        <w:t xml:space="preserve">48, 1552–1563</w:t>
      </w:r>
    </w:p>
    <w:bookmarkEnd w:id="104"/>
    <w:bookmarkStart w:id="105" w:name="ref-Hui2019"/>
    <w:p>
      <w:pPr>
        <w:pStyle w:val="Bibliography"/>
      </w:pPr>
      <w:r>
        <w:t xml:space="preserve">63.</w:t>
      </w:r>
      <w:r>
        <w:t xml:space="preserve"> </w:t>
      </w:r>
      <w:r>
        <w:t xml:space="preserve">	</w:t>
      </w:r>
      <w:r>
        <w:t xml:space="preserve">Hui, C. and Richardson, D.M. (2019) How to invade an ecological network.</w:t>
      </w:r>
      <w:r>
        <w:t xml:space="preserve"> </w:t>
      </w:r>
      <w:r>
        <w:rPr>
          <w:i/>
          <w:iCs/>
        </w:rPr>
        <w:t xml:space="preserve">Trends Ecol. Evol.</w:t>
      </w:r>
      <w:r>
        <w:t xml:space="preserve"> </w:t>
      </w:r>
      <w:r>
        <w:t xml:space="preserve">34, 121–131</w:t>
      </w:r>
    </w:p>
    <w:bookmarkEnd w:id="105"/>
    <w:bookmarkStart w:id="106" w:name="ref-Gomez2023"/>
    <w:p>
      <w:pPr>
        <w:pStyle w:val="Bibliography"/>
      </w:pPr>
      <w:r>
        <w:t xml:space="preserve">64.</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 Lett.</w:t>
      </w:r>
      <w:r>
        <w:t xml:space="preserve"> </w:t>
      </w:r>
      <w:r>
        <w:t xml:space="preserve">26, S47–S61</w:t>
      </w:r>
    </w:p>
    <w:bookmarkEnd w:id="106"/>
    <w:bookmarkStart w:id="107" w:name="ref-Lytle2023"/>
    <w:p>
      <w:pPr>
        <w:pStyle w:val="Bibliography"/>
      </w:pPr>
      <w:r>
        <w:t xml:space="preserve">65.</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107"/>
    <w:bookmarkStart w:id="108" w:name="ref-Petsopoulos2021"/>
    <w:p>
      <w:pPr>
        <w:pStyle w:val="Bibliography"/>
      </w:pPr>
      <w:r>
        <w:t xml:space="preserve">66.</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 Entomol.</w:t>
      </w:r>
    </w:p>
    <w:bookmarkEnd w:id="108"/>
    <w:bookmarkStart w:id="109" w:name="ref-Dale2021"/>
    <w:p>
      <w:pPr>
        <w:pStyle w:val="Bibliography"/>
      </w:pPr>
      <w:r>
        <w:t xml:space="preserve">67.</w:t>
      </w:r>
      <w:r>
        <w:t xml:space="preserve"> </w:t>
      </w:r>
      <w:r>
        <w:t xml:space="preserve">	</w:t>
      </w:r>
      <w:r>
        <w:t xml:space="preserve">Dale, M.R.T. and Fortin, M.-J. (2021)</w:t>
      </w:r>
      <w:r>
        <w:t xml:space="preserve"> </w:t>
      </w:r>
      <w:r>
        <w:rPr>
          <w:i/>
          <w:iCs/>
        </w:rPr>
        <w:t xml:space="preserve">Quantitative analysis of ecological networks</w:t>
      </w:r>
      <w:r>
        <w:t xml:space="preserve">, Cambridge University Press</w:t>
      </w:r>
    </w:p>
    <w:bookmarkEnd w:id="109"/>
    <w:bookmarkStart w:id="110" w:name="ref-Lu2023"/>
    <w:p>
      <w:pPr>
        <w:pStyle w:val="Bibliography"/>
      </w:pPr>
      <w:r>
        <w:t xml:space="preserve">68.</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 Biol.</w:t>
      </w:r>
      <w:r>
        <w:t xml:space="preserve"> </w:t>
      </w:r>
      <w:r>
        <w:t xml:space="preserve">33, 647–659</w:t>
      </w:r>
    </w:p>
    <w:bookmarkEnd w:id="110"/>
    <w:bookmarkStart w:id="111" w:name="ref-Carrara2015"/>
    <w:p>
      <w:pPr>
        <w:pStyle w:val="Bibliography"/>
      </w:pPr>
      <w:r>
        <w:t xml:space="preserve">69.</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Ecol. Evol.</w:t>
      </w:r>
      <w:r>
        <w:t xml:space="preserve"> </w:t>
      </w:r>
      <w:r>
        <w:t xml:space="preserve">6, 895–906</w:t>
      </w:r>
    </w:p>
    <w:bookmarkEnd w:id="111"/>
    <w:bookmarkStart w:id="112" w:name="ref-Vitali2022"/>
    <w:p>
      <w:pPr>
        <w:pStyle w:val="Bibliography"/>
      </w:pPr>
      <w:r>
        <w:t xml:space="preserve">70.</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112"/>
    <w:bookmarkStart w:id="113" w:name="ref-Riva2023"/>
    <w:p>
      <w:pPr>
        <w:pStyle w:val="Bibliography"/>
      </w:pPr>
      <w:r>
        <w:t xml:space="preserve">71.</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 Adv.</w:t>
      </w:r>
      <w:r>
        <w:t xml:space="preserve"> </w:t>
      </w:r>
      <w:r>
        <w:t xml:space="preserve">9, eabq4207</w:t>
      </w:r>
    </w:p>
    <w:bookmarkEnd w:id="113"/>
    <w:bookmarkStart w:id="114" w:name="ref-Terry2020"/>
    <w:p>
      <w:pPr>
        <w:pStyle w:val="Bibliography"/>
      </w:pPr>
      <w:r>
        <w:t xml:space="preserve">72.</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114"/>
    <w:bookmarkStart w:id="115" w:name="ref-Chevin2017"/>
    <w:p>
      <w:pPr>
        <w:pStyle w:val="Bibliography"/>
      </w:pPr>
      <w:r>
        <w:t xml:space="preserve">73.</w:t>
      </w:r>
      <w:r>
        <w:t xml:space="preserve"> </w:t>
      </w:r>
      <w:r>
        <w:t xml:space="preserve">	</w:t>
      </w:r>
      <w:r>
        <w:t xml:space="preserve">Chevin, L.-M. and Hoffmann, A.A. (2017) Evolution of phenotypic plasticity in extreme environments.</w:t>
      </w:r>
      <w:r>
        <w:t xml:space="preserve"> </w:t>
      </w:r>
      <w:r>
        <w:rPr>
          <w:i/>
          <w:iCs/>
        </w:rPr>
        <w:t xml:space="preserve">Philos. Trans. R. Soc. Lond. B Biol. Sci.</w:t>
      </w:r>
      <w:r>
        <w:t xml:space="preserve"> </w:t>
      </w:r>
      <w:r>
        <w:t xml:space="preserve">372</w:t>
      </w:r>
    </w:p>
    <w:bookmarkEnd w:id="115"/>
    <w:bookmarkStart w:id="116" w:name="ref-Urban2024"/>
    <w:p>
      <w:pPr>
        <w:pStyle w:val="Bibliography"/>
      </w:pPr>
      <w:r>
        <w:t xml:space="preserve">74.</w:t>
      </w:r>
      <w:r>
        <w:t xml:space="preserve"> </w:t>
      </w:r>
      <w:r>
        <w:t xml:space="preserve">	</w:t>
      </w:r>
      <w:r>
        <w:t xml:space="preserve">Urban, M.C.</w:t>
      </w:r>
      <w:r>
        <w:t xml:space="preserve"> </w:t>
      </w:r>
      <w:r>
        <w:rPr>
          <w:i/>
          <w:iCs/>
        </w:rPr>
        <w:t xml:space="preserve">et al.</w:t>
      </w:r>
      <w:r>
        <w:t xml:space="preserve"> </w:t>
      </w:r>
      <w:r>
        <w:t xml:space="preserve">(2024) When and how can we predict adaptive responses to climate change?</w:t>
      </w:r>
      <w:r>
        <w:t xml:space="preserve"> </w:t>
      </w:r>
      <w:r>
        <w:rPr>
          <w:i/>
          <w:iCs/>
        </w:rPr>
        <w:t xml:space="preserve">Evolution Letters</w:t>
      </w:r>
      <w:r>
        <w:t xml:space="preserve"> </w:t>
      </w:r>
      <w:r>
        <w:t xml:space="preserve">8, 172–187</w:t>
      </w:r>
    </w:p>
    <w:bookmarkEnd w:id="116"/>
    <w:bookmarkStart w:id="117" w:name="ref-Hoffmann2011"/>
    <w:p>
      <w:pPr>
        <w:pStyle w:val="Bibliography"/>
      </w:pPr>
      <w:r>
        <w:t xml:space="preserve">75.</w:t>
      </w:r>
      <w:r>
        <w:t xml:space="preserve"> </w:t>
      </w:r>
      <w:r>
        <w:t xml:space="preserve">	</w:t>
      </w:r>
      <w:r>
        <w:t xml:space="preserve">Hoffmann, A.A. and Sgrò, C.M. (2011) Climate change and evolutionary adaptation. 470, 479–485</w:t>
      </w:r>
    </w:p>
    <w:bookmarkEnd w:id="117"/>
    <w:bookmarkStart w:id="118" w:name="ref-Hoffmann2022"/>
    <w:p>
      <w:pPr>
        <w:pStyle w:val="Bibliography"/>
      </w:pPr>
      <w:r>
        <w:t xml:space="preserve">76.</w:t>
      </w:r>
      <w:r>
        <w:t xml:space="preserve"> </w:t>
      </w:r>
      <w:r>
        <w:t xml:space="preserve">	</w:t>
      </w:r>
      <w:r>
        <w:t xml:space="preserve">Hoffmann, A.A. and Bridle, J. (2022) The dangers of irreversibility in an age of increased uncertainty: Revisiting plasticity in invertebrates.</w:t>
      </w:r>
      <w:r>
        <w:t xml:space="preserve"> </w:t>
      </w:r>
      <w:r>
        <w:rPr>
          <w:i/>
          <w:iCs/>
        </w:rPr>
        <w:t xml:space="preserve">Oikos</w:t>
      </w:r>
      <w:r>
        <w:t xml:space="preserve"> </w:t>
      </w:r>
      <w:r>
        <w:t xml:space="preserve">2022</w:t>
      </w:r>
    </w:p>
    <w:bookmarkEnd w:id="118"/>
    <w:bookmarkStart w:id="119" w:name="ref-Ghalambor2015"/>
    <w:p>
      <w:pPr>
        <w:pStyle w:val="Bibliography"/>
      </w:pPr>
      <w:r>
        <w:t xml:space="preserve">77.</w:t>
      </w:r>
      <w:r>
        <w:t xml:space="preserve"> </w:t>
      </w:r>
      <w:r>
        <w:t xml:space="preserve">	</w:t>
      </w:r>
      <w:r>
        <w:t xml:space="preserve">Ghalambor, C.</w:t>
      </w:r>
      <w:r>
        <w:t xml:space="preserve"> </w:t>
      </w:r>
      <w:r>
        <w:rPr>
          <w:i/>
          <w:iCs/>
        </w:rPr>
        <w:t xml:space="preserve">et al.</w:t>
      </w:r>
      <w:r>
        <w:t xml:space="preserve"> </w:t>
      </w:r>
      <w:r>
        <w:t xml:space="preserve">(2015) Non-adaptive plasticity potentiates rapid adaptive evolution of gene expression in nature.</w:t>
      </w:r>
      <w:r>
        <w:t xml:space="preserve"> </w:t>
      </w:r>
      <w:r>
        <w:rPr>
          <w:i/>
          <w:iCs/>
        </w:rPr>
        <w:t xml:space="preserve">Nature</w:t>
      </w:r>
      <w:r>
        <w:t xml:space="preserve"> </w:t>
      </w:r>
      <w:r>
        <w:t xml:space="preserve">525, 372–375</w:t>
      </w:r>
    </w:p>
    <w:bookmarkEnd w:id="119"/>
    <w:bookmarkStart w:id="120" w:name="ref-Oostra2018"/>
    <w:p>
      <w:pPr>
        <w:pStyle w:val="Bibliography"/>
      </w:pPr>
      <w:r>
        <w:t xml:space="preserve">78.</w:t>
      </w:r>
      <w:r>
        <w:t xml:space="preserve"> </w:t>
      </w:r>
      <w:r>
        <w:t xml:space="preserve">	</w:t>
      </w:r>
      <w:r>
        <w:t xml:space="preserve">Oostra, V.</w:t>
      </w:r>
      <w:r>
        <w:t xml:space="preserve"> </w:t>
      </w:r>
      <w:r>
        <w:rPr>
          <w:i/>
          <w:iCs/>
        </w:rPr>
        <w:t xml:space="preserve">et al.</w:t>
      </w:r>
      <w:r>
        <w:t xml:space="preserve"> </w:t>
      </w:r>
      <w:r>
        <w:t xml:space="preserve">(2018) Strong phenotypic plasticity limits potential for evolutionary responses to climate change.</w:t>
      </w:r>
      <w:r>
        <w:t xml:space="preserve"> </w:t>
      </w:r>
      <w:r>
        <w:rPr>
          <w:i/>
          <w:iCs/>
        </w:rPr>
        <w:t xml:space="preserve">Nat. Commun.</w:t>
      </w:r>
      <w:r>
        <w:t xml:space="preserve"> </w:t>
      </w:r>
      <w:r>
        <w:t xml:space="preserve">9, 1005</w:t>
      </w:r>
    </w:p>
    <w:bookmarkEnd w:id="120"/>
    <w:bookmarkStart w:id="121" w:name="ref-Noble2019"/>
    <w:p>
      <w:pPr>
        <w:pStyle w:val="Bibliography"/>
      </w:pPr>
      <w:r>
        <w:t xml:space="preserve">79.</w:t>
      </w:r>
      <w:r>
        <w:t xml:space="preserve"> </w:t>
      </w:r>
      <w:r>
        <w:t xml:space="preserve">	</w:t>
      </w:r>
      <w:r>
        <w:t xml:space="preserve">Noble, D.W.A.</w:t>
      </w:r>
      <w:r>
        <w:t xml:space="preserve"> </w:t>
      </w:r>
      <w:r>
        <w:rPr>
          <w:i/>
          <w:iCs/>
        </w:rPr>
        <w:t xml:space="preserve">et al.</w:t>
      </w:r>
      <w:r>
        <w:t xml:space="preserve"> </w:t>
      </w:r>
      <w:r>
        <w:t xml:space="preserve">(2019) Plastic responses to novel environments are biased towards phenotype dimensions with high additive genetic variation.</w:t>
      </w:r>
      <w:r>
        <w:t xml:space="preserve"> </w:t>
      </w:r>
      <w:r>
        <w:rPr>
          <w:i/>
          <w:iCs/>
        </w:rPr>
        <w:t xml:space="preserve">Proc. Natl. Acad. Sci. U. S. A.</w:t>
      </w:r>
      <w:r>
        <w:t xml:space="preserve"> </w:t>
      </w:r>
      <w:r>
        <w:t xml:space="preserve">116, 13452–13461</w:t>
      </w:r>
    </w:p>
    <w:bookmarkEnd w:id="121"/>
    <w:bookmarkStart w:id="122" w:name="ref-Sousa2010"/>
    <w:p>
      <w:pPr>
        <w:pStyle w:val="Bibliography"/>
      </w:pPr>
      <w:r>
        <w:t xml:space="preserve">80.</w:t>
      </w:r>
      <w:r>
        <w:t xml:space="preserve"> </w:t>
      </w:r>
      <w:r>
        <w:t xml:space="preserve">	</w:t>
      </w:r>
      <w:r>
        <w:t xml:space="preserve">Sousa, T.</w:t>
      </w:r>
      <w:r>
        <w:t xml:space="preserve"> </w:t>
      </w:r>
      <w:r>
        <w:rPr>
          <w:i/>
          <w:iCs/>
        </w:rPr>
        <w:t xml:space="preserve">et al.</w:t>
      </w:r>
      <w:r>
        <w:t xml:space="preserve"> </w:t>
      </w:r>
      <w:r>
        <w:t xml:space="preserve">(2010) Dynamic energy budget theory restores coherence in biology.</w:t>
      </w:r>
      <w:r>
        <w:t xml:space="preserve"> </w:t>
      </w:r>
      <w:r>
        <w:rPr>
          <w:i/>
          <w:iCs/>
        </w:rPr>
        <w:t xml:space="preserve">Philos. Trans. R. Soc. Lond. B Biol. Sci.</w:t>
      </w:r>
      <w:r>
        <w:t xml:space="preserve"> </w:t>
      </w:r>
      <w:r>
        <w:t xml:space="preserve">365, 3413–3428</w:t>
      </w:r>
    </w:p>
    <w:bookmarkEnd w:id="122"/>
    <w:bookmarkStart w:id="123" w:name="ref-Lande1979"/>
    <w:p>
      <w:pPr>
        <w:pStyle w:val="Bibliography"/>
      </w:pPr>
      <w:r>
        <w:t xml:space="preserve">81.</w:t>
      </w:r>
      <w:r>
        <w:t xml:space="preserve"> </w:t>
      </w:r>
      <w:r>
        <w:t xml:space="preserve">	</w:t>
      </w:r>
      <w:r>
        <w:t xml:space="preserve">Lande, R. (1979) Quantitative genetic analysis of multivariate evolution, applied to brain:body size allometry.</w:t>
      </w:r>
      <w:r>
        <w:t xml:space="preserve"> </w:t>
      </w:r>
      <w:r>
        <w:rPr>
          <w:i/>
          <w:iCs/>
        </w:rPr>
        <w:t xml:space="preserve">Evolution</w:t>
      </w:r>
      <w:r>
        <w:t xml:space="preserve"> </w:t>
      </w:r>
      <w:r>
        <w:t xml:space="preserve">33</w:t>
      </w:r>
    </w:p>
    <w:bookmarkEnd w:id="123"/>
    <w:bookmarkStart w:id="124" w:name="ref-Walsh2018"/>
    <w:p>
      <w:pPr>
        <w:pStyle w:val="Bibliography"/>
      </w:pPr>
      <w:r>
        <w:t xml:space="preserve">82.</w:t>
      </w:r>
      <w:r>
        <w:t xml:space="preserve"> </w:t>
      </w:r>
      <w:r>
        <w:t xml:space="preserve">	</w:t>
      </w:r>
      <w:r>
        <w:t xml:space="preserve">Walsh, B. and Lynch, M. (2018)</w:t>
      </w:r>
      <w:r>
        <w:t xml:space="preserve"> </w:t>
      </w:r>
      <w:r>
        <w:rPr>
          <w:i/>
          <w:iCs/>
        </w:rPr>
        <w:t xml:space="preserve">Evolution and selection of quantitative traits</w:t>
      </w:r>
      <w:r>
        <w:t xml:space="preserve">, Oxford University Press</w:t>
      </w:r>
    </w:p>
    <w:bookmarkEnd w:id="124"/>
    <w:bookmarkStart w:id="125" w:name="ref-Zou2024"/>
    <w:p>
      <w:pPr>
        <w:pStyle w:val="Bibliography"/>
      </w:pPr>
      <w:r>
        <w:t xml:space="preserve">83.</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 Lett.</w:t>
      </w:r>
      <w:r>
        <w:t xml:space="preserve"> </w:t>
      </w:r>
      <w:r>
        <w:t xml:space="preserve">27, e14432</w:t>
      </w:r>
    </w:p>
    <w:bookmarkEnd w:id="125"/>
    <w:bookmarkStart w:id="126" w:name="ref-Li2023"/>
    <w:p>
      <w:pPr>
        <w:pStyle w:val="Bibliography"/>
      </w:pPr>
      <w:r>
        <w:t xml:space="preserve">84.</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 Therm. Biol.</w:t>
      </w:r>
      <w:r>
        <w:t xml:space="preserve"> </w:t>
      </w:r>
      <w:r>
        <w:t xml:space="preserve">114, 103583</w:t>
      </w:r>
    </w:p>
    <w:bookmarkEnd w:id="126"/>
    <w:bookmarkStart w:id="127" w:name="ref-Zhu2024"/>
    <w:p>
      <w:pPr>
        <w:pStyle w:val="Bibliography"/>
      </w:pPr>
      <w:r>
        <w:t xml:space="preserve">85.</w:t>
      </w:r>
      <w:r>
        <w:t xml:space="preserve"> </w:t>
      </w:r>
      <w:r>
        <w:t xml:space="preserve">	</w:t>
      </w:r>
      <w:r>
        <w:t xml:space="preserve">Zhu, L.</w:t>
      </w:r>
      <w:r>
        <w:t xml:space="preserve"> </w:t>
      </w:r>
      <w:r>
        <w:rPr>
          <w:i/>
          <w:iCs/>
        </w:rPr>
        <w:t xml:space="preserve">et al.</w:t>
      </w:r>
      <w:r>
        <w:t xml:space="preserve"> </w:t>
      </w:r>
      <w:r>
        <w:t xml:space="preserve">(2024) Responses of a widespread pest insect to extreme high temperatures are stage-dependent and divergent among seasonal cohorts.</w:t>
      </w:r>
      <w:r>
        <w:t xml:space="preserve"> </w:t>
      </w:r>
      <w:r>
        <w:rPr>
          <w:i/>
          <w:iCs/>
        </w:rPr>
        <w:t xml:space="preserve">Funct. Ecol.</w:t>
      </w:r>
      <w:r>
        <w:t xml:space="preserve"> </w:t>
      </w:r>
      <w:r>
        <w:t xml:space="preserve">39, 165–180</w:t>
      </w:r>
    </w:p>
    <w:bookmarkEnd w:id="127"/>
    <w:bookmarkStart w:id="128" w:name="ref-Assessment_undated-fv"/>
    <w:p>
      <w:pPr>
        <w:pStyle w:val="Bibliography"/>
      </w:pPr>
      <w:r>
        <w:t xml:space="preserve">86.</w:t>
      </w:r>
      <w:r>
        <w:t xml:space="preserve"> </w:t>
      </w:r>
      <w:r>
        <w:t xml:space="preserve">	</w:t>
      </w:r>
      <w:r>
        <w:t xml:space="preserve">Assessment, M.E. (2005) Opportunities and challenges for business and industryunioviedo.es</w:t>
      </w:r>
    </w:p>
    <w:bookmarkEnd w:id="128"/>
    <w:bookmarkStart w:id="129" w:name="ref-Dandy2019"/>
    <w:p>
      <w:pPr>
        <w:pStyle w:val="Bibliography"/>
      </w:pPr>
      <w:r>
        <w:t xml:space="preserve">87.</w:t>
      </w:r>
      <w:r>
        <w:t xml:space="preserve"> </w:t>
      </w:r>
      <w:r>
        <w:t xml:space="preserve">	</w:t>
      </w:r>
      <w:r>
        <w:t xml:space="preserve">Dandy, J.</w:t>
      </w:r>
      <w:r>
        <w:t xml:space="preserve"> </w:t>
      </w:r>
      <w:r>
        <w:rPr>
          <w:i/>
          <w:iCs/>
        </w:rPr>
        <w:t xml:space="preserve">et al.</w:t>
      </w:r>
      <w:r>
        <w:t xml:space="preserve"> </w:t>
      </w:r>
      <w:r>
        <w:t xml:space="preserve">(2019) Leaving home: Place attachment and decisions to move in the face of environmental change.</w:t>
      </w:r>
      <w:r>
        <w:t xml:space="preserve"> </w:t>
      </w:r>
      <w:r>
        <w:rPr>
          <w:i/>
          <w:iCs/>
        </w:rPr>
        <w:t xml:space="preserve">Reg. Environ. Change</w:t>
      </w:r>
      <w:r>
        <w:t xml:space="preserve"> </w:t>
      </w:r>
      <w:r>
        <w:t xml:space="preserve">19, 615–620</w:t>
      </w:r>
    </w:p>
    <w:bookmarkEnd w:id="129"/>
    <w:bookmarkStart w:id="130" w:name="ref-Price2014"/>
    <w:p>
      <w:pPr>
        <w:pStyle w:val="Bibliography"/>
      </w:pPr>
      <w:r>
        <w:t xml:space="preserve">88.</w:t>
      </w:r>
      <w:r>
        <w:t xml:space="preserve"> </w:t>
      </w:r>
      <w:r>
        <w:t xml:space="preserve">	</w:t>
      </w:r>
      <w:r>
        <w:t xml:space="preserve">Price, J.C. and Leviston, Z. (2014) Predicting pro-environmental agricultural practices: The social, psychological and contextual influences on land management.</w:t>
      </w:r>
      <w:r>
        <w:t xml:space="preserve"> </w:t>
      </w:r>
      <w:r>
        <w:rPr>
          <w:i/>
          <w:iCs/>
        </w:rPr>
        <w:t xml:space="preserve">J. Rural Stud.</w:t>
      </w:r>
      <w:r>
        <w:t xml:space="preserve"> </w:t>
      </w:r>
      <w:r>
        <w:t xml:space="preserve">34, 65–78</w:t>
      </w:r>
    </w:p>
    <w:bookmarkEnd w:id="130"/>
    <w:bookmarkStart w:id="131" w:name="ref-Leviston2018"/>
    <w:p>
      <w:pPr>
        <w:pStyle w:val="Bibliography"/>
      </w:pPr>
      <w:r>
        <w:t xml:space="preserve">89.</w:t>
      </w:r>
      <w:r>
        <w:t xml:space="preserve"> </w:t>
      </w:r>
      <w:r>
        <w:t xml:space="preserve">	</w:t>
      </w:r>
      <w:r>
        <w:t xml:space="preserve">Leviston, Z.</w:t>
      </w:r>
      <w:r>
        <w:t xml:space="preserve"> </w:t>
      </w:r>
      <w:r>
        <w:rPr>
          <w:i/>
          <w:iCs/>
        </w:rPr>
        <w:t xml:space="preserve">et al.</w:t>
      </w:r>
      <w:r>
        <w:t xml:space="preserve"> </w:t>
      </w:r>
      <w:r>
        <w:t xml:space="preserve">(2018) Linkages between ecosystem services and human wellbeing: A nexus webs approach.</w:t>
      </w:r>
      <w:r>
        <w:t xml:space="preserve"> </w:t>
      </w:r>
      <w:r>
        <w:rPr>
          <w:i/>
          <w:iCs/>
        </w:rPr>
        <w:t xml:space="preserve">Ecol. Indic.</w:t>
      </w:r>
      <w:r>
        <w:t xml:space="preserve"> </w:t>
      </w:r>
      <w:r>
        <w:t xml:space="preserve">93, 658–668</w:t>
      </w:r>
    </w:p>
    <w:bookmarkEnd w:id="131"/>
    <w:bookmarkStart w:id="132" w:name="ref-Bai2016"/>
    <w:p>
      <w:pPr>
        <w:pStyle w:val="Bibliography"/>
      </w:pPr>
      <w:r>
        <w:t xml:space="preserve">90.</w:t>
      </w:r>
      <w:r>
        <w:t xml:space="preserve"> </w:t>
      </w:r>
      <w:r>
        <w:t xml:space="preserve">	</w:t>
      </w:r>
      <w:r>
        <w:t xml:space="preserve">Bai, X.</w:t>
      </w:r>
      <w:r>
        <w:t xml:space="preserve"> </w:t>
      </w:r>
      <w:r>
        <w:rPr>
          <w:i/>
          <w:iCs/>
        </w:rPr>
        <w:t xml:space="preserve">et al.</w:t>
      </w:r>
      <w:r>
        <w:t xml:space="preserve"> </w:t>
      </w:r>
      <w:r>
        <w:t xml:space="preserve">(2016) Defining and advancing a systems approach for sustainable cities.</w:t>
      </w:r>
      <w:r>
        <w:t xml:space="preserve"> </w:t>
      </w:r>
      <w:r>
        <w:rPr>
          <w:i/>
          <w:iCs/>
        </w:rPr>
        <w:t xml:space="preserve">Curr. Opin. Environ. Sustain.</w:t>
      </w:r>
      <w:r>
        <w:t xml:space="preserve"> </w:t>
      </w:r>
      <w:r>
        <w:t xml:space="preserve">23, 69–78</w:t>
      </w:r>
    </w:p>
    <w:bookmarkEnd w:id="132"/>
    <w:bookmarkStart w:id="133" w:name="ref-Grimm2008"/>
    <w:p>
      <w:pPr>
        <w:pStyle w:val="Bibliography"/>
      </w:pPr>
      <w:r>
        <w:t xml:space="preserve">91.</w:t>
      </w:r>
      <w:r>
        <w:t xml:space="preserve"> </w:t>
      </w:r>
      <w:r>
        <w:t xml:space="preserve">	</w:t>
      </w:r>
      <w:r>
        <w:t xml:space="preserve">Grimm, N.B.</w:t>
      </w:r>
      <w:r>
        <w:t xml:space="preserve"> </w:t>
      </w:r>
      <w:r>
        <w:rPr>
          <w:i/>
          <w:iCs/>
        </w:rPr>
        <w:t xml:space="preserve">et al.</w:t>
      </w:r>
      <w:r>
        <w:t xml:space="preserve"> </w:t>
      </w:r>
      <w:r>
        <w:t xml:space="preserve">(2008) Global change and the ecology of cities.</w:t>
      </w:r>
      <w:r>
        <w:t xml:space="preserve"> </w:t>
      </w:r>
      <w:r>
        <w:rPr>
          <w:i/>
          <w:iCs/>
        </w:rPr>
        <w:t xml:space="preserve">Science</w:t>
      </w:r>
      <w:r>
        <w:t xml:space="preserve"> </w:t>
      </w:r>
      <w:r>
        <w:t xml:space="preserve">319, 756–760</w:t>
      </w:r>
    </w:p>
    <w:bookmarkEnd w:id="133"/>
    <w:bookmarkStart w:id="134" w:name="ref-Hendricks2022"/>
    <w:p>
      <w:pPr>
        <w:pStyle w:val="Bibliography"/>
      </w:pPr>
      <w:r>
        <w:t xml:space="preserve">92.</w:t>
      </w:r>
      <w:r>
        <w:t xml:space="preserve"> </w:t>
      </w:r>
      <w:r>
        <w:t xml:space="preserve">	</w:t>
      </w:r>
      <w:r>
        <w:t xml:space="preserve">Hendricks, J.</w:t>
      </w:r>
      <w:r>
        <w:t xml:space="preserve"> </w:t>
      </w:r>
      <w:r>
        <w:rPr>
          <w:i/>
          <w:iCs/>
        </w:rPr>
        <w:t xml:space="preserve">et al.</w:t>
      </w:r>
      <w:r>
        <w:t xml:space="preserve"> </w:t>
      </w:r>
      <w:r>
        <w:t xml:space="preserve">(2022) Public perceptions of potential adaptations for mitigating heat stress on australian dairy farms.</w:t>
      </w:r>
      <w:r>
        <w:t xml:space="preserve"> </w:t>
      </w:r>
      <w:r>
        <w:rPr>
          <w:i/>
          <w:iCs/>
        </w:rPr>
        <w:t xml:space="preserve">J. Dairy Sci.</w:t>
      </w:r>
      <w:r>
        <w:t xml:space="preserve"> </w:t>
      </w:r>
      <w:r>
        <w:t xml:space="preserve">105, 5893–5908</w:t>
      </w:r>
    </w:p>
    <w:bookmarkEnd w:id="134"/>
    <w:bookmarkStart w:id="135" w:name="ref-Sutanto2020"/>
    <w:p>
      <w:pPr>
        <w:pStyle w:val="Bibliography"/>
      </w:pPr>
      <w:r>
        <w:t xml:space="preserve">93.</w:t>
      </w:r>
      <w:r>
        <w:t xml:space="preserve"> </w:t>
      </w:r>
      <w:r>
        <w:t xml:space="preserve">	</w:t>
      </w:r>
      <w:r>
        <w:t xml:space="preserve">Sutanto, S.J.</w:t>
      </w:r>
      <w:r>
        <w:t xml:space="preserve"> </w:t>
      </w:r>
      <w:r>
        <w:rPr>
          <w:i/>
          <w:iCs/>
        </w:rPr>
        <w:t xml:space="preserve">et al.</w:t>
      </w:r>
      <w:r>
        <w:t xml:space="preserve"> </w:t>
      </w:r>
      <w:r>
        <w:t xml:space="preserve">(2020) Heatwaves, droughts, and fires: Exploring compound and cascading dry hazards at the pan-european scale.</w:t>
      </w:r>
      <w:r>
        <w:t xml:space="preserve"> </w:t>
      </w:r>
      <w:r>
        <w:rPr>
          <w:i/>
          <w:iCs/>
        </w:rPr>
        <w:t xml:space="preserve">Environ. Int.</w:t>
      </w:r>
      <w:r>
        <w:t xml:space="preserve"> </w:t>
      </w:r>
      <w:r>
        <w:t xml:space="preserve">134, 105276</w:t>
      </w:r>
    </w:p>
    <w:bookmarkEnd w:id="135"/>
    <w:bookmarkStart w:id="136" w:name="ref-Liu2007"/>
    <w:p>
      <w:pPr>
        <w:pStyle w:val="Bibliography"/>
      </w:pPr>
      <w:r>
        <w:t xml:space="preserve">94.</w:t>
      </w:r>
      <w:r>
        <w:t xml:space="preserve"> </w:t>
      </w:r>
      <w:r>
        <w:t xml:space="preserve">	</w:t>
      </w:r>
      <w:r>
        <w:t xml:space="preserve">Liu, J.</w:t>
      </w:r>
      <w:r>
        <w:t xml:space="preserve"> </w:t>
      </w:r>
      <w:r>
        <w:rPr>
          <w:i/>
          <w:iCs/>
        </w:rPr>
        <w:t xml:space="preserve">et al.</w:t>
      </w:r>
      <w:r>
        <w:t xml:space="preserve"> </w:t>
      </w:r>
      <w:r>
        <w:t xml:space="preserve">(2007) Coupled human and natural systems.</w:t>
      </w:r>
      <w:r>
        <w:t xml:space="preserve"> </w:t>
      </w:r>
      <w:r>
        <w:rPr>
          <w:i/>
          <w:iCs/>
        </w:rPr>
        <w:t xml:space="preserve">Ambio</w:t>
      </w:r>
      <w:r>
        <w:t xml:space="preserve"> </w:t>
      </w:r>
      <w:r>
        <w:t xml:space="preserve">36, 639–649</w:t>
      </w:r>
    </w:p>
    <w:bookmarkEnd w:id="136"/>
    <w:bookmarkStart w:id="137" w:name="ref-Black2011"/>
    <w:p>
      <w:pPr>
        <w:pStyle w:val="Bibliography"/>
      </w:pPr>
      <w:r>
        <w:t xml:space="preserve">95.</w:t>
      </w:r>
      <w:r>
        <w:t xml:space="preserve"> </w:t>
      </w:r>
      <w:r>
        <w:t xml:space="preserve">	</w:t>
      </w:r>
      <w:r>
        <w:t xml:space="preserve">Black, R.</w:t>
      </w:r>
      <w:r>
        <w:t xml:space="preserve"> </w:t>
      </w:r>
      <w:r>
        <w:rPr>
          <w:i/>
          <w:iCs/>
        </w:rPr>
        <w:t xml:space="preserve">et al.</w:t>
      </w:r>
      <w:r>
        <w:t xml:space="preserve"> </w:t>
      </w:r>
      <w:r>
        <w:t xml:space="preserve">(2011) The effect of environmental change on human migration.</w:t>
      </w:r>
      <w:r>
        <w:t xml:space="preserve"> </w:t>
      </w:r>
      <w:r>
        <w:rPr>
          <w:i/>
          <w:iCs/>
        </w:rPr>
        <w:t xml:space="preserve">Glob. Environ. Change</w:t>
      </w:r>
      <w:r>
        <w:t xml:space="preserve"> </w:t>
      </w:r>
      <w:r>
        <w:t xml:space="preserve">21, S3–S11</w:t>
      </w:r>
    </w:p>
    <w:bookmarkEnd w:id="137"/>
    <w:bookmarkStart w:id="138" w:name="ref-Neil_Adger1999"/>
    <w:p>
      <w:pPr>
        <w:pStyle w:val="Bibliography"/>
      </w:pPr>
      <w:r>
        <w:t xml:space="preserve">96.</w:t>
      </w:r>
      <w:r>
        <w:t xml:space="preserve"> </w:t>
      </w:r>
      <w:r>
        <w:t xml:space="preserve">	</w:t>
      </w:r>
      <w:r>
        <w:t xml:space="preserve">Neil Adger, W. (1999) Social vulnerability to climate change and extremes in coastal vietnam.</w:t>
      </w:r>
      <w:r>
        <w:t xml:space="preserve"> </w:t>
      </w:r>
      <w:r>
        <w:rPr>
          <w:i/>
          <w:iCs/>
        </w:rPr>
        <w:t xml:space="preserve">World Dev.</w:t>
      </w:r>
      <w:r>
        <w:t xml:space="preserve"> </w:t>
      </w:r>
      <w:r>
        <w:t xml:space="preserve">27, 249–269</w:t>
      </w:r>
    </w:p>
    <w:bookmarkEnd w:id="138"/>
    <w:bookmarkStart w:id="139" w:name="ref-Folke2016"/>
    <w:p>
      <w:pPr>
        <w:pStyle w:val="Bibliography"/>
      </w:pPr>
      <w:r>
        <w:t xml:space="preserve">97.</w:t>
      </w:r>
      <w:r>
        <w:t xml:space="preserve"> </w:t>
      </w:r>
      <w:r>
        <w:t xml:space="preserve">	</w:t>
      </w:r>
      <w:r>
        <w:t xml:space="preserve">Folke, C.</w:t>
      </w:r>
      <w:r>
        <w:t xml:space="preserve"> </w:t>
      </w:r>
      <w:r>
        <w:rPr>
          <w:i/>
          <w:iCs/>
        </w:rPr>
        <w:t xml:space="preserve">et al.</w:t>
      </w:r>
      <w:r>
        <w:t xml:space="preserve"> </w:t>
      </w:r>
      <w:r>
        <w:t xml:space="preserve">(2016) Social-ecological resilience and biosphere-based sustainability science.</w:t>
      </w:r>
      <w:r>
        <w:t xml:space="preserve"> </w:t>
      </w:r>
      <w:r>
        <w:rPr>
          <w:i/>
          <w:iCs/>
        </w:rPr>
        <w:t xml:space="preserve">Ecology and Society</w:t>
      </w:r>
      <w:r>
        <w:t xml:space="preserve"> </w:t>
      </w:r>
      <w:r>
        <w:t xml:space="preserve">21</w:t>
      </w:r>
    </w:p>
    <w:bookmarkEnd w:id="139"/>
    <w:bookmarkStart w:id="140" w:name="ref-Schluter2012"/>
    <w:p>
      <w:pPr>
        <w:pStyle w:val="Bibliography"/>
      </w:pPr>
      <w:r>
        <w:t xml:space="preserve">98.</w:t>
      </w:r>
      <w:r>
        <w:t xml:space="preserve"> </w:t>
      </w:r>
      <w:r>
        <w:t xml:space="preserve">	</w:t>
      </w:r>
      <w:r>
        <w:t xml:space="preserve">Schlüter, M.</w:t>
      </w:r>
      <w:r>
        <w:t xml:space="preserve"> </w:t>
      </w:r>
      <w:r>
        <w:rPr>
          <w:i/>
          <w:iCs/>
        </w:rPr>
        <w:t xml:space="preserve">et al.</w:t>
      </w:r>
      <w:r>
        <w:t xml:space="preserve"> </w:t>
      </w:r>
      <w:r>
        <w:t xml:space="preserve">(2012) New horizons for managing the environment: A review of coupled social‐ecological systems modeling: Social-ecological systems modeling.</w:t>
      </w:r>
      <w:r>
        <w:t xml:space="preserve"> </w:t>
      </w:r>
      <w:r>
        <w:rPr>
          <w:i/>
          <w:iCs/>
        </w:rPr>
        <w:t xml:space="preserve">Nat. Resour. Model.</w:t>
      </w:r>
      <w:r>
        <w:t xml:space="preserve"> </w:t>
      </w:r>
      <w:r>
        <w:t xml:space="preserve">25, 219–272</w:t>
      </w:r>
    </w:p>
    <w:bookmarkEnd w:id="140"/>
    <w:bookmarkStart w:id="141" w:name="ref-Wise2014"/>
    <w:p>
      <w:pPr>
        <w:pStyle w:val="Bibliography"/>
      </w:pPr>
      <w:r>
        <w:t xml:space="preserve">99.</w:t>
      </w:r>
      <w:r>
        <w:t xml:space="preserve"> </w:t>
      </w:r>
      <w:r>
        <w:t xml:space="preserve">	</w:t>
      </w:r>
      <w:r>
        <w:t xml:space="preserve">Wise, R.M.</w:t>
      </w:r>
      <w:r>
        <w:t xml:space="preserve"> </w:t>
      </w:r>
      <w:r>
        <w:rPr>
          <w:i/>
          <w:iCs/>
        </w:rPr>
        <w:t xml:space="preserve">et al.</w:t>
      </w:r>
      <w:r>
        <w:t xml:space="preserve"> </w:t>
      </w:r>
      <w:r>
        <w:t xml:space="preserve">(2014) Reconceptualising adaptation to climate change as part of pathways of change and response.</w:t>
      </w:r>
      <w:r>
        <w:t xml:space="preserve"> </w:t>
      </w:r>
      <w:r>
        <w:rPr>
          <w:i/>
          <w:iCs/>
        </w:rPr>
        <w:t xml:space="preserve">Glob. Environ. Change</w:t>
      </w:r>
      <w:r>
        <w:t xml:space="preserve"> </w:t>
      </w:r>
      <w:r>
        <w:t xml:space="preserve">28, 325–336</w:t>
      </w:r>
    </w:p>
    <w:bookmarkEnd w:id="141"/>
    <w:bookmarkStart w:id="142" w:name="ref-Biggs2021"/>
    <w:p>
      <w:pPr>
        <w:pStyle w:val="Bibliography"/>
      </w:pPr>
      <w:r>
        <w:t xml:space="preserve">100.</w:t>
      </w:r>
      <w:r>
        <w:t xml:space="preserve"> </w:t>
      </w:r>
      <w:r>
        <w:t xml:space="preserve">	</w:t>
      </w:r>
      <w:r>
        <w:t xml:space="preserve">Biggs, R.</w:t>
      </w:r>
      <w:r>
        <w:t xml:space="preserve"> </w:t>
      </w:r>
      <w:r>
        <w:rPr>
          <w:i/>
          <w:iCs/>
        </w:rPr>
        <w:t xml:space="preserve">et al.</w:t>
      </w:r>
      <w:r>
        <w:t xml:space="preserve"> </w:t>
      </w:r>
      <w:r>
        <w:t xml:space="preserve">(2021)</w:t>
      </w:r>
      <w:r>
        <w:t xml:space="preserve"> </w:t>
      </w:r>
      <w:r>
        <w:rPr>
          <w:i/>
          <w:iCs/>
        </w:rPr>
        <w:t xml:space="preserve">The routledge handbook of research methods for social-ecological systems</w:t>
      </w:r>
      <w:r>
        <w:t xml:space="preserve">, Taylor &amp; Francis</w:t>
      </w:r>
    </w:p>
    <w:bookmarkEnd w:id="142"/>
    <w:bookmarkStart w:id="143" w:name="ref-Brown2021"/>
    <w:p>
      <w:pPr>
        <w:pStyle w:val="Bibliography"/>
      </w:pPr>
      <w:r>
        <w:t xml:space="preserve">101.</w:t>
      </w:r>
      <w:r>
        <w:t xml:space="preserve"> </w:t>
      </w:r>
      <w:r>
        <w:t xml:space="preserve">	</w:t>
      </w:r>
      <w:r>
        <w:t xml:space="preserve">Brown, C. and Rounsevell, M. (2021) How can social–ecological system models simulate the emergence of social–ecological crises?</w:t>
      </w:r>
      <w:r>
        <w:t xml:space="preserve"> </w:t>
      </w:r>
      <w:r>
        <w:rPr>
          <w:i/>
          <w:iCs/>
        </w:rPr>
        <w:t xml:space="preserve">People Nat. (Hoboken)</w:t>
      </w:r>
      <w:r>
        <w:t xml:space="preserve"> </w:t>
      </w:r>
      <w:r>
        <w:t xml:space="preserve">3, 88–103</w:t>
      </w:r>
    </w:p>
    <w:bookmarkEnd w:id="143"/>
    <w:bookmarkStart w:id="144" w:name="ref-Kwakkel2013"/>
    <w:p>
      <w:pPr>
        <w:pStyle w:val="Bibliography"/>
      </w:pPr>
      <w:r>
        <w:t xml:space="preserve">102.</w:t>
      </w:r>
      <w:r>
        <w:t xml:space="preserve"> </w:t>
      </w:r>
      <w:r>
        <w:t xml:space="preserve">	</w:t>
      </w:r>
      <w:r>
        <w:t xml:space="preserve">Kwakkel, J.H. and Pruyt, E. (2013) Exploratory modeling and analysis, an approach for model-based foresight under deep uncertainty.</w:t>
      </w:r>
      <w:r>
        <w:t xml:space="preserve"> </w:t>
      </w:r>
      <w:r>
        <w:rPr>
          <w:i/>
          <w:iCs/>
        </w:rPr>
        <w:t xml:space="preserve">Technol. Forecast. Soc. Change</w:t>
      </w:r>
      <w:r>
        <w:t xml:space="preserve"> </w:t>
      </w:r>
      <w:r>
        <w:t xml:space="preserve">80, 419–431</w:t>
      </w:r>
    </w:p>
    <w:bookmarkEnd w:id="144"/>
    <w:bookmarkStart w:id="145" w:name="ref-Kearney2009a"/>
    <w:p>
      <w:pPr>
        <w:pStyle w:val="Bibliography"/>
      </w:pPr>
      <w:r>
        <w:t xml:space="preserve">103.</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45"/>
    <w:bookmarkEnd w:id="146"/>
    <w:bookmarkEnd w:id="147"/>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s://daniel1noble.github.io/thermal_tol_interactions/" TargetMode="External" /></Relationships>
</file>

<file path=word/_rels/footnotes.xml.rels><?xml version="1.0" encoding="UTF-8"?><Relationships xmlns="http://schemas.openxmlformats.org/package/2006/relationships"><Relationship Type="http://schemas.openxmlformats.org/officeDocument/2006/relationships/hyperlink" Id="rId41" Target="https://daniel1noble.github.io/thermal_tol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2025-05-14T00:19:01Z</dcterms:created>
  <dcterms:modified xsi:type="dcterms:W3CDTF">2025-05-14T00:19:01Z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