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E4B56" w14:textId="77777777" w:rsidR="007C0051" w:rsidRDefault="00000000" w:rsidP="00995EE0">
      <w:pPr>
        <w:pStyle w:val="Title"/>
        <w:spacing w:line="360" w:lineRule="auto"/>
      </w:pPr>
      <w:r>
        <w:t>A systems-modelling approach to predict biological responses to extreme heat</w:t>
      </w:r>
    </w:p>
    <w:p w14:paraId="027D0F31" w14:textId="77777777" w:rsidR="007C0051" w:rsidRDefault="00000000" w:rsidP="00995EE0">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12BC8253" w14:textId="77777777" w:rsidR="007C0051" w:rsidRDefault="00000000" w:rsidP="00995EE0">
      <w:pPr>
        <w:pStyle w:val="BodyText"/>
        <w:spacing w:line="360" w:lineRule="auto"/>
      </w:pPr>
      <w:r>
        <w:rPr>
          <w:b/>
          <w:bCs/>
        </w:rPr>
        <w:t>Affiliations</w:t>
      </w:r>
      <w:r>
        <w:t>:</w:t>
      </w:r>
    </w:p>
    <w:p w14:paraId="64E0747B" w14:textId="77777777" w:rsidR="007C0051" w:rsidRDefault="00000000" w:rsidP="00995EE0">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11E18AB9" w14:textId="77777777" w:rsidR="007C0051" w:rsidRDefault="00000000" w:rsidP="00995EE0">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14938E3C" w14:textId="77777777" w:rsidR="007C0051" w:rsidRDefault="00000000" w:rsidP="00995EE0">
      <w:pPr>
        <w:pStyle w:val="Heading4"/>
        <w:spacing w:line="360" w:lineRule="auto"/>
      </w:pPr>
      <w:bookmarkStart w:id="0" w:name="X456192babd66a3e396aba1ede195d34a3d1f89a"/>
      <w:r>
        <w:t>Keywords: plant-animal interactions, microclimate, biophysical models, thermal load sensitivity, dynamic energy budget models, coexistence theory, ecological modelling, population dynamic models</w:t>
      </w:r>
    </w:p>
    <w:p w14:paraId="7BC46205" w14:textId="77777777" w:rsidR="007C0051" w:rsidRDefault="00000000" w:rsidP="00995EE0">
      <w:pPr>
        <w:pStyle w:val="Heading1"/>
        <w:spacing w:line="360" w:lineRule="auto"/>
      </w:pPr>
      <w:bookmarkStart w:id="1" w:name="abstract"/>
      <w:bookmarkEnd w:id="0"/>
      <w:r>
        <w:t>Abstract</w:t>
      </w:r>
    </w:p>
    <w:p w14:paraId="37F14BEF" w14:textId="77777777" w:rsidR="007C0051" w:rsidRDefault="00000000" w:rsidP="00995EE0">
      <w:pPr>
        <w:pStyle w:val="FirstParagraph"/>
        <w:spacing w:line="360" w:lineRule="auto"/>
      </w:pPr>
      <w:r>
        <w:t xml:space="preserve">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3EFADBE0" w14:textId="77777777" w:rsidR="007C0051" w:rsidRDefault="00000000" w:rsidP="00995EE0">
      <w:pPr>
        <w:pStyle w:val="Heading1"/>
        <w:spacing w:line="360" w:lineRule="auto"/>
      </w:pPr>
      <w:bookmarkStart w:id="2" w:name="X2b97b971c201f11017c10c1d6e4dbfd69043166"/>
      <w:bookmarkEnd w:id="1"/>
      <w:r>
        <w:t>A systems-modelling approach to modelling biotic impacts of heatwaves</w:t>
      </w:r>
    </w:p>
    <w:p w14:paraId="38D2083A" w14:textId="77777777" w:rsidR="007C0051" w:rsidRDefault="00000000" w:rsidP="00995EE0">
      <w:pPr>
        <w:pStyle w:val="FirstParagraph"/>
        <w:spacing w:line="360" w:lineRule="auto"/>
      </w:pPr>
      <w:r>
        <w:t>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yields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effects on interactions (both positive and negative) among species [e.g., 12]. Understanding the dynamic interplay between direct and indirect effects of extreme heat, and how these are mediated by environmental factors (e.g., water and food availability, microbes), has been hampered by inadequate coupling of models that predict the cumulative damage to physiological function from extreme heat, which impacts fitness of populations, with community dynamic models across species [13]. Predicting how extreme heat impacts population dynamics and communities requires a stronger coupling of biophysical, physiological, population and community ecology models. Currently, siloing of these fields has resulted in disjunction of these models. In addition, most biophysical, physiological, and population studies focus on a single or a very small number of species making it impossible to begin modelling the dynamic feedbacks and interactions between species that matter for responses at community scales [14,15]. A systems-thinking perspective is now needed to better capture the multifaceted nature with which extreme heat manifests within in a community (e.g., capturing non-linearities and interactions) – an approach we argue will better capture the dynamic feed backs within and between species to improve predictions.</w:t>
      </w:r>
    </w:p>
    <w:p w14:paraId="6C926977" w14:textId="77777777" w:rsidR="007C0051" w:rsidRDefault="00000000" w:rsidP="00995EE0">
      <w:pPr>
        <w:pStyle w:val="BodyText"/>
        <w:spacing w:line="360" w:lineRule="auto"/>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Pr>
            <w:rStyle w:val="Hyperlink"/>
          </w:rPr>
          <w:t>Figure 1</w:t>
        </w:r>
      </w:hyperlink>
      <w:r>
        <w:t>). We focus on plant and insect communities given the strong interconnections between them, the ease with which they can and have been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 [16–19] (</w:t>
      </w:r>
      <w:hyperlink w:anchor="fig-sys">
        <w:r>
          <w:rPr>
            <w:rStyle w:val="Hyperlink"/>
          </w:rPr>
          <w:t>Figure 1</w:t>
        </w:r>
      </w:hyperlink>
      <w:r>
        <w:t xml:space="preserve">). Physiological models that </w:t>
      </w:r>
      <w:r>
        <w:lastRenderedPageBreak/>
        <w:t>incorporate estimates of thermal sensitivity across species can capture the delicate balance between damage and repair of physiological systems [10,11,20,21],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and across whole, complex communities [22,23]. We demonstrate how such a coupling can be made within and across species and highlight the opportunities it presents to develop a greater understanding of the ways in which extreme heat stress manifests across species. We end by discussing the challenges of coupling models across diverse species in communities along with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7C0051" w14:paraId="614B089A" w14:textId="77777777">
        <w:tc>
          <w:tcPr>
            <w:tcW w:w="7920" w:type="dxa"/>
          </w:tcPr>
          <w:p w14:paraId="47E4F69C" w14:textId="77777777" w:rsidR="007C0051" w:rsidRDefault="00000000" w:rsidP="00995EE0">
            <w:pPr>
              <w:pStyle w:val="Compact"/>
              <w:spacing w:line="360" w:lineRule="auto"/>
              <w:jc w:val="center"/>
            </w:pPr>
            <w:bookmarkStart w:id="3" w:name="fig-sys"/>
            <w:r>
              <w:rPr>
                <w:noProof/>
              </w:rPr>
              <w:drawing>
                <wp:inline distT="0" distB="0" distL="0" distR="0" wp14:anchorId="0FB5FE2D" wp14:editId="53E4AB03">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35D5AC98" w14:textId="77777777" w:rsidR="007C0051" w:rsidRDefault="00000000" w:rsidP="00995EE0">
            <w:pPr>
              <w:pStyle w:val="ImageCaption"/>
              <w:spacing w:before="200" w:line="360" w:lineRule="auto"/>
            </w:pPr>
            <w:r>
              <w:t xml:space="preserve">Figure 1- </w:t>
            </w:r>
            <w:r>
              <w:rPr>
                <w:b/>
                <w:bCs/>
              </w:rPr>
              <w:t>A coupled systems modelling framework for predicting the effects of extreme heat on ecological communities</w:t>
            </w:r>
            <w:r>
              <w:t xml:space="preserve">. The modelling approach we develop here integrates (1) climate/biophysical models to predict the different microclimates species experience. (2) Microclimates experienced by </w:t>
            </w:r>
            <w:r>
              <w:lastRenderedPageBreak/>
              <w:t>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tc>
        <w:bookmarkEnd w:id="3"/>
      </w:tr>
    </w:tbl>
    <w:p w14:paraId="1695DD6E" w14:textId="77777777" w:rsidR="007C0051" w:rsidRDefault="00000000" w:rsidP="00995EE0">
      <w:pPr>
        <w:pStyle w:val="Heading1"/>
        <w:spacing w:line="360" w:lineRule="auto"/>
      </w:pPr>
      <w:bookmarkStart w:id="4" w:name="X4da05dea4acdb2054c1e59c2f12913febac8a0c"/>
      <w:bookmarkEnd w:id="2"/>
      <w:r>
        <w:lastRenderedPageBreak/>
        <w:t>From weather to microclimates: predicting community wide exposure to extreme heat</w:t>
      </w:r>
    </w:p>
    <w:p w14:paraId="0E5C8481" w14:textId="77777777" w:rsidR="007C0051" w:rsidRDefault="00000000" w:rsidP="00995EE0">
      <w:pPr>
        <w:pStyle w:val="FirstParagraph"/>
        <w:spacing w:line="360" w:lineRule="auto"/>
      </w:pPr>
      <w:r>
        <w:t xml:space="preserve">Extreme weather events are predicted by Global Circulation Models (GCMs), typically at large spatial scales (e.g.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Pr>
            <w:rStyle w:val="Hyperlink"/>
          </w:rPr>
          <w:t>Figure 1</w:t>
        </w:r>
      </w:hyperlink>
      <w:r>
        <w:t>). Therefore, to understand how extreme heat impacts on a community of organisms, we must characterize the ‘</w:t>
      </w:r>
      <w:r>
        <w:rPr>
          <w:b/>
          <w:bCs/>
        </w:rPr>
        <w:t>microclimates</w:t>
      </w:r>
      <w:r>
        <w:t xml:space="preserve">’ experienced by individuals of different species under a given atmospheric event. Predicting microhabitats often involves taking the atmospheric conditions as independent forcing variables and combining them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spatial scales [24–30]. Microclimate models, which typically make predictions at fine spatial and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 Importantly, downscaling to microclimate conditions does require additional variables for a given location than typically used in climate </w:t>
      </w:r>
      <w:r>
        <w:lastRenderedPageBreak/>
        <w:t>models (e.g., % shade, soil characteristics, surface albedo), however, many of the additional variables are readily available. In addition, depending on the organism and question of interest, not all input variables are needed to parameterize a given microclimate. Indeed, guides for helping choose what microclimate variables to include and the spatial and temporal resolution needed exist to help decision-making [e.g., 31,32].</w:t>
      </w:r>
    </w:p>
    <w:p w14:paraId="0E53FD8B" w14:textId="77777777" w:rsidR="007C0051" w:rsidRDefault="00000000" w:rsidP="00995EE0">
      <w:pPr>
        <w:pStyle w:val="BodyText"/>
        <w:spacing w:line="360" w:lineRule="auto"/>
      </w:pPr>
      <w:r>
        <w:t>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 [18,33]. These impacts are important for the plants themselves, but also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APSIM, [34]) up to the dynamic global vegetation models (DGVMs) that simulate vegetation function and distribution at local to global scales [35].</w:t>
      </w:r>
    </w:p>
    <w:p w14:paraId="47326535" w14:textId="77777777" w:rsidR="007C0051" w:rsidRDefault="00000000" w:rsidP="00995EE0">
      <w:pPr>
        <w:pStyle w:val="Heading1"/>
        <w:spacing w:line="360" w:lineRule="auto"/>
      </w:pPr>
      <w:bookmarkStart w:id="5" w:name="X5a6e6d313f4187bfc77082e5e5979262b26b081"/>
      <w:bookmarkEnd w:id="4"/>
      <w:r>
        <w:t>Translating exposure to organism temperature: biophysics to the rescue!</w:t>
      </w:r>
    </w:p>
    <w:p w14:paraId="7361866E" w14:textId="5FFB0B17" w:rsidR="007C0051" w:rsidRDefault="00000000" w:rsidP="00995EE0">
      <w:pPr>
        <w:pStyle w:val="FirstParagraph"/>
        <w:spacing w:line="360" w:lineRule="auto"/>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integument emissivity) along with how heat energy and water are exchanged with the environment – dependent on the microclimate experienced. Such </w:t>
      </w:r>
      <w:r>
        <w:rPr>
          <w:b/>
          <w:bCs/>
        </w:rPr>
        <w:t>biophysical models</w:t>
      </w:r>
      <w:r>
        <w:t xml:space="preserve"> have a long history[36,37,e.g. 18] but have become more widely applied in ecology in the past 20 years, facilitated by developments in environmental datasets, microclimate modelling, and the emergence of high-level programming languages such as R [19]. Biophysical models of ectothermic animals make use of equations for energy and mass exchange between an organism and its environment and can account for complex radiative heat transfer and the role of evaporative water loss across surfaces [19,24,38]. Equivalent models of leaves incorporate the dynamic role of stomata </w:t>
      </w:r>
      <w:hyperlink r:id="rId6">
        <w:r>
          <w:rPr>
            <w:rStyle w:val="Hyperlink"/>
          </w:rPr>
          <w:t>[39]; [18]</w:t>
        </w:r>
      </w:hyperlink>
      <w:r>
        <w:t xml:space="preserve">. Biophysical models are powerful because, by translating microclimate conditions to organism body temperature and hydric states, simple regulatory decision-making models can be used [40,41]. For example, given an understanding of an </w:t>
      </w:r>
      <w:r>
        <w:lastRenderedPageBreak/>
        <w:t>organism’s thermal activity windows, thermal optima, and critical thermal limits we can determine what microclimates should be chosen to get as close as possible to its preferred body temperature [e.g., 40,41]. Incorporating such behavioural thermoregulatory decision making is crucial for mitigating the negative impacts of extreme heat and can inherently capture the trade-offs such a strategy entails through reduced foraging time [19,40]. In addition, incorporating stomatal behaviour can mitigate or exacerbate the extreme temperatures leaf tissue experiences while simultaneously shaping the microclimate conditions for other organisms [18,42] (</w:t>
      </w:r>
      <w:r>
        <w:rPr>
          <w:b/>
          <w:bCs/>
        </w:rPr>
        <w:t>Box 1</w:t>
      </w:r>
      <w:r>
        <w:t>). Future developments in biophysical modelling of organismal temperature under extreme heat will involve understanding the nuances of plastic physiological and behavioral responses. For example, lizards may pant when exposed to high temperatures [43], birds may ‘wind surf’ or seek thermal micro-refugia [44], and stomata can enact emergency cooling, departing from the typical responses to vapor pressure and light intensity [33], though this response may depend on prior soil moisture conditions [45]. While biophysical models require many variables for parameterization they can be tailored to the question and organism of interest [19]. Many traits can be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7F6F248A" w14:textId="77777777" w:rsidR="007C0051" w:rsidRDefault="00000000" w:rsidP="00995EE0">
      <w:pPr>
        <w:pStyle w:val="Heading1"/>
        <w:spacing w:line="360" w:lineRule="auto"/>
      </w:pPr>
      <w:bookmarkStart w:id="6" w:name="X034f8e5698580bf7448238067f484f5e1d792b9"/>
      <w:bookmarkEnd w:id="5"/>
      <w:r>
        <w:t>Capturing both physiological damage and repair to predict multi-species thermal sensitivity</w:t>
      </w:r>
    </w:p>
    <w:p w14:paraId="65D9C8A1" w14:textId="77777777" w:rsidR="007C0051" w:rsidRDefault="00000000" w:rsidP="00995EE0">
      <w:pPr>
        <w:pStyle w:val="FirstParagraph"/>
        <w:spacing w:line="360" w:lineRule="auto"/>
      </w:pPr>
      <w:r>
        <w:t xml:space="preserve">Translating how heat waves impact plants and animals not only depend on modelling temperature </w:t>
      </w:r>
      <w:r>
        <w:rPr>
          <w:i/>
          <w:iCs/>
        </w:rPr>
        <w:t>exposure</w:t>
      </w:r>
      <w:r>
        <w:t xml:space="preserve"> but also the varying </w:t>
      </w:r>
      <w:r>
        <w:rPr>
          <w:i/>
          <w:iCs/>
        </w:rPr>
        <w:t>sensitivity</w:t>
      </w:r>
      <w:r>
        <w:t xml:space="preserve"> of organisms to extreme heat [20,46]. Sensitivity to extreme heat can be captured by </w:t>
      </w:r>
      <w:r>
        <w:rPr>
          <w:b/>
          <w:bCs/>
        </w:rPr>
        <w:t>thermal load sensitivity (TLS) / thermal death time (TDT)</w:t>
      </w:r>
      <w:r>
        <w:t xml:space="preserve"> models that explicitly account for how heat stress depends on both the temperature experienced and and its duration [20,21].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[21]. Endpoints are predicted by assuming the effect of time at a given temperature decreases survival or fertility exponentially and have been shown to have high predictive power [10,11,20,46]. For example, Ørsted </w:t>
      </w:r>
      <w:r>
        <w:rPr>
          <w:i/>
          <w:iCs/>
        </w:rPr>
        <w:t>et al.</w:t>
      </w:r>
      <w:r>
        <w:t xml:space="preserve"> [11] show that both mortality and fecundity follow a clear exponential relationship with time in in the Spotted Wing Drosophila (</w:t>
      </w:r>
      <w:r>
        <w:rPr>
          <w:i/>
          <w:iCs/>
        </w:rPr>
        <w:t>Drosophila suzuki</w:t>
      </w:r>
      <w:r>
        <w:t xml:space="preserve">), with survival and fecundity being compromised most for long thermal exposures at high temperatures. Importantly, Ørsted </w:t>
      </w:r>
      <w:r>
        <w:rPr>
          <w:i/>
          <w:iCs/>
        </w:rPr>
        <w:t xml:space="preserve">et </w:t>
      </w:r>
      <w:r>
        <w:rPr>
          <w:i/>
          <w:iCs/>
        </w:rPr>
        <w:lastRenderedPageBreak/>
        <w:t>al.</w:t>
      </w:r>
      <w:r>
        <w:t xml:space="preserve"> [11] show that reproductive sensitivity can be higher than mortality, with heat injury accumulating faster to impact productivity earlier than survival. TLS theory also applies well to photosynthetic function in plants [47,48],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 [21,49].</w:t>
      </w:r>
    </w:p>
    <w:p w14:paraId="6EF2A41F" w14:textId="77777777" w:rsidR="007C0051" w:rsidRDefault="00000000" w:rsidP="00995EE0">
      <w:pPr>
        <w:pStyle w:val="BodyText"/>
        <w:spacing w:line="360" w:lineRule="auto"/>
      </w:pPr>
      <w:r>
        <w:t>Environmental factors known to impact thermal sensitivity, such as water and drought stress [e.g., 50,51] along with nutritional and dietary changes [e.g., 52,53] can also be incorporated into systems modelling approaches through their impacts on thermal sensitivity and tolerance [21] (</w:t>
      </w:r>
      <w:hyperlink w:anchor="fig-sys">
        <w:r>
          <w:rPr>
            <w:rStyle w:val="Hyperlink"/>
          </w:rPr>
          <w:t>Figure 1</w:t>
        </w:r>
      </w:hyperlink>
      <w:r>
        <w:t>).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[54,55], and gut microbiotia can impact heat tolerance in animals [56]. Additionally, modelling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 [21].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02442142" w14:textId="77777777">
        <w:trPr>
          <w:cantSplit/>
        </w:trPr>
        <w:tc>
          <w:tcPr>
            <w:tcW w:w="0" w:type="auto"/>
            <w:tcMar>
              <w:left w:w="144" w:type="dxa"/>
            </w:tcMar>
          </w:tcPr>
          <w:p w14:paraId="6D8F3F15" w14:textId="77777777" w:rsidR="007C0051" w:rsidRDefault="00000000" w:rsidP="00995EE0">
            <w:pPr>
              <w:pStyle w:val="BodyText"/>
              <w:spacing w:before="16" w:after="64" w:line="360" w:lineRule="auto"/>
            </w:pPr>
            <w:r>
              <w:rPr>
                <w:b/>
                <w:bCs/>
              </w:rPr>
              <w:lastRenderedPageBreak/>
              <w:t>Box 1: Building a systems modelling approach to capture multi-species exposure to extreme heat</w:t>
            </w:r>
          </w:p>
          <w:p w14:paraId="2B73F234" w14:textId="39015254" w:rsidR="007C0051" w:rsidRDefault="00000000" w:rsidP="00995EE0">
            <w:pPr>
              <w:pStyle w:val="BodyText"/>
              <w:spacing w:before="16" w:line="360" w:lineRule="auto"/>
            </w:pPr>
            <w:r>
              <w:t>Using a simple hypothetical community (</w:t>
            </w:r>
            <w:hyperlink w:anchor="fig-box1">
              <w:r>
                <w:rPr>
                  <w:rStyle w:val="Hyperlink"/>
                </w:rPr>
                <w:t>Figure </w:t>
              </w:r>
              <w:r w:rsidR="00995EE0">
                <w:rPr>
                  <w:rStyle w:val="Hyperlink"/>
                </w:rPr>
                <w:t>I</w:t>
              </w:r>
            </w:hyperlink>
            <w:r>
              <w:t>) we outline how a systems-modelling approach can be developed. In Box 1 we focus on how climate, microclimate, and biophysical models can predict the differential exposure to extreme heat events across species, how species can alter each others microclimates and incorporate ‘behavioural’ responses of species in response to temperature (e.g., stomatal behaviour, thermoregulation). In Box 2, we then demonstrate how we can use the predicted organismal temperatures from these models to predict life-cycles for species, incorporate differences in thermal sensitivity, and use the output from physiological models to estimate vital rates for population and community ecology models.</w:t>
            </w:r>
          </w:p>
          <w:p w14:paraId="1A1F8C2F" w14:textId="77777777" w:rsidR="007C0051" w:rsidRDefault="00000000" w:rsidP="00995EE0">
            <w:pPr>
              <w:pStyle w:val="BodyText"/>
              <w:spacing w:line="360" w:lineRule="auto"/>
            </w:pPr>
            <w:r>
              <w:t xml:space="preserve">To begin, we use natural climate data collected during a heatwave event in January 2018/19 at Renmark, South Australia (Calperum Station). Briefly, we use the </w:t>
            </w:r>
            <w:r>
              <w:rPr>
                <w:rStyle w:val="VerbatimChar"/>
              </w:rPr>
              <w:t>micro_silo</w:t>
            </w:r>
            <w:r>
              <w:t xml:space="preserve"> function in </w:t>
            </w:r>
            <w:r>
              <w:rPr>
                <w:i/>
                <w:iCs/>
              </w:rPr>
              <w:t>NicheMapR</w:t>
            </w:r>
            <w:r>
              <w:t xml:space="preserve"> [18,57] in conjunction with </w:t>
            </w:r>
            <w:r>
              <w:rPr>
                <w:i/>
                <w:iCs/>
              </w:rPr>
              <w:t>microclima</w:t>
            </w:r>
            <w:r>
              <w:t xml:space="preserve"> [25,26] in the R statistical language. </w:t>
            </w:r>
            <w:r>
              <w:rPr>
                <w:rStyle w:val="VerbatimChar"/>
              </w:rPr>
              <w:t>micro_silo</w:t>
            </w:r>
            <w:r>
              <w:t xml:space="preserve"> uses climate data from 1889 to present (https://www.longpaddock.qld.gov.au/silo/) to compute microclimates. By default, </w:t>
            </w:r>
            <w:r>
              <w:rPr>
                <w:rStyle w:val="VerbatimChar"/>
              </w:rPr>
              <w:t>micro_silo</w:t>
            </w:r>
            <w:r>
              <w:t xml:space="preserve">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p>
          <w:p w14:paraId="4751B201" w14:textId="77777777" w:rsidR="007C0051" w:rsidRDefault="00000000" w:rsidP="00995EE0">
            <w:pPr>
              <w:pStyle w:val="BodyText"/>
              <w:spacing w:line="360" w:lineRule="auto"/>
            </w:pPr>
            <w: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 </w:t>
            </w:r>
            <w:r>
              <w:rPr>
                <w:i/>
                <w:iCs/>
              </w:rPr>
              <w:t>plantecophys</w:t>
            </w:r>
            <w:r>
              <w:t xml:space="preserve"> package [39]. Here, we define traits of the leaf and use the </w:t>
            </w:r>
            <w:r>
              <w:rPr>
                <w:rStyle w:val="VerbatimChar"/>
              </w:rPr>
              <w:t>ectotherm</w:t>
            </w:r>
            <w:r>
              <w:t xml:space="preserve"> function in </w:t>
            </w:r>
            <w:r>
              <w:rPr>
                <w:i/>
                <w:iCs/>
              </w:rPr>
              <w:t>NicheMapR</w:t>
            </w:r>
            <w: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p>
          <w:p w14:paraId="24269C6B" w14:textId="77777777" w:rsidR="007C0051" w:rsidRDefault="00000000" w:rsidP="00995EE0">
            <w:pPr>
              <w:pStyle w:val="BodyText"/>
              <w:spacing w:line="360" w:lineRule="auto"/>
            </w:pPr>
            <w:r>
              <w:t xml:space="preserve">Once we have leaf temperatures, we can assume these now form part of the microclimate for our insect species (Figure I). Using the </w:t>
            </w:r>
            <w:r>
              <w:rPr>
                <w:rStyle w:val="VerbatimChar"/>
              </w:rPr>
              <w:t>ectotherm</w:t>
            </w:r>
            <w:r>
              <w:t xml:space="preserve"> function in </w:t>
            </w:r>
            <w:r>
              <w:rPr>
                <w:i/>
                <w:iCs/>
              </w:rPr>
              <w:t>NicheMapR</w:t>
            </w:r>
            <w:r>
              <w:t xml:space="preserve"> 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7C0051" w14:paraId="19E98962" w14:textId="77777777">
              <w:tc>
                <w:tcPr>
                  <w:tcW w:w="0" w:type="auto"/>
                </w:tcPr>
                <w:p w14:paraId="784B765B" w14:textId="5E345413" w:rsidR="007C0051" w:rsidRDefault="00995EE0" w:rsidP="00995EE0">
                  <w:pPr>
                    <w:pStyle w:val="Compact"/>
                    <w:spacing w:line="360" w:lineRule="auto"/>
                    <w:jc w:val="center"/>
                  </w:pPr>
                  <w:bookmarkStart w:id="7" w:name="fig-box1"/>
                  <w:r>
                    <w:rPr>
                      <w:noProof/>
                    </w:rPr>
                    <w:lastRenderedPageBreak/>
                    <w:drawing>
                      <wp:inline distT="0" distB="0" distL="0" distR="0" wp14:anchorId="188A3D30" wp14:editId="38B0E248">
                        <wp:extent cx="5555974" cy="3422400"/>
                        <wp:effectExtent l="0" t="0" r="0" b="0"/>
                        <wp:docPr id="137622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4134" name="Picture 137622413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89068" cy="3442785"/>
                                </a:xfrm>
                                <a:prstGeom prst="rect">
                                  <a:avLst/>
                                </a:prstGeom>
                              </pic:spPr>
                            </pic:pic>
                          </a:graphicData>
                        </a:graphic>
                      </wp:inline>
                    </w:drawing>
                  </w:r>
                </w:p>
                <w:p w14:paraId="020877D3" w14:textId="63138774" w:rsidR="007C0051" w:rsidRDefault="00000000" w:rsidP="00995EE0">
                  <w:pPr>
                    <w:pStyle w:val="ImageCaption"/>
                    <w:spacing w:before="200" w:line="360" w:lineRule="auto"/>
                  </w:pPr>
                  <w:r>
                    <w:t>Figure I: Predicting and coupling microclimate and biophysical models of plants and insects. Created with BioRender.com.</w:t>
                  </w:r>
                </w:p>
              </w:tc>
              <w:bookmarkEnd w:id="7"/>
            </w:tr>
          </w:tbl>
          <w:p w14:paraId="2F484321" w14:textId="77777777" w:rsidR="00000000" w:rsidRDefault="00000000" w:rsidP="00995EE0">
            <w:pPr>
              <w:spacing w:after="0" w:line="360" w:lineRule="auto"/>
            </w:pPr>
          </w:p>
        </w:tc>
      </w:tr>
    </w:tbl>
    <w:p w14:paraId="0ABC9368" w14:textId="77777777" w:rsidR="007C0051" w:rsidRDefault="00000000" w:rsidP="00995EE0">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5793564F" w14:textId="77777777">
        <w:trPr>
          <w:cantSplit/>
        </w:trPr>
        <w:tc>
          <w:tcPr>
            <w:tcW w:w="0" w:type="auto"/>
            <w:tcMar>
              <w:left w:w="144" w:type="dxa"/>
            </w:tcMar>
          </w:tcPr>
          <w:p w14:paraId="7F6FB99F" w14:textId="77777777" w:rsidR="007C0051" w:rsidRDefault="00000000" w:rsidP="00995EE0">
            <w:pPr>
              <w:pStyle w:val="BodyText"/>
              <w:spacing w:before="16" w:after="64" w:line="360" w:lineRule="auto"/>
            </w:pPr>
            <w:r>
              <w:rPr>
                <w:b/>
                <w:bCs/>
              </w:rPr>
              <w:lastRenderedPageBreak/>
              <w:t>Glossary</w:t>
            </w:r>
          </w:p>
          <w:p w14:paraId="7C310C79" w14:textId="77777777" w:rsidR="007C0051" w:rsidRDefault="00000000" w:rsidP="00995EE0">
            <w:pPr>
              <w:pStyle w:val="BodyText"/>
              <w:spacing w:before="16" w:line="360" w:lineRule="auto"/>
            </w:pPr>
            <w:r>
              <w:rPr>
                <w:b/>
                <w:bCs/>
              </w:rPr>
              <w:t>Coexistence</w:t>
            </w:r>
            <w:r>
              <w:t>: Coexistence occurs when populations of two or more species are able to persist in each other’s presence indefinitely under constant, equilibrium conditions.</w:t>
            </w:r>
          </w:p>
          <w:p w14:paraId="00B87B51" w14:textId="77777777" w:rsidR="007C0051" w:rsidRDefault="00000000" w:rsidP="00995EE0">
            <w:pPr>
              <w:pStyle w:val="BodyText"/>
              <w:spacing w:line="360" w:lineRule="auto"/>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405F818E" w14:textId="77777777" w:rsidR="007C0051" w:rsidRDefault="00000000" w:rsidP="00995EE0">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AFA0818" w14:textId="77777777" w:rsidR="007C0051" w:rsidRDefault="00000000" w:rsidP="00995EE0">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5515480D" w14:textId="77777777" w:rsidR="007C0051" w:rsidRDefault="00000000" w:rsidP="00995EE0">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2C79F191" w14:textId="77777777" w:rsidR="007C0051" w:rsidRDefault="00000000" w:rsidP="00995EE0">
            <w:pPr>
              <w:pStyle w:val="BodyText"/>
              <w:spacing w:line="360" w:lineRule="auto"/>
            </w:pPr>
            <w:r>
              <w:rPr>
                <w:b/>
                <w:bCs/>
              </w:rPr>
              <w:t>Thermal load sensitivity (TLS) / thermal death time (TDT) models</w:t>
            </w:r>
            <w:r>
              <w:t>: Models that use biophysical models to predict organism temperature and calculate thermal load that captures lethal and sublethal impacts on tissues, organs and whole organisms.</w:t>
            </w:r>
          </w:p>
          <w:p w14:paraId="5D350F28" w14:textId="77777777" w:rsidR="007C0051" w:rsidRDefault="00000000" w:rsidP="00995EE0">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A62FA4D" w14:textId="77777777" w:rsidR="007C0051" w:rsidRDefault="00000000" w:rsidP="00995EE0">
      <w:pPr>
        <w:pStyle w:val="Heading1"/>
        <w:spacing w:line="360" w:lineRule="auto"/>
      </w:pPr>
      <w:bookmarkStart w:id="8" w:name="Xa42fff9f9b55ab8c457a10a6df2c5c7c3edac3c"/>
      <w:bookmarkEnd w:id="6"/>
      <w:r>
        <w:t>Physiological models that capture the effects of extreme heat across life</w:t>
      </w:r>
    </w:p>
    <w:p w14:paraId="52294180" w14:textId="77777777" w:rsidR="007C0051" w:rsidRDefault="00000000" w:rsidP="00995EE0">
      <w:pPr>
        <w:pStyle w:val="FirstParagraph"/>
        <w:spacing w:line="360" w:lineRule="auto"/>
      </w:pPr>
      <w:r>
        <w:t xml:space="preserve">Dynamic Energy Budget (DEB) models are physiologically-explicit life-cycle models of energy and mass uptake and conversion that predict key life-history transitions, growth, reproduction and survival (senescence) through time [16,58]. DEB models consider organisms as a thermodynamic system (adhering to energy-mass balance) capturing the exchange of food, water, respiratory gases and metabolic waste throughout the life cycle [19]. DEB models can translate short-term (hourly) variation in factors such as temperature, toxins (e.g., toxicants, [59]) and resource availability (nutrients) [60,61] into long-term (days, </w:t>
      </w:r>
      <w:r>
        <w:lastRenderedPageBreak/>
        <w:t>months, years) effects on development, growth, reproduction and survival [17,19]. DEB theory, when combined with biophysical models more generally, allows the full water budget to be computed to account for heat stress impacts of a hydric nature [19].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necessary parameters have been estimated for &gt; 6000 species already (although there are taxonomic biases) [62,63]. New analytical approaches using phylogenetic imputation methods show promise for calculating energy budgets for species without data. Such methods have, for instance, already been used to predict DEB parameters for over 1.3 million animal species [see, 64]. In addition, software packages such as </w:t>
      </w:r>
      <w:r>
        <w:rPr>
          <w:i/>
          <w:iCs/>
        </w:rPr>
        <w:t>NicheMapR</w:t>
      </w:r>
      <w:r>
        <w:t xml:space="preserve"> [24,57]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13C2AA10" w14:textId="77777777" w:rsidR="007C0051" w:rsidRDefault="00000000" w:rsidP="00995EE0">
      <w:pPr>
        <w:pStyle w:val="BodyText"/>
        <w:spacing w:line="360" w:lineRule="auto"/>
      </w:pPr>
      <w:r>
        <w:t>Analogously, physiologically-based vegetation models simulate plant growth over time as a function of carbon, water and nutrient uptake and use, following mass balance principles [65].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[66].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[67]. Direct damage to plant tissue from extreme heat has yet to be represented in such models, but the thermal death time framework outlined above offers a promising way forward.</w:t>
      </w:r>
    </w:p>
    <w:p w14:paraId="2E02E422" w14:textId="77777777" w:rsidR="007C0051" w:rsidRDefault="00000000" w:rsidP="00995EE0">
      <w:pPr>
        <w:pStyle w:val="Heading1"/>
        <w:spacing w:line="360" w:lineRule="auto"/>
      </w:pPr>
      <w:bookmarkStart w:id="9" w:name="Xe20b556bb99a49ef81dd5b1307d42fae8e49e0c"/>
      <w:bookmarkEnd w:id="8"/>
      <w:r>
        <w:lastRenderedPageBreak/>
        <w:t>Mechanistic approaches that ‘speak’ to population and community ecology under extreme heat</w:t>
      </w:r>
    </w:p>
    <w:p w14:paraId="3FF6A84B" w14:textId="77777777" w:rsidR="007C0051" w:rsidRDefault="00000000" w:rsidP="00995EE0">
      <w:pPr>
        <w:pStyle w:val="FirstParagraph"/>
        <w:spacing w:line="360" w:lineRule="auto"/>
      </w:pPr>
      <w:r>
        <w:t xml:space="preserve">Modelling tools developed as part of </w:t>
      </w:r>
      <w:r>
        <w:rPr>
          <w:b/>
          <w:bCs/>
        </w:rPr>
        <w:t>Modern Coexistence Theory</w:t>
      </w:r>
      <w:r>
        <w:t xml:space="preserve"> [MCT, 15]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[14,68]. Other extensions of MCT tools have integrated environmental variation [23], traits [69] and cross-trophic dynamics [70,71] in predicting the outcomes of species interactions in community contexts. Fundamentally, this approach relies on simple two-species individual-based population growth models [72,73] but key extensions involve the use of whole communities as one “species” [74,75] or the grouping species to simplify interaction matrices while accounting for a small number of dominant species [71].</w:t>
      </w:r>
    </w:p>
    <w:p w14:paraId="74A32B12" w14:textId="77777777" w:rsidR="007C0051" w:rsidRDefault="00000000" w:rsidP="00995EE0">
      <w:pPr>
        <w:pStyle w:val="BodyText"/>
        <w:spacing w:line="360" w:lineRule="auto"/>
      </w:pPr>
      <w:r>
        <w:t>Population dynamic models that are used as part of MCT can calculate the individual fitness effect of interactions in relation to environments experienced by organisms [22,71,76] (</w:t>
      </w:r>
      <w:r>
        <w:rPr>
          <w:b/>
          <w:bCs/>
        </w:rPr>
        <w:t>Box 2</w:t>
      </w:r>
      <w:r>
        <w:t xml:space="preserve">). As these models use the same fitness measures as DEB models, they offer a population modelling framework to add thermal biology to community diversity predictions. This is because population dynamical models can be combined, for example as networks [14], and compared between microsites with different biophysical properties and composed of species with different thermal responses to their microenvironment. For example, Bimler </w:t>
      </w:r>
      <w:r>
        <w:rPr>
          <w:i/>
          <w:iCs/>
        </w:rPr>
        <w:t>et al</w:t>
      </w:r>
      <w:r>
        <w:t xml:space="preserve"> [14] used this approach to determine which species were keystone species under shady and sunny portions of the same plant communities.</w:t>
      </w:r>
    </w:p>
    <w:p w14:paraId="32B84BF9" w14:textId="77777777" w:rsidR="007C0051" w:rsidRDefault="00000000" w:rsidP="00995EE0">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Indeed, the predicted traits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w:t>
      </w:r>
      <w:r>
        <w:lastRenderedPageBreak/>
        <w:t>by ‘trait’ or shared phylogenetic relationships, which are simplifications shown to be effective at reducing model complexity without sacrificing model accuracy [77].</w:t>
      </w:r>
    </w:p>
    <w:p w14:paraId="634761A7" w14:textId="17F9D8C3" w:rsidR="007C0051" w:rsidRDefault="007C0051" w:rsidP="00995EE0">
      <w:pPr>
        <w:pStyle w:val="BodyText"/>
        <w:spacing w:line="360" w:lineRule="auto"/>
      </w:pP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36BEC552" w14:textId="77777777">
        <w:trPr>
          <w:cantSplit/>
        </w:trPr>
        <w:tc>
          <w:tcPr>
            <w:tcW w:w="0" w:type="auto"/>
            <w:tcMar>
              <w:left w:w="144" w:type="dxa"/>
            </w:tcMar>
          </w:tcPr>
          <w:p w14:paraId="447A2779" w14:textId="77777777" w:rsidR="007C0051" w:rsidRDefault="00000000" w:rsidP="00995EE0">
            <w:pPr>
              <w:pStyle w:val="BodyText"/>
              <w:spacing w:before="16" w:after="64" w:line="360" w:lineRule="auto"/>
            </w:pPr>
            <w:r>
              <w:rPr>
                <w:b/>
                <w:bCs/>
              </w:rPr>
              <w:lastRenderedPageBreak/>
              <w:t>Box 2: Scaling up extreme heat effects from impacts on individuals of species to communities</w:t>
            </w:r>
          </w:p>
          <w:p w14:paraId="1D4924B3" w14:textId="7BFC2C5C" w:rsidR="007C0051" w:rsidRDefault="00985454" w:rsidP="00995EE0">
            <w:pPr>
              <w:pStyle w:val="BodyText"/>
              <w:spacing w:before="16" w:line="360" w:lineRule="auto"/>
            </w:pPr>
            <w:r>
              <w:t>W</w:t>
            </w:r>
            <w:r w:rsidR="00000000">
              <w:t xml:space="preserve">e use predicted organismal temperatures </w:t>
            </w:r>
            <w:r>
              <w:t>(</w:t>
            </w:r>
            <w:r w:rsidRPr="00985454">
              <w:rPr>
                <w:b/>
                <w:bCs/>
              </w:rPr>
              <w:t>Box 1</w:t>
            </w:r>
            <w:r>
              <w:t xml:space="preserve">) </w:t>
            </w:r>
            <w:r w:rsidR="00000000">
              <w:t>to take stock of how thermal heat stress accumulation impacts survival probability and simulate life cycles for two interacting grasshopper species under their respective microclimates.</w:t>
            </w:r>
          </w:p>
          <w:p w14:paraId="1A11B568" w14:textId="77777777" w:rsidR="007C0051" w:rsidRDefault="00000000" w:rsidP="00995EE0">
            <w:pPr>
              <w:pStyle w:val="BodyText"/>
              <w:spacing w:line="360" w:lineRule="auto"/>
            </w:pPr>
            <w:r>
              <w:t xml:space="preserve">To start, using existing parameters for a dynamic energy budget (DEB) model for a grasshopper [78] we can use the </w:t>
            </w:r>
            <w:r>
              <w:rPr>
                <w:rStyle w:val="VerbatimChar"/>
              </w:rPr>
              <w:t>ectotherm</w:t>
            </w:r>
            <w:r>
              <w:t xml:space="preserve"> function in </w:t>
            </w:r>
            <w:r>
              <w:rPr>
                <w:i/>
                <w:iCs/>
              </w:rPr>
              <w:t>NicheMapR</w:t>
            </w:r>
            <w:r>
              <w:t>, to simulate life cycles for each of the two species. We assume that both species have similar DEB parameters but vary in their life-history, thermal physiology, size and reproduction, which we include in our DEB model (see Figure I in Box 1).</w:t>
            </w:r>
          </w:p>
          <w:p w14:paraId="34690A1C" w14:textId="375773C7" w:rsidR="007C0051" w:rsidRDefault="00000000" w:rsidP="00995EE0">
            <w:pPr>
              <w:pStyle w:val="BodyText"/>
              <w:spacing w:line="360" w:lineRule="auto"/>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during stressful temperatures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Pr>
                  <w:rStyle w:val="Hyperlink"/>
                </w:rPr>
                <w:t>Equation 1</w:t>
              </w:r>
            </w:hyperlink>
            <w:r>
              <w:t>) (</w:t>
            </w:r>
            <w:r w:rsidR="00443FC7">
              <w:t xml:space="preserve">‘red lines’ in </w:t>
            </w:r>
            <w:r>
              <w:t>Fig IIA) [10,11,21,46].</w:t>
            </w:r>
          </w:p>
          <w:p w14:paraId="3CB597E8" w14:textId="77777777" w:rsidR="007C0051" w:rsidRDefault="00000000" w:rsidP="00995EE0">
            <w:pPr>
              <w:pStyle w:val="BodyText"/>
              <w:spacing w:line="360" w:lineRule="auto"/>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1D9180EA" w14:textId="45ADCBF2" w:rsidR="007C0051" w:rsidRDefault="00000000" w:rsidP="00995EE0">
            <w:pPr>
              <w:pStyle w:val="FirstParagraph"/>
              <w:spacing w:line="360" w:lineRule="auto"/>
            </w:pPr>
            <w:r>
              <w:t>After calculating HI</w:t>
            </w:r>
            <w:r w:rsidR="00443FC7">
              <w:t xml:space="preserve"> accounting for repair </w:t>
            </w:r>
            <w:r w:rsidR="00BD7096">
              <w:t>[21]</w:t>
            </w:r>
            <w:r>
              <w:t>,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ln(</w:t>
            </w:r>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a the basis for coexistence modelling in the MCT framework) to predict their population growth under competition (</w:t>
            </w:r>
            <w:hyperlink w:anchor="eq-general">
              <w:r>
                <w:rPr>
                  <w:rStyle w:val="Hyperlink"/>
                </w:rPr>
                <w:t>Equation 2</w:t>
              </w:r>
            </w:hyperlink>
            <w:r>
              <w:t>).</w:t>
            </w:r>
          </w:p>
          <w:bookmarkStart w:id="11" w:name="eq-general"/>
          <w:p w14:paraId="720B5E7B" w14:textId="77777777" w:rsidR="007C0051" w:rsidRDefault="00000000" w:rsidP="00995EE0">
            <w:pPr>
              <w:pStyle w:val="BodyText"/>
              <w:spacing w:line="360" w:lineRule="auto"/>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i</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max,</m:t>
                        </m:r>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ij</m:t>
                                    </m:r>
                                  </m:sub>
                                </m:sSub>
                              </m:e>
                            </m:nary>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j</m:t>
                                </m:r>
                              </m:sup>
                            </m:sSubSup>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39348DD8" w14:textId="49A6B670" w:rsidR="007C0051" w:rsidRDefault="00000000" w:rsidP="00995EE0">
            <w:pPr>
              <w:pStyle w:val="FirstParagraph"/>
              <w:spacing w:line="360" w:lineRule="auto"/>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r</w:t>
            </w:r>
            <w:r w:rsidR="00443FC7">
              <w:rPr>
                <w:vertAlign w:val="subscript"/>
              </w:rPr>
              <w:t>max_i</w:t>
            </w:r>
            <w:r>
              <w:t xml:space="preserve"> is</w:t>
            </w:r>
            <w:proofErr w:type="spellStart"/>
            <w:r>
              <w:t xml:space="preserve"> </w:t>
            </w:r>
            <w:proofErr w:type="spellEnd"/>
            <w:r>
              <w:t xml:space="preserve">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w:lastRenderedPageBreak/>
                <m:t>j</m:t>
              </m:r>
            </m:oMath>
            <w:r>
              <w:t xml:space="preserve"> affects species </w:t>
            </w:r>
            <m:oMath>
              <m:r>
                <w:rPr>
                  <w:rFonts w:ascii="Cambria Math" w:hAnsi="Cambria Math"/>
                </w:rPr>
                <m:t>i</m:t>
              </m:r>
            </m:oMath>
            <w:r>
              <w:t>. Given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7C0051" w14:paraId="1BDF72DE" w14:textId="77777777">
              <w:tc>
                <w:tcPr>
                  <w:tcW w:w="0" w:type="auto"/>
                </w:tcPr>
                <w:p w14:paraId="3032665F" w14:textId="73C77FF3" w:rsidR="007C0051" w:rsidRDefault="00FD04EC" w:rsidP="00995EE0">
                  <w:pPr>
                    <w:pStyle w:val="Compact"/>
                    <w:spacing w:line="360" w:lineRule="auto"/>
                    <w:jc w:val="center"/>
                  </w:pPr>
                  <w:bookmarkStart w:id="12" w:name="fig-box2"/>
                  <w:r>
                    <w:rPr>
                      <w:noProof/>
                    </w:rPr>
                    <w:drawing>
                      <wp:inline distT="0" distB="0" distL="0" distR="0" wp14:anchorId="47849187" wp14:editId="71FC8866">
                        <wp:extent cx="5774635" cy="4249423"/>
                        <wp:effectExtent l="0" t="0" r="4445" b="5080"/>
                        <wp:docPr id="1924868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8215" name="Picture 19248682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8929" cy="4259942"/>
                                </a:xfrm>
                                <a:prstGeom prst="rect">
                                  <a:avLst/>
                                </a:prstGeom>
                              </pic:spPr>
                            </pic:pic>
                          </a:graphicData>
                        </a:graphic>
                      </wp:inline>
                    </w:drawing>
                  </w:r>
                </w:p>
                <w:p w14:paraId="188E0841" w14:textId="6FED9432" w:rsidR="007C0051" w:rsidRDefault="00000000" w:rsidP="00995EE0">
                  <w:pPr>
                    <w:pStyle w:val="ImageCaption"/>
                    <w:spacing w:before="200" w:line="360" w:lineRule="auto"/>
                  </w:pPr>
                  <w:r>
                    <w:t>Figure II: A systems approach to using mechanistic physiological models to capture life-cycle vital rates and thermal load stress on survival to scale up to multi-species population dynamics. Created with BioRender.com.</w:t>
                  </w:r>
                </w:p>
              </w:tc>
              <w:bookmarkEnd w:id="12"/>
            </w:tr>
          </w:tbl>
          <w:p w14:paraId="66466C8A" w14:textId="77777777" w:rsidR="00000000" w:rsidRDefault="00000000" w:rsidP="00995EE0">
            <w:pPr>
              <w:spacing w:after="0" w:line="360" w:lineRule="auto"/>
            </w:pPr>
          </w:p>
        </w:tc>
      </w:tr>
    </w:tbl>
    <w:p w14:paraId="4FA4B6CD" w14:textId="77777777" w:rsidR="007C0051" w:rsidRDefault="00000000" w:rsidP="00995EE0">
      <w:pPr>
        <w:pStyle w:val="Heading1"/>
        <w:spacing w:line="360" w:lineRule="auto"/>
      </w:pPr>
      <w:bookmarkStart w:id="13" w:name="hot-solutions-for-a-changing-world"/>
      <w:bookmarkEnd w:id="9"/>
      <w:r>
        <w:lastRenderedPageBreak/>
        <w:t>‘Hot’ solutions for a changing world</w:t>
      </w:r>
    </w:p>
    <w:p w14:paraId="7D05B268" w14:textId="77777777" w:rsidR="007C0051" w:rsidRDefault="00000000" w:rsidP="00995EE0">
      <w:pPr>
        <w:pStyle w:val="FirstParagraph"/>
        <w:spacing w:line="360" w:lineRule="auto"/>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[79],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Pr>
            <w:rStyle w:val="Hyperlink"/>
          </w:rPr>
          <w:t>Figure 4</w:t>
        </w:r>
      </w:hyperlink>
      <w:r>
        <w:t xml:space="preserve">A), a systems modelling approach can allow for informed predictions about how to mitigate heat stress to crops </w:t>
      </w:r>
      <w:r>
        <w:lastRenderedPageBreak/>
        <w:t>while also considering the potential for pest outbreaks. In essence, we want to add a minimal amount of water to a system to cool leaves while avoiding depleting limited water supplies and creating microclimate conditions from becoming more optimal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Pr>
            <w:rStyle w:val="Hyperlink"/>
          </w:rPr>
          <w:t>Figure 4</w:t>
        </w:r>
      </w:hyperlink>
      <w:r>
        <w:t>). We can see that adding 2-5 mm of water can result in as much as a 3.63°C decrease in leaf temperature (</w:t>
      </w:r>
      <w:hyperlink w:anchor="fig-2">
        <w:r>
          <w:rPr>
            <w:rStyle w:val="Hyperlink"/>
          </w:rPr>
          <w:t>Figure 4</w:t>
        </w:r>
      </w:hyperlink>
      <w:r>
        <w:t>B), but adding more water does not result in significant gains in cooling. In additon, 2-5mm of water added each day to avoid extreme heat impacts results in grasshopper populations being suppressed over time whereas not adding water at all results in grasshopper population growth, leading to potential heatwave 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[19]. Additionally, as our understanding of the mechanisms associated with heat tolerance improve, genetic tools, environmental manipulations (e.g., promoting beneficial microbes) and artificial breeding can be used to enhance thermal tolerance creating more resilience to extreme heat events [e.g., 55].</w:t>
      </w:r>
    </w:p>
    <w:tbl>
      <w:tblPr>
        <w:tblStyle w:val="Table"/>
        <w:tblW w:w="5000" w:type="pct"/>
        <w:tblLayout w:type="fixed"/>
        <w:tblLook w:val="0000" w:firstRow="0" w:lastRow="0" w:firstColumn="0" w:lastColumn="0" w:noHBand="0" w:noVBand="0"/>
      </w:tblPr>
      <w:tblGrid>
        <w:gridCol w:w="10538"/>
      </w:tblGrid>
      <w:tr w:rsidR="007C0051" w14:paraId="2750F2D8" w14:textId="77777777">
        <w:tc>
          <w:tcPr>
            <w:tcW w:w="7920" w:type="dxa"/>
          </w:tcPr>
          <w:p w14:paraId="5E9A3B1D" w14:textId="77777777" w:rsidR="007C0051" w:rsidRDefault="00000000" w:rsidP="00995EE0">
            <w:pPr>
              <w:pStyle w:val="Compact"/>
              <w:spacing w:line="360" w:lineRule="auto"/>
              <w:jc w:val="center"/>
            </w:pPr>
            <w:bookmarkStart w:id="14" w:name="fig-2"/>
            <w:r>
              <w:rPr>
                <w:noProof/>
              </w:rPr>
              <w:lastRenderedPageBreak/>
              <w:drawing>
                <wp:inline distT="0" distB="0" distL="0" distR="0" wp14:anchorId="27346658" wp14:editId="20471171">
                  <wp:extent cx="6096000" cy="48768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s_files/figure-docx/fig-2-1.png"/>
                          <pic:cNvPicPr>
                            <a:picLocks noChangeAspect="1" noChangeArrowheads="1"/>
                          </pic:cNvPicPr>
                        </pic:nvPicPr>
                        <pic:blipFill>
                          <a:blip r:embed="rId9"/>
                          <a:stretch>
                            <a:fillRect/>
                          </a:stretch>
                        </pic:blipFill>
                        <pic:spPr bwMode="auto">
                          <a:xfrm>
                            <a:off x="0" y="0"/>
                            <a:ext cx="6096000" cy="4876800"/>
                          </a:xfrm>
                          <a:prstGeom prst="rect">
                            <a:avLst/>
                          </a:prstGeom>
                          <a:noFill/>
                          <a:ln w="9525">
                            <a:noFill/>
                            <a:headEnd/>
                            <a:tailEnd/>
                          </a:ln>
                        </pic:spPr>
                      </pic:pic>
                    </a:graphicData>
                  </a:graphic>
                </wp:inline>
              </w:drawing>
            </w:r>
          </w:p>
          <w:p w14:paraId="5DDAA0A0" w14:textId="77777777" w:rsidR="007C0051" w:rsidRDefault="00000000" w:rsidP="00995EE0">
            <w:pPr>
              <w:pStyle w:val="ImageCaption"/>
              <w:spacing w:before="200" w:line="360" w:lineRule="auto"/>
            </w:pPr>
            <w:r>
              <w:t>Figure 4- How a systems modelling approach to extreme heat can be used to inform solutions. Heat stress to crops can result in foliage loss and crop failure, but also weaken crops to pests. Using a hypothetical case study of a crop and associated pest, we explore how different watering regimes impact plant temperatures and the flow on effects such regimes have for pest dynamics (A). Using a site near Renmark, South Australia, we use microclimate and biophysical models to estimate leaf temperatures. We see that, compared to original rainfall conditions, certain watering regimes can significantly reduce leaf temperatures by as much as 3.87°C,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supress pest growth (C). Created with BioRender.com.</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337247D3" w14:textId="77777777">
        <w:trPr>
          <w:cantSplit/>
        </w:trPr>
        <w:tc>
          <w:tcPr>
            <w:tcW w:w="0" w:type="auto"/>
            <w:tcMar>
              <w:left w:w="144" w:type="dxa"/>
            </w:tcMar>
          </w:tcPr>
          <w:p w14:paraId="6780FE57" w14:textId="77777777" w:rsidR="007C0051" w:rsidRDefault="00000000" w:rsidP="00995EE0">
            <w:pPr>
              <w:pStyle w:val="BodyText"/>
              <w:spacing w:before="16" w:after="64" w:line="360" w:lineRule="auto"/>
            </w:pPr>
            <w:r>
              <w:rPr>
                <w:b/>
                <w:bCs/>
              </w:rPr>
              <w:lastRenderedPageBreak/>
              <w:t>Box 3: An important frontier: integrating eco-evolutionary feedback within a systems-modelling framework</w:t>
            </w:r>
          </w:p>
          <w:p w14:paraId="5AAA4072" w14:textId="77777777" w:rsidR="007C0051" w:rsidRDefault="00000000" w:rsidP="00995EE0">
            <w:pPr>
              <w:pStyle w:val="BodyText"/>
              <w:spacing w:before="16" w:line="360" w:lineRule="auto"/>
            </w:pPr>
            <w:r>
              <w:t>Extreme climactic events, such as heatwaves and droughts, are known to result in intense episodes of selection which can lead to rapid evolutionary change when traits are heritable [80]. In addition, given the intensity of selection associated with extreme climatic events, they have the potential to radically alter the phenotypic and genetic variability available to selection in the future [81],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[80].</w:t>
            </w:r>
          </w:p>
          <w:p w14:paraId="50774462" w14:textId="77777777" w:rsidR="007C0051" w:rsidRDefault="00000000" w:rsidP="00995EE0">
            <w:pPr>
              <w:pStyle w:val="BodyText"/>
              <w:spacing w:line="360" w:lineRule="auto"/>
            </w:pPr>
            <w:r>
              <w:t>Predicting evolutionary responses also relies on our ability to predict heatwaves and how organisms experience them in the future – a task that is becoming more feasible with new climate models [e.g., 82,83].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[84–86]. Considering various forms of plastic responses (e.g., behavioural, developmental, and physiological plasticity) as environments change through time is also crucial because it can dampen selection and shelter genetic variation while also promoting persistence [87,88]. Many of these processes can now be incorporated into a systems modelling framework (e.g, behavioural plasticity), to capture well known environment-phenotype feedback.</w:t>
            </w:r>
          </w:p>
          <w:p w14:paraId="0A873DD2" w14:textId="77777777" w:rsidR="007C0051" w:rsidRDefault="00000000" w:rsidP="00995EE0">
            <w:pPr>
              <w:pStyle w:val="BodyText"/>
              <w:spacing w:line="360" w:lineRule="auto"/>
            </w:pPr>
            <w: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parameters)[89,90], which may provide predictions for suites of resulting traits that emerge from such parameters. Furthermore, it needs to consider the evolution of suites of traits which can be done using the multivariate breeders equation [91]:</w:t>
            </w:r>
          </w:p>
          <w:p w14:paraId="015B4915" w14:textId="77777777" w:rsidR="007C0051" w:rsidRDefault="00000000" w:rsidP="00995EE0">
            <w:pPr>
              <w:pStyle w:val="BodyText"/>
              <w:spacing w:line="360" w:lineRule="auto"/>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260F490D" w14:textId="77777777" w:rsidR="007C0051" w:rsidRDefault="00000000" w:rsidP="00995EE0">
            <w:pPr>
              <w:pStyle w:val="FirstParagraph"/>
              <w:spacing w:after="16" w:line="360" w:lineRule="auto"/>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[92]). Plasticity can be captured by mapping trait development to the environment and incorporating environmental variability into the Breeders equation [see also, 93]. While the multivariate breeders equation can be useful for predicting short term evolutionary responses (i.e., one or a few generations) it </w:t>
            </w:r>
            <w:r>
              <w:lastRenderedPageBreak/>
              <w:t>likely has limited predictive power over longer timespans because of changes in heritability and selection through time, which is a future challenge [86,92].</w:t>
            </w:r>
          </w:p>
        </w:tc>
      </w:tr>
    </w:tbl>
    <w:p w14:paraId="423A2F4C" w14:textId="77777777" w:rsidR="007C0051" w:rsidRDefault="00000000" w:rsidP="00995EE0">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30FA79CC" w14:textId="77777777">
        <w:trPr>
          <w:cantSplit/>
        </w:trPr>
        <w:tc>
          <w:tcPr>
            <w:tcW w:w="0" w:type="auto"/>
            <w:tcMar>
              <w:left w:w="144" w:type="dxa"/>
            </w:tcMar>
          </w:tcPr>
          <w:p w14:paraId="4D355D4C" w14:textId="77777777" w:rsidR="007C0051" w:rsidRDefault="00000000" w:rsidP="00995EE0">
            <w:pPr>
              <w:pStyle w:val="BodyText"/>
              <w:spacing w:before="16" w:after="64" w:line="360" w:lineRule="auto"/>
            </w:pPr>
            <w:r>
              <w:rPr>
                <w:b/>
                <w:bCs/>
              </w:rPr>
              <w:t>Outstanding Questions</w:t>
            </w:r>
          </w:p>
          <w:p w14:paraId="1349174F" w14:textId="77777777" w:rsidR="007C0051" w:rsidRDefault="00000000" w:rsidP="00995EE0">
            <w:pPr>
              <w:pStyle w:val="Compact"/>
              <w:numPr>
                <w:ilvl w:val="0"/>
                <w:numId w:val="86"/>
              </w:numPr>
              <w:spacing w:line="360" w:lineRule="auto"/>
            </w:pPr>
            <w:r>
              <w:t>How effective is using parameters of closely related species for predicting the impacts of extreme heat for data deficient species?</w:t>
            </w:r>
          </w:p>
          <w:p w14:paraId="760FFE59" w14:textId="77777777" w:rsidR="007C0051" w:rsidRDefault="00000000" w:rsidP="00995EE0">
            <w:pPr>
              <w:pStyle w:val="Compact"/>
              <w:numPr>
                <w:ilvl w:val="0"/>
                <w:numId w:val="86"/>
              </w:numPr>
              <w:spacing w:line="360" w:lineRule="auto"/>
            </w:pPr>
            <w:r>
              <w:t>How can we capture rapid and longer-term evolutionary responses of interacting species to extreme heat in a systems-modelling framework?</w:t>
            </w:r>
          </w:p>
          <w:p w14:paraId="5E9D9591" w14:textId="77777777" w:rsidR="007C0051" w:rsidRDefault="00000000" w:rsidP="00995EE0">
            <w:pPr>
              <w:pStyle w:val="Compact"/>
              <w:numPr>
                <w:ilvl w:val="0"/>
                <w:numId w:val="86"/>
              </w:numPr>
              <w:spacing w:line="360" w:lineRule="auto"/>
            </w:pPr>
            <w:r>
              <w:t>Can we use thermal load sensitivity models to describe heat damage to plant tissues?</w:t>
            </w:r>
          </w:p>
          <w:p w14:paraId="5E7FB178" w14:textId="77777777" w:rsidR="007C0051" w:rsidRDefault="00000000" w:rsidP="00995EE0">
            <w:pPr>
              <w:pStyle w:val="Compact"/>
              <w:numPr>
                <w:ilvl w:val="0"/>
                <w:numId w:val="86"/>
              </w:numPr>
              <w:spacing w:line="360" w:lineRule="auto"/>
            </w:pPr>
            <w:r>
              <w:t>For plant species, can we build and couple dynamic energy budget models to predict how extreme heat will impact tissue and life cycle dynamics more accurately?</w:t>
            </w:r>
          </w:p>
          <w:p w14:paraId="63C8219B" w14:textId="77777777" w:rsidR="007C0051" w:rsidRDefault="00000000" w:rsidP="00995EE0">
            <w:pPr>
              <w:pStyle w:val="Compact"/>
              <w:numPr>
                <w:ilvl w:val="0"/>
                <w:numId w:val="86"/>
              </w:numPr>
              <w:spacing w:line="360" w:lineRule="auto"/>
            </w:pPr>
            <w:r>
              <w:t>How do multiple stressors in anthropogenically modified environments interact with extreme heat to impact organisms, populations and communities?</w:t>
            </w:r>
          </w:p>
          <w:p w14:paraId="0FBE2F6C" w14:textId="77777777" w:rsidR="007C0051" w:rsidRDefault="00000000" w:rsidP="00995EE0">
            <w:pPr>
              <w:pStyle w:val="Compact"/>
              <w:numPr>
                <w:ilvl w:val="0"/>
                <w:numId w:val="86"/>
              </w:numPr>
              <w:spacing w:line="360" w:lineRule="auto"/>
            </w:pPr>
            <w:r>
              <w:t>How will extreme heat impact species coexistence and functional trait diversity in natural and agricultural systems?</w:t>
            </w:r>
          </w:p>
          <w:p w14:paraId="0E2DFC3B" w14:textId="77777777" w:rsidR="007C0051" w:rsidRDefault="00000000" w:rsidP="00995EE0">
            <w:pPr>
              <w:pStyle w:val="Compact"/>
              <w:numPr>
                <w:ilvl w:val="0"/>
                <w:numId w:val="86"/>
              </w:numPr>
              <w:spacing w:line="360" w:lineRule="auto"/>
            </w:pPr>
            <w:r>
              <w:t>How can we quantify microhabitat complexity to robustly and accurately capture the heat responses of animal, plants and microbes and their interactions?</w:t>
            </w:r>
          </w:p>
          <w:p w14:paraId="15322D8A" w14:textId="77777777" w:rsidR="007C0051" w:rsidRDefault="00000000" w:rsidP="00995EE0">
            <w:pPr>
              <w:pStyle w:val="Compact"/>
              <w:numPr>
                <w:ilvl w:val="0"/>
                <w:numId w:val="86"/>
              </w:numPr>
              <w:spacing w:line="360" w:lineRule="auto"/>
            </w:pPr>
            <w:r>
              <w:t>How do we model lagged impacts of extreme heat events on whole communities?</w:t>
            </w:r>
          </w:p>
          <w:p w14:paraId="4109D343" w14:textId="77777777" w:rsidR="007C0051" w:rsidRDefault="00000000" w:rsidP="00995EE0">
            <w:pPr>
              <w:pStyle w:val="Compact"/>
              <w:numPr>
                <w:ilvl w:val="0"/>
                <w:numId w:val="86"/>
              </w:numPr>
              <w:spacing w:line="360" w:lineRule="auto"/>
            </w:pPr>
            <w:r>
              <w:t>How will thermal stress to natural ecosystems and food production systems impact people?</w:t>
            </w:r>
          </w:p>
        </w:tc>
      </w:tr>
    </w:tbl>
    <w:p w14:paraId="141F5364" w14:textId="77777777" w:rsidR="007C0051" w:rsidRDefault="00000000" w:rsidP="00995EE0">
      <w:pPr>
        <w:pStyle w:val="Heading1"/>
        <w:spacing w:line="360" w:lineRule="auto"/>
      </w:pPr>
      <w:bookmarkStart w:id="16" w:name="concluding-remarks"/>
      <w:bookmarkEnd w:id="13"/>
      <w:r>
        <w:t>Concluding Remarks</w:t>
      </w:r>
    </w:p>
    <w:p w14:paraId="10CED35C" w14:textId="77777777" w:rsidR="007C0051" w:rsidRDefault="00000000" w:rsidP="00995EE0">
      <w:pPr>
        <w:pStyle w:val="FirstParagraph"/>
        <w:spacing w:line="360" w:lineRule="auto"/>
      </w:pPr>
      <w:r>
        <w:t xml:space="preserve">Implementing a systems-modelling approach will no doubt be challenging, particularly for complex communities, and knowledge gaps remain (see </w:t>
      </w:r>
      <w:r>
        <w:rPr>
          <w:b/>
          <w:bCs/>
        </w:rPr>
        <w:t>Outstanding Questions</w:t>
      </w:r>
      <w:r>
        <w:t xml:space="preserve">). However, more mechanistic approaches that encapsulate key biological processes (physiology, behaviour, phenology, species interactions and eco-evolutionary dynamics - </w:t>
      </w:r>
      <w:r>
        <w:rPr>
          <w:b/>
          <w:bCs/>
        </w:rPr>
        <w:t>Box 3</w:t>
      </w:r>
      <w:r>
        <w:t xml:space="preserve">) are needed now, more than ever, to better predict biological responses to extreme heat [49,94]. Coupled mechanistic models within and across species are expected to have improved predictive power when extrapolated to new conditions and can help better integrate interacting processes [19,94].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[25], and careful consideration of the key processes </w:t>
      </w:r>
      <w:r>
        <w:lastRenderedPageBreak/>
        <w:t>important to a system can help alleviate these challenges [19]. For example, large databases of physiological traits for both plants and animals now exist [e.g., 95,96] and advanced missing data approaches can help estimate likely parameters for data deficient species [64,68,97]. In addition,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tractable [19]. Even simple models that compare counterfactual scenarios may provide important quantitative insights into the impacts of extreme heat on organisms, populations and communities [98–100]. Such insights 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p w14:paraId="698F3474" w14:textId="77777777" w:rsidR="007C0051" w:rsidRDefault="00000000" w:rsidP="00995EE0">
      <w:pPr>
        <w:pStyle w:val="Heading1"/>
        <w:spacing w:line="360" w:lineRule="auto"/>
      </w:pPr>
      <w:bookmarkStart w:id="17" w:name="acknowledgements"/>
      <w:bookmarkEnd w:id="16"/>
      <w:r>
        <w:t>Acknowledgements</w:t>
      </w:r>
    </w:p>
    <w:p w14:paraId="35DC43A5" w14:textId="77777777" w:rsidR="007C0051" w:rsidRDefault="00000000" w:rsidP="00995EE0">
      <w:pPr>
        <w:pStyle w:val="FirstParagraph"/>
        <w:spacing w:line="360" w:lineRule="auto"/>
      </w:pPr>
      <w:r>
        <w:t>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5E1BF44B" w14:textId="77777777" w:rsidR="007C0051" w:rsidRDefault="00000000" w:rsidP="00995EE0">
      <w:pPr>
        <w:pStyle w:val="Heading1"/>
        <w:spacing w:line="360" w:lineRule="auto"/>
      </w:pPr>
      <w:bookmarkStart w:id="18" w:name="data-and-code"/>
      <w:bookmarkEnd w:id="17"/>
      <w:r>
        <w:t>Data and Code</w:t>
      </w:r>
    </w:p>
    <w:p w14:paraId="7177DBE7" w14:textId="77777777" w:rsidR="007C0051" w:rsidRDefault="00000000" w:rsidP="00995EE0">
      <w:pPr>
        <w:pStyle w:val="FirstParagraph"/>
        <w:spacing w:line="360" w:lineRule="auto"/>
      </w:pPr>
      <w:r>
        <w:t>Link to the data and code used to for examples in Box 1 and 2 can be found here: https://daniel1noble.github.io/thermal_tol_interactions/ with the full set of files being located on our GitHub repository at https://github.com/daniel1noble/thermal_tol_interactions.</w:t>
      </w:r>
    </w:p>
    <w:p w14:paraId="1E3C1406" w14:textId="77777777" w:rsidR="007C0051" w:rsidRDefault="00000000" w:rsidP="00995EE0">
      <w:pPr>
        <w:pStyle w:val="Heading1"/>
        <w:spacing w:line="360" w:lineRule="auto"/>
      </w:pPr>
      <w:bookmarkStart w:id="19" w:name="references"/>
      <w:bookmarkEnd w:id="18"/>
      <w:r>
        <w:t>References</w:t>
      </w:r>
    </w:p>
    <w:p w14:paraId="01D8DB43" w14:textId="77777777" w:rsidR="007C0051" w:rsidRDefault="007C0051" w:rsidP="00995EE0">
      <w:pPr>
        <w:pStyle w:val="FirstParagraph"/>
        <w:spacing w:line="360" w:lineRule="auto"/>
      </w:pPr>
    </w:p>
    <w:p w14:paraId="77604BD7" w14:textId="77777777" w:rsidR="007C0051" w:rsidRDefault="00000000" w:rsidP="00995EE0">
      <w:pPr>
        <w:pStyle w:val="Bibliography"/>
        <w:spacing w:line="360" w:lineRule="auto"/>
      </w:pPr>
      <w:bookmarkStart w:id="20" w:name="ref-Barriopedro2023"/>
      <w:bookmarkStart w:id="21" w:name="refs"/>
      <w:r>
        <w:lastRenderedPageBreak/>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444A6148" w14:textId="77777777" w:rsidR="007C0051" w:rsidRDefault="00000000" w:rsidP="00995EE0">
      <w:pPr>
        <w:pStyle w:val="Bibliography"/>
        <w:spacing w:line="360" w:lineRule="auto"/>
      </w:pPr>
      <w:bookmarkStart w:id="22" w:name="ref-Perkins-Kirkpatrick2020"/>
      <w:bookmarkEnd w:id="20"/>
      <w:r>
        <w:t xml:space="preserve">2. </w:t>
      </w:r>
      <w:r>
        <w:tab/>
        <w:t xml:space="preserve">Perkins‐Kirkpatrick, S. and Lewis, S.C. (2020) </w:t>
      </w:r>
      <w:hyperlink r:id="rId10">
        <w:r>
          <w:rPr>
            <w:rStyle w:val="Hyperlink"/>
          </w:rPr>
          <w:t>Increasing trends in regional heatwaves</w:t>
        </w:r>
      </w:hyperlink>
      <w:r>
        <w:t xml:space="preserve">. </w:t>
      </w:r>
      <w:r>
        <w:rPr>
          <w:i/>
          <w:iCs/>
        </w:rPr>
        <w:t>Nat. Commun.</w:t>
      </w:r>
      <w:r>
        <w:t xml:space="preserve"> 11, 3357</w:t>
      </w:r>
    </w:p>
    <w:p w14:paraId="7482E065" w14:textId="77777777" w:rsidR="007C0051" w:rsidRDefault="00000000" w:rsidP="00995EE0">
      <w:pPr>
        <w:pStyle w:val="Bibliography"/>
        <w:spacing w:line="360" w:lineRule="auto"/>
      </w:pPr>
      <w:bookmarkStart w:id="23" w:name="ref-Evans2025"/>
      <w:bookmarkEnd w:id="22"/>
      <w:r>
        <w:t xml:space="preserve">3. </w:t>
      </w:r>
      <w:r>
        <w:tab/>
        <w:t xml:space="preserve">Evans, M.E.K. </w:t>
      </w:r>
      <w:r>
        <w:rPr>
          <w:i/>
          <w:iCs/>
        </w:rPr>
        <w:t>et al.</w:t>
      </w:r>
      <w:r>
        <w:t xml:space="preserve"> (2025) </w:t>
      </w:r>
      <w:hyperlink r:id="rId11">
        <w:r>
          <w:rPr>
            <w:rStyle w:val="Hyperlink"/>
          </w:rPr>
          <w:t>Scaling plant responses to heat: From molecules to the biosphere</w:t>
        </w:r>
      </w:hyperlink>
      <w:r>
        <w:t xml:space="preserve">. </w:t>
      </w:r>
      <w:r>
        <w:rPr>
          <w:i/>
          <w:iCs/>
        </w:rPr>
        <w:t>Science</w:t>
      </w:r>
      <w:r>
        <w:t xml:space="preserve"> 388, 1167–1173</w:t>
      </w:r>
    </w:p>
    <w:p w14:paraId="5BE76957" w14:textId="77777777" w:rsidR="007C0051" w:rsidRDefault="00000000" w:rsidP="00995EE0">
      <w:pPr>
        <w:pStyle w:val="Bibliography"/>
        <w:spacing w:line="360" w:lineRule="auto"/>
      </w:pPr>
      <w:bookmarkStart w:id="24" w:name="ref-Margalef-Marrase2020"/>
      <w:bookmarkEnd w:id="23"/>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7C128F6" w14:textId="77777777" w:rsidR="007C0051" w:rsidRDefault="00000000" w:rsidP="00995EE0">
      <w:pPr>
        <w:pStyle w:val="Bibliography"/>
        <w:spacing w:line="360" w:lineRule="auto"/>
      </w:pPr>
      <w:bookmarkStart w:id="25" w:name="ref-Kazenel2024"/>
      <w:bookmarkEnd w:id="24"/>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284D56F6" w14:textId="77777777" w:rsidR="007C0051" w:rsidRDefault="00000000" w:rsidP="00995EE0">
      <w:pPr>
        <w:pStyle w:val="Bibliography"/>
        <w:spacing w:line="360" w:lineRule="auto"/>
      </w:pPr>
      <w:bookmarkStart w:id="26" w:name="ref-Zhao2017"/>
      <w:bookmarkEnd w:id="25"/>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3A0DDCEE" w14:textId="77777777" w:rsidR="007C0051" w:rsidRDefault="00000000" w:rsidP="00995EE0">
      <w:pPr>
        <w:pStyle w:val="Bibliography"/>
        <w:spacing w:line="360" w:lineRule="auto"/>
      </w:pPr>
      <w:bookmarkStart w:id="27" w:name="ref-Tito2018"/>
      <w:bookmarkEnd w:id="26"/>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40E16DD4" w14:textId="77777777" w:rsidR="007C0051" w:rsidRDefault="00000000" w:rsidP="00995EE0">
      <w:pPr>
        <w:pStyle w:val="Bibliography"/>
        <w:spacing w:line="360" w:lineRule="auto"/>
      </w:pPr>
      <w:bookmarkStart w:id="28" w:name="ref-Bernacchi2025"/>
      <w:bookmarkEnd w:id="27"/>
      <w:r>
        <w:t xml:space="preserve">8. </w:t>
      </w:r>
      <w:r>
        <w:tab/>
        <w:t xml:space="preserve">Bernacchi, C.J. </w:t>
      </w:r>
      <w:r>
        <w:rPr>
          <w:i/>
          <w:iCs/>
        </w:rPr>
        <w:t>et al.</w:t>
      </w:r>
      <w:r>
        <w:t xml:space="preserve"> (2025) </w:t>
      </w:r>
      <w:hyperlink r:id="rId12">
        <w:r>
          <w:rPr>
            <w:rStyle w:val="Hyperlink"/>
          </w:rPr>
          <w:t>Safeguarding crop photosynthesis in a rapidly warming world</w:t>
        </w:r>
      </w:hyperlink>
      <w:r>
        <w:t xml:space="preserve">. </w:t>
      </w:r>
      <w:r>
        <w:rPr>
          <w:i/>
          <w:iCs/>
        </w:rPr>
        <w:t>Science</w:t>
      </w:r>
      <w:r>
        <w:t xml:space="preserve"> 388, 1153–1160</w:t>
      </w:r>
    </w:p>
    <w:p w14:paraId="233F2FEA" w14:textId="77777777" w:rsidR="007C0051" w:rsidRDefault="00000000" w:rsidP="00995EE0">
      <w:pPr>
        <w:pStyle w:val="Bibliography"/>
        <w:spacing w:line="360" w:lineRule="auto"/>
      </w:pPr>
      <w:bookmarkStart w:id="29" w:name="ref-Martinez2023"/>
      <w:bookmarkEnd w:id="28"/>
      <w:r>
        <w:t xml:space="preserve">9. </w:t>
      </w:r>
      <w:r>
        <w:tab/>
        <w:t xml:space="preserve">Martinez, L.D. </w:t>
      </w:r>
      <w:r>
        <w:rPr>
          <w:i/>
          <w:iCs/>
        </w:rPr>
        <w:t>et al.</w:t>
      </w:r>
      <w:r>
        <w:t xml:space="preserve"> (2023) </w:t>
      </w:r>
      <w:hyperlink r:id="rId13">
        <w:r>
          <w:rPr>
            <w:rStyle w:val="Hyperlink"/>
          </w:rPr>
          <w:t>Effect of simulated heat waves on the behaviour of two mirid predators</w:t>
        </w:r>
      </w:hyperlink>
      <w:r>
        <w:t xml:space="preserve">. </w:t>
      </w:r>
      <w:r>
        <w:rPr>
          <w:i/>
          <w:iCs/>
        </w:rPr>
        <w:t>J. Appl. Entomol.</w:t>
      </w:r>
      <w:r>
        <w:t xml:space="preserve"> 147, 486–498</w:t>
      </w:r>
    </w:p>
    <w:p w14:paraId="4A1DEBF0" w14:textId="77777777" w:rsidR="007C0051" w:rsidRDefault="00000000" w:rsidP="00995EE0">
      <w:pPr>
        <w:pStyle w:val="Bibliography"/>
        <w:spacing w:line="360" w:lineRule="auto"/>
      </w:pPr>
      <w:bookmarkStart w:id="30" w:name="ref-Rezende2020"/>
      <w:bookmarkEnd w:id="29"/>
      <w:r>
        <w:t xml:space="preserve">10. </w:t>
      </w:r>
      <w:r>
        <w:tab/>
        <w:t xml:space="preserve">Rezende, E.L. </w:t>
      </w:r>
      <w:r>
        <w:rPr>
          <w:i/>
          <w:iCs/>
        </w:rPr>
        <w:t>et al.</w:t>
      </w:r>
      <w:r>
        <w:t xml:space="preserve"> (2020) </w:t>
      </w:r>
      <w:hyperlink r:id="rId14">
        <w:r>
          <w:rPr>
            <w:rStyle w:val="Hyperlink"/>
          </w:rPr>
          <w:t>Predicting temperature mortality and selection in natural drosophila populations</w:t>
        </w:r>
      </w:hyperlink>
      <w:r>
        <w:t xml:space="preserve">. </w:t>
      </w:r>
      <w:r>
        <w:rPr>
          <w:i/>
          <w:iCs/>
        </w:rPr>
        <w:t>Science</w:t>
      </w:r>
      <w:r>
        <w:t xml:space="preserve"> 369, 1242–1245</w:t>
      </w:r>
    </w:p>
    <w:p w14:paraId="78F13E69" w14:textId="77777777" w:rsidR="007C0051" w:rsidRDefault="00000000" w:rsidP="00995EE0">
      <w:pPr>
        <w:pStyle w:val="Bibliography"/>
        <w:spacing w:line="360" w:lineRule="auto"/>
      </w:pPr>
      <w:bookmarkStart w:id="31" w:name="ref-Orsted2024"/>
      <w:bookmarkEnd w:id="30"/>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59F43562" w14:textId="77777777" w:rsidR="007C0051" w:rsidRDefault="00000000" w:rsidP="00995EE0">
      <w:pPr>
        <w:pStyle w:val="Bibliography"/>
        <w:spacing w:line="360" w:lineRule="auto"/>
      </w:pPr>
      <w:bookmarkStart w:id="32" w:name="ref-Lopez-Goldar2024"/>
      <w:bookmarkEnd w:id="31"/>
      <w:r>
        <w:t xml:space="preserve">12. </w:t>
      </w:r>
      <w:r>
        <w:tab/>
        <w:t xml:space="preserve">López-Goldar, X. </w:t>
      </w:r>
      <w:r>
        <w:rPr>
          <w:i/>
          <w:iCs/>
        </w:rPr>
        <w:t>et al.</w:t>
      </w:r>
      <w:r>
        <w:t xml:space="preserve"> (2024) </w:t>
      </w:r>
      <w:hyperlink r:id="rId15">
        <w:r>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08B0D862" w14:textId="77777777" w:rsidR="007C0051" w:rsidRDefault="00000000" w:rsidP="00995EE0">
      <w:pPr>
        <w:pStyle w:val="Bibliography"/>
        <w:spacing w:line="360" w:lineRule="auto"/>
      </w:pPr>
      <w:bookmarkStart w:id="33" w:name="ref-Trivedi2022"/>
      <w:bookmarkEnd w:id="32"/>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369CAAC" w14:textId="77777777" w:rsidR="007C0051" w:rsidRDefault="00000000" w:rsidP="00995EE0">
      <w:pPr>
        <w:pStyle w:val="Bibliography"/>
        <w:spacing w:line="360" w:lineRule="auto"/>
      </w:pPr>
      <w:bookmarkStart w:id="34" w:name="ref-Bimler2024"/>
      <w:bookmarkEnd w:id="33"/>
      <w:r>
        <w:t xml:space="preserve">14. </w:t>
      </w:r>
      <w:r>
        <w:tab/>
        <w:t xml:space="preserve">Bimler, M.D. </w:t>
      </w:r>
      <w:r>
        <w:rPr>
          <w:i/>
          <w:iCs/>
        </w:rPr>
        <w:t>et al.</w:t>
      </w:r>
      <w:r>
        <w:t xml:space="preserve"> (2024) </w:t>
      </w:r>
      <w:hyperlink r:id="rId16">
        <w:r>
          <w:rPr>
            <w:rStyle w:val="Hyperlink"/>
          </w:rPr>
          <w:t>Plant interaction networks reveal the limits of our understanding of diversity maintenance</w:t>
        </w:r>
      </w:hyperlink>
      <w:r>
        <w:t xml:space="preserve">. </w:t>
      </w:r>
      <w:r>
        <w:rPr>
          <w:i/>
          <w:iCs/>
        </w:rPr>
        <w:t>Ecol. Lett.</w:t>
      </w:r>
      <w:r>
        <w:t xml:space="preserve"> 27, e14376</w:t>
      </w:r>
    </w:p>
    <w:p w14:paraId="0C90DC43" w14:textId="77777777" w:rsidR="007C0051" w:rsidRDefault="00000000" w:rsidP="00995EE0">
      <w:pPr>
        <w:pStyle w:val="Bibliography"/>
        <w:spacing w:line="360" w:lineRule="auto"/>
      </w:pPr>
      <w:bookmarkStart w:id="35" w:name="ref-Chesson2000"/>
      <w:bookmarkEnd w:id="34"/>
      <w:r>
        <w:lastRenderedPageBreak/>
        <w:t xml:space="preserve">15. </w:t>
      </w:r>
      <w:r>
        <w:tab/>
        <w:t xml:space="preserve">Chesson, P. (2000) </w:t>
      </w:r>
      <w:hyperlink r:id="rId17">
        <w:r>
          <w:rPr>
            <w:rStyle w:val="Hyperlink"/>
          </w:rPr>
          <w:t>General theory of competitive coexistence in spatially-varying environments</w:t>
        </w:r>
      </w:hyperlink>
      <w:r>
        <w:t xml:space="preserve">. </w:t>
      </w:r>
      <w:r>
        <w:rPr>
          <w:i/>
          <w:iCs/>
        </w:rPr>
        <w:t>Theor. Popul. Biol.</w:t>
      </w:r>
      <w:r>
        <w:t xml:space="preserve"> 58, 211–237</w:t>
      </w:r>
    </w:p>
    <w:p w14:paraId="2C5EBD86" w14:textId="77777777" w:rsidR="007C0051" w:rsidRDefault="00000000" w:rsidP="00995EE0">
      <w:pPr>
        <w:pStyle w:val="Bibliography"/>
        <w:spacing w:line="360" w:lineRule="auto"/>
      </w:pPr>
      <w:bookmarkStart w:id="36" w:name="ref-Kooijman2010"/>
      <w:bookmarkEnd w:id="35"/>
      <w:r>
        <w:t xml:space="preserve">16. </w:t>
      </w:r>
      <w:r>
        <w:tab/>
        <w:t xml:space="preserve">Kooijman, S.A.L.M. (2010) </w:t>
      </w:r>
      <w:r>
        <w:rPr>
          <w:i/>
          <w:iCs/>
        </w:rPr>
        <w:t>Dynamic energy budget theory for metabolic organisation</w:t>
      </w:r>
      <w:r>
        <w:t>, Cambridge university press</w:t>
      </w:r>
    </w:p>
    <w:p w14:paraId="49998696" w14:textId="77777777" w:rsidR="007C0051" w:rsidRDefault="00000000" w:rsidP="00995EE0">
      <w:pPr>
        <w:pStyle w:val="Bibliography"/>
        <w:spacing w:line="360" w:lineRule="auto"/>
      </w:pPr>
      <w:bookmarkStart w:id="37" w:name="ref-Kearney2009b"/>
      <w:bookmarkEnd w:id="36"/>
      <w:r>
        <w:t xml:space="preserve">17. </w:t>
      </w:r>
      <w:r>
        <w:tab/>
        <w:t xml:space="preserve">Kearney, M. and Porter, W. (2009) Mechanistic niche modelling: Combining physiological and spatial data to predict species’ ranges. </w:t>
      </w:r>
      <w:r>
        <w:rPr>
          <w:i/>
          <w:iCs/>
        </w:rPr>
        <w:t>Ecol. Lett.</w:t>
      </w:r>
      <w:r>
        <w:t xml:space="preserve"> 12, 334–350</w:t>
      </w:r>
    </w:p>
    <w:p w14:paraId="21CCF838" w14:textId="77777777" w:rsidR="007C0051" w:rsidRDefault="00000000" w:rsidP="00995EE0">
      <w:pPr>
        <w:pStyle w:val="Bibliography"/>
        <w:spacing w:line="360" w:lineRule="auto"/>
      </w:pPr>
      <w:bookmarkStart w:id="38" w:name="ref-Kearney2024"/>
      <w:bookmarkEnd w:id="37"/>
      <w:r>
        <w:t xml:space="preserve">18. </w:t>
      </w:r>
      <w:r>
        <w:tab/>
        <w:t xml:space="preserve">Kearney, M.R. and Leigh, A. (2024) </w:t>
      </w:r>
      <w:hyperlink r:id="rId18">
        <w:r>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4F5B3A02" w14:textId="77777777" w:rsidR="007C0051" w:rsidRDefault="00000000" w:rsidP="00995EE0">
      <w:pPr>
        <w:pStyle w:val="Bibliography"/>
        <w:spacing w:line="360" w:lineRule="auto"/>
      </w:pPr>
      <w:bookmarkStart w:id="39" w:name="ref-Briscoe2023"/>
      <w:bookmarkEnd w:id="38"/>
      <w:r>
        <w:t xml:space="preserve">19.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79CD4B5F" w14:textId="77777777" w:rsidR="007C0051" w:rsidRDefault="00000000" w:rsidP="00995EE0">
      <w:pPr>
        <w:pStyle w:val="Bibliography"/>
        <w:spacing w:line="360" w:lineRule="auto"/>
      </w:pPr>
      <w:bookmarkStart w:id="40" w:name="ref-Rezende2014"/>
      <w:bookmarkEnd w:id="39"/>
      <w:r>
        <w:t xml:space="preserve">20. </w:t>
      </w:r>
      <w:r>
        <w:tab/>
        <w:t xml:space="preserve">Rezende, E.L. </w:t>
      </w:r>
      <w:r>
        <w:rPr>
          <w:i/>
          <w:iCs/>
        </w:rPr>
        <w:t>et al.</w:t>
      </w:r>
      <w:r>
        <w:t xml:space="preserve"> (2014) </w:t>
      </w:r>
      <w:hyperlink r:id="rId19">
        <w:r>
          <w:rPr>
            <w:rStyle w:val="Hyperlink"/>
          </w:rPr>
          <w:t>Tolerance landscapes in thermal ecology</w:t>
        </w:r>
      </w:hyperlink>
      <w:r>
        <w:t xml:space="preserve">. </w:t>
      </w:r>
      <w:r>
        <w:rPr>
          <w:i/>
          <w:iCs/>
        </w:rPr>
        <w:t>Funct. Ecol.</w:t>
      </w:r>
      <w:r>
        <w:t xml:space="preserve"> 28, 799–809</w:t>
      </w:r>
    </w:p>
    <w:p w14:paraId="53D163E3" w14:textId="77777777" w:rsidR="007C0051" w:rsidRDefault="00000000" w:rsidP="00995EE0">
      <w:pPr>
        <w:pStyle w:val="Bibliography"/>
        <w:spacing w:line="360" w:lineRule="auto"/>
      </w:pPr>
      <w:bookmarkStart w:id="41" w:name="ref-Arnold2025a"/>
      <w:bookmarkEnd w:id="40"/>
      <w:r>
        <w:t xml:space="preserve">21. </w:t>
      </w:r>
      <w:r>
        <w:tab/>
        <w:t xml:space="preserve">Arnold, P.A. </w:t>
      </w:r>
      <w:r>
        <w:rPr>
          <w:i/>
          <w:iCs/>
        </w:rPr>
        <w:t>et al.</w:t>
      </w:r>
      <w:r>
        <w:t xml:space="preserve"> (2025) </w:t>
      </w:r>
      <w:hyperlink r:id="rId20">
        <w:r>
          <w:rPr>
            <w:rStyle w:val="Hyperlink"/>
          </w:rPr>
          <w:t>A framework for modelling thermal load sensitivity across life</w:t>
        </w:r>
      </w:hyperlink>
      <w:r>
        <w:t xml:space="preserve">. </w:t>
      </w:r>
      <w:r>
        <w:rPr>
          <w:i/>
          <w:iCs/>
        </w:rPr>
        <w:t>Glob. Chang. Biol.</w:t>
      </w:r>
      <w:r>
        <w:t xml:space="preserve"> 31, e70315</w:t>
      </w:r>
    </w:p>
    <w:p w14:paraId="22F1D65B" w14:textId="77777777" w:rsidR="007C0051" w:rsidRDefault="00000000" w:rsidP="00995EE0">
      <w:pPr>
        <w:pStyle w:val="Bibliography"/>
        <w:spacing w:line="360" w:lineRule="auto"/>
      </w:pPr>
      <w:bookmarkStart w:id="42" w:name="ref-Bimler2018"/>
      <w:bookmarkEnd w:id="41"/>
      <w:r>
        <w:t xml:space="preserve">22. </w:t>
      </w:r>
      <w:r>
        <w:tab/>
        <w:t xml:space="preserve">Bimler, M.D. </w:t>
      </w:r>
      <w:r>
        <w:rPr>
          <w:i/>
          <w:iCs/>
        </w:rPr>
        <w:t>et al.</w:t>
      </w:r>
      <w:r>
        <w:t xml:space="preserve"> (2018) </w:t>
      </w:r>
      <w:hyperlink r:id="rId21">
        <w:r>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32B92133" w14:textId="77777777" w:rsidR="007C0051" w:rsidRDefault="00000000" w:rsidP="00995EE0">
      <w:pPr>
        <w:pStyle w:val="Bibliography"/>
        <w:spacing w:line="360" w:lineRule="auto"/>
      </w:pPr>
      <w:bookmarkStart w:id="43" w:name="ref-Bowler2022"/>
      <w:bookmarkEnd w:id="42"/>
      <w:r>
        <w:t xml:space="preserve">23. </w:t>
      </w:r>
      <w:r>
        <w:tab/>
        <w:t xml:space="preserve">Bowler, C.H. </w:t>
      </w:r>
      <w:r>
        <w:rPr>
          <w:i/>
          <w:iCs/>
        </w:rPr>
        <w:t>et al.</w:t>
      </w:r>
      <w:r>
        <w:t xml:space="preserve"> (2022) </w:t>
      </w:r>
      <w:hyperlink r:id="rId22">
        <w:r>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033B6797" w14:textId="77777777" w:rsidR="007C0051" w:rsidRDefault="00000000" w:rsidP="00995EE0">
      <w:pPr>
        <w:pStyle w:val="Bibliography"/>
        <w:spacing w:line="360" w:lineRule="auto"/>
      </w:pPr>
      <w:bookmarkStart w:id="44" w:name="ref-Kearney2017"/>
      <w:bookmarkEnd w:id="43"/>
      <w:r>
        <w:t xml:space="preserve">24. </w:t>
      </w:r>
      <w:r>
        <w:tab/>
        <w:t xml:space="preserve">Kearney, M.R. and Porter, W.P. (2017) </w:t>
      </w:r>
      <w:hyperlink r:id="rId23">
        <w:r>
          <w:rPr>
            <w:rStyle w:val="Hyperlink"/>
          </w:rPr>
          <w:t>NicheMapR – an R package for biophysical modelling: The microclimate model</w:t>
        </w:r>
      </w:hyperlink>
      <w:r>
        <w:t xml:space="preserve">. </w:t>
      </w:r>
      <w:r>
        <w:rPr>
          <w:i/>
          <w:iCs/>
        </w:rPr>
        <w:t>Ecography (Cop.)</w:t>
      </w:r>
      <w:r>
        <w:t xml:space="preserve"> 40, 664–674</w:t>
      </w:r>
    </w:p>
    <w:p w14:paraId="1901B8F7" w14:textId="77777777" w:rsidR="007C0051" w:rsidRDefault="00000000" w:rsidP="00995EE0">
      <w:pPr>
        <w:pStyle w:val="Bibliography"/>
        <w:spacing w:line="360" w:lineRule="auto"/>
      </w:pPr>
      <w:bookmarkStart w:id="45" w:name="ref-Maclean2019"/>
      <w:bookmarkEnd w:id="44"/>
      <w:r>
        <w:t xml:space="preserve">25. </w:t>
      </w:r>
      <w:r>
        <w:tab/>
        <w:t xml:space="preserve">Maclean, I.M.D. </w:t>
      </w:r>
      <w:r>
        <w:rPr>
          <w:i/>
          <w:iCs/>
        </w:rPr>
        <w:t>et al.</w:t>
      </w:r>
      <w:r>
        <w:t xml:space="preserve"> (2019) </w:t>
      </w:r>
      <w:hyperlink r:id="rId24">
        <w:r>
          <w:rPr>
            <w:rStyle w:val="Hyperlink"/>
          </w:rPr>
          <w:t>Microclima: An r package for modelling meso‐ and microclimate</w:t>
        </w:r>
      </w:hyperlink>
      <w:r>
        <w:t xml:space="preserve">. </w:t>
      </w:r>
      <w:r>
        <w:rPr>
          <w:i/>
          <w:iCs/>
        </w:rPr>
        <w:t>Methods Ecol. Evol.</w:t>
      </w:r>
      <w:r>
        <w:t xml:space="preserve"> 10, 280–290</w:t>
      </w:r>
    </w:p>
    <w:p w14:paraId="72219C8B" w14:textId="77777777" w:rsidR="007C0051" w:rsidRDefault="00000000" w:rsidP="00995EE0">
      <w:pPr>
        <w:pStyle w:val="Bibliography"/>
        <w:spacing w:line="360" w:lineRule="auto"/>
      </w:pPr>
      <w:bookmarkStart w:id="46" w:name="ref-Kearney2020"/>
      <w:bookmarkEnd w:id="45"/>
      <w:r>
        <w:t xml:space="preserve">26. </w:t>
      </w:r>
      <w:r>
        <w:tab/>
        <w:t xml:space="preserve">Kearney, M.R. </w:t>
      </w:r>
      <w:r>
        <w:rPr>
          <w:i/>
          <w:iCs/>
        </w:rPr>
        <w:t>et al.</w:t>
      </w:r>
      <w:r>
        <w:t xml:space="preserve"> (2020) </w:t>
      </w:r>
      <w:hyperlink r:id="rId25">
        <w:r>
          <w:rPr>
            <w:rStyle w:val="Hyperlink"/>
          </w:rPr>
          <w:t>A method for computing hourly, historical, terrain‐corrected microclimate anywhere on earth</w:t>
        </w:r>
      </w:hyperlink>
      <w:r>
        <w:t xml:space="preserve">. </w:t>
      </w:r>
      <w:r>
        <w:rPr>
          <w:i/>
          <w:iCs/>
        </w:rPr>
        <w:t>Methods Ecol. Evol.</w:t>
      </w:r>
      <w:r>
        <w:t xml:space="preserve"> 11, 38–43</w:t>
      </w:r>
    </w:p>
    <w:p w14:paraId="0E7F75E9" w14:textId="77777777" w:rsidR="007C0051" w:rsidRDefault="00000000" w:rsidP="00995EE0">
      <w:pPr>
        <w:pStyle w:val="Bibliography"/>
        <w:spacing w:line="360" w:lineRule="auto"/>
      </w:pPr>
      <w:bookmarkStart w:id="47" w:name="ref-Maclean2021"/>
      <w:bookmarkEnd w:id="46"/>
      <w:r>
        <w:t xml:space="preserve">27. </w:t>
      </w:r>
      <w:r>
        <w:tab/>
        <w:t xml:space="preserve">Maclean, I.M.D. </w:t>
      </w:r>
      <w:r>
        <w:rPr>
          <w:i/>
          <w:iCs/>
        </w:rPr>
        <w:t>et al.</w:t>
      </w:r>
      <w:r>
        <w:t xml:space="preserve"> (2021) </w:t>
      </w:r>
      <w:hyperlink r:id="rId26">
        <w:r>
          <w:rPr>
            <w:rStyle w:val="Hyperlink"/>
          </w:rPr>
          <w:t>On the measurement of microclimate</w:t>
        </w:r>
      </w:hyperlink>
      <w:r>
        <w:t xml:space="preserve">. </w:t>
      </w:r>
      <w:r>
        <w:rPr>
          <w:i/>
          <w:iCs/>
        </w:rPr>
        <w:t>Methods Ecol. Evol.</w:t>
      </w:r>
      <w:r>
        <w:t xml:space="preserve"> 12, 1397–1410</w:t>
      </w:r>
    </w:p>
    <w:p w14:paraId="4ADB3766" w14:textId="77777777" w:rsidR="007C0051" w:rsidRDefault="00000000" w:rsidP="00995EE0">
      <w:pPr>
        <w:pStyle w:val="Bibliography"/>
        <w:spacing w:line="360" w:lineRule="auto"/>
      </w:pPr>
      <w:bookmarkStart w:id="48" w:name="ref-Buckley2023"/>
      <w:bookmarkEnd w:id="47"/>
      <w:r>
        <w:t xml:space="preserve">28. </w:t>
      </w:r>
      <w:r>
        <w:tab/>
        <w:t xml:space="preserve">Buckley, L.B. </w:t>
      </w:r>
      <w:r>
        <w:rPr>
          <w:i/>
          <w:iCs/>
        </w:rPr>
        <w:t>et al.</w:t>
      </w:r>
      <w:r>
        <w:t xml:space="preserve"> (2023) </w:t>
      </w:r>
      <w:hyperlink r:id="rId27">
        <w:r>
          <w:rPr>
            <w:rStyle w:val="Hyperlink"/>
          </w:rPr>
          <w:t>TrenchR: An R package for modular and accessible microclimate and biophysical ecology</w:t>
        </w:r>
      </w:hyperlink>
      <w:r>
        <w:t xml:space="preserve">. </w:t>
      </w:r>
      <w:r>
        <w:rPr>
          <w:i/>
          <w:iCs/>
        </w:rPr>
        <w:t>PLOS Clim</w:t>
      </w:r>
      <w:r>
        <w:t xml:space="preserve"> 2, e0000139</w:t>
      </w:r>
    </w:p>
    <w:p w14:paraId="56E91008" w14:textId="77777777" w:rsidR="007C0051" w:rsidRDefault="00000000" w:rsidP="00995EE0">
      <w:pPr>
        <w:pStyle w:val="Bibliography"/>
        <w:spacing w:line="360" w:lineRule="auto"/>
      </w:pPr>
      <w:bookmarkStart w:id="49" w:name="ref-Bramer2018"/>
      <w:bookmarkEnd w:id="48"/>
      <w:r>
        <w:lastRenderedPageBreak/>
        <w:t xml:space="preserve">29. </w:t>
      </w:r>
      <w:r>
        <w:tab/>
        <w:t xml:space="preserve">Bramer, I. </w:t>
      </w:r>
      <w:r>
        <w:rPr>
          <w:i/>
          <w:iCs/>
        </w:rPr>
        <w:t>et al.</w:t>
      </w:r>
      <w:r>
        <w:t xml:space="preserve"> (2018) Advances in monitoring and modelling climate at ecologically relevant scales. 58, 101–161</w:t>
      </w:r>
    </w:p>
    <w:p w14:paraId="4618E3CA" w14:textId="77777777" w:rsidR="007C0051" w:rsidRDefault="00000000" w:rsidP="00995EE0">
      <w:pPr>
        <w:pStyle w:val="Bibliography"/>
        <w:spacing w:line="360" w:lineRule="auto"/>
      </w:pPr>
      <w:bookmarkStart w:id="50" w:name="ref-Levy2016"/>
      <w:bookmarkEnd w:id="49"/>
      <w:r>
        <w:t xml:space="preserve">30. </w:t>
      </w:r>
      <w:r>
        <w:tab/>
        <w:t xml:space="preserve">Levy, O. </w:t>
      </w:r>
      <w:r>
        <w:rPr>
          <w:i/>
          <w:iCs/>
        </w:rPr>
        <w:t>et al.</w:t>
      </w:r>
      <w:r>
        <w:t xml:space="preserve"> (2016) </w:t>
      </w:r>
      <w:hyperlink r:id="rId28">
        <w:r>
          <w:rPr>
            <w:rStyle w:val="Hyperlink"/>
          </w:rPr>
          <w:t>A dynamically downscaled projection of past and future microclimates</w:t>
        </w:r>
      </w:hyperlink>
      <w:r>
        <w:t xml:space="preserve">. </w:t>
      </w:r>
      <w:r>
        <w:rPr>
          <w:i/>
          <w:iCs/>
        </w:rPr>
        <w:t>Ecology</w:t>
      </w:r>
      <w:r>
        <w:t xml:space="preserve"> 97, 1888–1888</w:t>
      </w:r>
    </w:p>
    <w:p w14:paraId="43E790E7" w14:textId="77777777" w:rsidR="007C0051" w:rsidRDefault="00000000" w:rsidP="00995EE0">
      <w:pPr>
        <w:pStyle w:val="Bibliography"/>
        <w:spacing w:line="360" w:lineRule="auto"/>
      </w:pPr>
      <w:bookmarkStart w:id="51" w:name="ref-De_Frenne2024"/>
      <w:bookmarkEnd w:id="50"/>
      <w:r>
        <w:t xml:space="preserve">31. </w:t>
      </w:r>
      <w:r>
        <w:tab/>
        <w:t xml:space="preserve">De Frenne, P. </w:t>
      </w:r>
      <w:r>
        <w:rPr>
          <w:i/>
          <w:iCs/>
        </w:rPr>
        <w:t>et al.</w:t>
      </w:r>
      <w:r>
        <w:t xml:space="preserve"> (2024) Ten practical guidelines for microclimate research in terrestrial ecosystems. </w:t>
      </w:r>
      <w:r>
        <w:rPr>
          <w:i/>
          <w:iCs/>
        </w:rPr>
        <w:t>Methods Ecol. Evol.</w:t>
      </w:r>
      <w:r>
        <w:t xml:space="preserve"> DOI: </w:t>
      </w:r>
      <w:hyperlink r:id="rId29">
        <w:r>
          <w:rPr>
            <w:rStyle w:val="Hyperlink"/>
          </w:rPr>
          <w:t>10.1111/2041-210x.14476</w:t>
        </w:r>
      </w:hyperlink>
    </w:p>
    <w:p w14:paraId="25AEC390" w14:textId="77777777" w:rsidR="007C0051" w:rsidRDefault="00000000" w:rsidP="00995EE0">
      <w:pPr>
        <w:pStyle w:val="Bibliography"/>
        <w:spacing w:line="360" w:lineRule="auto"/>
      </w:pPr>
      <w:bookmarkStart w:id="52" w:name="ref-Meyer2023"/>
      <w:bookmarkEnd w:id="51"/>
      <w:r>
        <w:t xml:space="preserve">32. </w:t>
      </w:r>
      <w:r>
        <w:tab/>
        <w:t xml:space="preserve">Meyer, A.V. </w:t>
      </w:r>
      <w:r>
        <w:rPr>
          <w:i/>
          <w:iCs/>
        </w:rPr>
        <w:t>et al.</w:t>
      </w:r>
      <w:r>
        <w:t xml:space="preserve"> (2023) </w:t>
      </w:r>
      <w:hyperlink r:id="rId30">
        <w:r>
          <w:rPr>
            <w:rStyle w:val="Hyperlink"/>
          </w:rPr>
          <w:t>A guide and tools for selecting and accessing microclimate data for mechanistic niche modeling</w:t>
        </w:r>
      </w:hyperlink>
      <w:r>
        <w:t xml:space="preserve">. </w:t>
      </w:r>
      <w:r>
        <w:rPr>
          <w:i/>
          <w:iCs/>
        </w:rPr>
        <w:t>Ecosphere</w:t>
      </w:r>
      <w:r>
        <w:t xml:space="preserve"> 14</w:t>
      </w:r>
    </w:p>
    <w:p w14:paraId="3C913664" w14:textId="77777777" w:rsidR="007C0051" w:rsidRDefault="00000000" w:rsidP="00995EE0">
      <w:pPr>
        <w:pStyle w:val="Bibliography"/>
        <w:spacing w:line="360" w:lineRule="auto"/>
      </w:pPr>
      <w:bookmarkStart w:id="53" w:name="ref-Drake2018"/>
      <w:bookmarkEnd w:id="52"/>
      <w:r>
        <w:t xml:space="preserve">33. </w:t>
      </w:r>
      <w:r>
        <w:tab/>
        <w:t xml:space="preserve">Drake, J.E. </w:t>
      </w:r>
      <w:r>
        <w:rPr>
          <w:i/>
          <w:iCs/>
        </w:rPr>
        <w:t>et al.</w:t>
      </w:r>
      <w:r>
        <w:t xml:space="preserve"> (2018) </w:t>
      </w:r>
      <w:hyperlink r:id="rId31">
        <w:r>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29E07452" w14:textId="77777777" w:rsidR="007C0051" w:rsidRDefault="00000000" w:rsidP="00995EE0">
      <w:pPr>
        <w:pStyle w:val="Bibliography"/>
        <w:spacing w:line="360" w:lineRule="auto"/>
      </w:pPr>
      <w:bookmarkStart w:id="54" w:name="ref-Holzworth2018"/>
      <w:bookmarkEnd w:id="53"/>
      <w:r>
        <w:t xml:space="preserve">34. </w:t>
      </w:r>
      <w:r>
        <w:tab/>
        <w:t xml:space="preserve">Holzworth, D. </w:t>
      </w:r>
      <w:r>
        <w:rPr>
          <w:i/>
          <w:iCs/>
        </w:rPr>
        <w:t>et al.</w:t>
      </w:r>
      <w:r>
        <w:t xml:space="preserve"> (2018) </w:t>
      </w:r>
      <w:hyperlink r:id="rId32">
        <w:r>
          <w:rPr>
            <w:rStyle w:val="Hyperlink"/>
          </w:rPr>
          <w:t>APSIM next generation: Overcoming challenges in modernising a farming systems model</w:t>
        </w:r>
      </w:hyperlink>
      <w:r>
        <w:t xml:space="preserve">. </w:t>
      </w:r>
      <w:r>
        <w:rPr>
          <w:i/>
          <w:iCs/>
        </w:rPr>
        <w:t>Environ. Model. Softw.</w:t>
      </w:r>
      <w:r>
        <w:t xml:space="preserve"> 103, 43–51</w:t>
      </w:r>
    </w:p>
    <w:p w14:paraId="22DB2709" w14:textId="77777777" w:rsidR="007C0051" w:rsidRDefault="00000000" w:rsidP="00995EE0">
      <w:pPr>
        <w:pStyle w:val="Bibliography"/>
        <w:spacing w:line="360" w:lineRule="auto"/>
      </w:pPr>
      <w:bookmarkStart w:id="55" w:name="ref-Medlyn2011"/>
      <w:bookmarkEnd w:id="54"/>
      <w:r>
        <w:t xml:space="preserve">35. </w:t>
      </w:r>
      <w:r>
        <w:tab/>
        <w:t xml:space="preserve">Medlyn, B.E. </w:t>
      </w:r>
      <w:r>
        <w:rPr>
          <w:i/>
          <w:iCs/>
        </w:rPr>
        <w:t>et al.</w:t>
      </w:r>
      <w:r>
        <w:t xml:space="preserve"> (2011) </w:t>
      </w:r>
      <w:hyperlink r:id="rId33">
        <w:r>
          <w:rPr>
            <w:rStyle w:val="Hyperlink"/>
          </w:rPr>
          <w:t>Reconciling the optimal and empirical approaches to modelling stomatal conductance: RECONCILING OPTIMAL AND EMPIRICAL STOMATAL MODELS</w:t>
        </w:r>
      </w:hyperlink>
      <w:r>
        <w:t xml:space="preserve">. </w:t>
      </w:r>
      <w:r>
        <w:rPr>
          <w:i/>
          <w:iCs/>
        </w:rPr>
        <w:t>Glob. Chang. Biol.</w:t>
      </w:r>
      <w:r>
        <w:t xml:space="preserve"> 17, 2134–2144</w:t>
      </w:r>
    </w:p>
    <w:p w14:paraId="4C75556B" w14:textId="77777777" w:rsidR="007C0051" w:rsidRDefault="00000000" w:rsidP="00995EE0">
      <w:pPr>
        <w:pStyle w:val="Bibliography"/>
        <w:spacing w:line="360" w:lineRule="auto"/>
      </w:pPr>
      <w:bookmarkStart w:id="56" w:name="ref-Porter1973"/>
      <w:bookmarkEnd w:id="55"/>
      <w:r>
        <w:t xml:space="preserve">36. </w:t>
      </w:r>
      <w:r>
        <w:tab/>
        <w:t xml:space="preserve">Porter, W.P. </w:t>
      </w:r>
      <w:r>
        <w:rPr>
          <w:i/>
          <w:iCs/>
        </w:rPr>
        <w:t>et al.</w:t>
      </w:r>
      <w:r>
        <w:t xml:space="preserve"> (1973) </w:t>
      </w:r>
      <w:hyperlink r:id="rId34">
        <w:r>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4C5AB8D8" w14:textId="77777777" w:rsidR="007C0051" w:rsidRDefault="00000000" w:rsidP="00995EE0">
      <w:pPr>
        <w:pStyle w:val="Bibliography"/>
        <w:spacing w:line="360" w:lineRule="auto"/>
      </w:pPr>
      <w:bookmarkStart w:id="57" w:name="ref-Porter1969"/>
      <w:bookmarkEnd w:id="56"/>
      <w:r>
        <w:t xml:space="preserve">37. </w:t>
      </w:r>
      <w:r>
        <w:tab/>
        <w:t xml:space="preserve">Porter, W.P. and Gates, D.M. (1969) </w:t>
      </w:r>
      <w:hyperlink r:id="rId35">
        <w:r>
          <w:rPr>
            <w:rStyle w:val="Hyperlink"/>
          </w:rPr>
          <w:t>Thermodynamic equilibria of animals with environment</w:t>
        </w:r>
      </w:hyperlink>
      <w:r>
        <w:t xml:space="preserve">. </w:t>
      </w:r>
      <w:r>
        <w:rPr>
          <w:i/>
          <w:iCs/>
        </w:rPr>
        <w:t>Ecol. Monogr.</w:t>
      </w:r>
      <w:r>
        <w:t xml:space="preserve"> 39, 227–244</w:t>
      </w:r>
    </w:p>
    <w:p w14:paraId="4F72218A" w14:textId="77777777" w:rsidR="007C0051" w:rsidRDefault="00000000" w:rsidP="00995EE0">
      <w:pPr>
        <w:pStyle w:val="Bibliography"/>
        <w:spacing w:line="360" w:lineRule="auto"/>
      </w:pPr>
      <w:bookmarkStart w:id="58" w:name="ref-Riddell2017"/>
      <w:bookmarkEnd w:id="57"/>
      <w:r>
        <w:t xml:space="preserve">38. </w:t>
      </w:r>
      <w:r>
        <w:tab/>
        <w:t xml:space="preserve">Riddell, E.A. </w:t>
      </w:r>
      <w:r>
        <w:rPr>
          <w:i/>
          <w:iCs/>
        </w:rPr>
        <w:t>et al.</w:t>
      </w:r>
      <w:r>
        <w:t xml:space="preserve"> (2017) </w:t>
      </w:r>
      <w:hyperlink r:id="rId36">
        <w:r>
          <w:rPr>
            <w:rStyle w:val="Hyperlink"/>
          </w:rPr>
          <w:t>Physical calculations of resistance to water loss improve predictions of species range models</w:t>
        </w:r>
      </w:hyperlink>
      <w:r>
        <w:t xml:space="preserve">. </w:t>
      </w:r>
      <w:r>
        <w:rPr>
          <w:i/>
          <w:iCs/>
        </w:rPr>
        <w:t>Ecol. Monogr.</w:t>
      </w:r>
      <w:r>
        <w:t xml:space="preserve"> 87, 21–33</w:t>
      </w:r>
    </w:p>
    <w:p w14:paraId="687D9AA0" w14:textId="77777777" w:rsidR="007C0051" w:rsidRDefault="00000000" w:rsidP="00995EE0">
      <w:pPr>
        <w:pStyle w:val="Bibliography"/>
        <w:spacing w:line="360" w:lineRule="auto"/>
      </w:pPr>
      <w:bookmarkStart w:id="59" w:name="ref-Duursma2015"/>
      <w:bookmarkEnd w:id="58"/>
      <w:r>
        <w:t xml:space="preserve">39. </w:t>
      </w:r>
      <w:r>
        <w:tab/>
        <w:t xml:space="preserve">Duursma, R.A. (2015) </w:t>
      </w:r>
      <w:hyperlink r:id="rId37">
        <w:r>
          <w:rPr>
            <w:rStyle w:val="Hyperlink"/>
          </w:rPr>
          <w:t>Plantecophys–an R package for analysing and modelling leaf gas exchange data</w:t>
        </w:r>
      </w:hyperlink>
      <w:r>
        <w:t xml:space="preserve">. </w:t>
      </w:r>
      <w:r>
        <w:rPr>
          <w:i/>
          <w:iCs/>
        </w:rPr>
        <w:t>PLoS One</w:t>
      </w:r>
      <w:r>
        <w:t xml:space="preserve"> 10, e0143346</w:t>
      </w:r>
    </w:p>
    <w:p w14:paraId="35A1D0C1" w14:textId="77777777" w:rsidR="007C0051" w:rsidRDefault="00000000" w:rsidP="00995EE0">
      <w:pPr>
        <w:pStyle w:val="Bibliography"/>
        <w:spacing w:line="360" w:lineRule="auto"/>
      </w:pPr>
      <w:bookmarkStart w:id="60" w:name="ref-Wild2025"/>
      <w:bookmarkEnd w:id="59"/>
      <w:r>
        <w:t xml:space="preserve">40. </w:t>
      </w:r>
      <w:r>
        <w:tab/>
        <w:t xml:space="preserve">Wild, K.H. </w:t>
      </w:r>
      <w:r>
        <w:rPr>
          <w:i/>
          <w:iCs/>
        </w:rPr>
        <w:t>et al.</w:t>
      </w:r>
      <w:r>
        <w:t xml:space="preserve"> (2025) </w:t>
      </w:r>
      <w:hyperlink r:id="rId38">
        <w:r>
          <w:rPr>
            <w:rStyle w:val="Hyperlink"/>
          </w:rPr>
          <w:t>Climate change and the cost-of-living squeeze in desert lizards</w:t>
        </w:r>
      </w:hyperlink>
      <w:r>
        <w:t xml:space="preserve">. </w:t>
      </w:r>
      <w:r>
        <w:rPr>
          <w:i/>
          <w:iCs/>
        </w:rPr>
        <w:t>Science</w:t>
      </w:r>
      <w:r>
        <w:t xml:space="preserve"> 387, 303–309</w:t>
      </w:r>
    </w:p>
    <w:p w14:paraId="1BD253C8" w14:textId="77777777" w:rsidR="007C0051" w:rsidRDefault="00000000" w:rsidP="00995EE0">
      <w:pPr>
        <w:pStyle w:val="Bibliography"/>
        <w:spacing w:line="360" w:lineRule="auto"/>
      </w:pPr>
      <w:bookmarkStart w:id="61" w:name="ref-Briscoe2022"/>
      <w:bookmarkEnd w:id="60"/>
      <w:r>
        <w:t xml:space="preserve">41. </w:t>
      </w:r>
      <w:r>
        <w:tab/>
        <w:t xml:space="preserve">Briscoe, N.J. </w:t>
      </w:r>
      <w:r>
        <w:rPr>
          <w:i/>
          <w:iCs/>
        </w:rPr>
        <w:t>et al.</w:t>
      </w:r>
      <w:r>
        <w:t xml:space="preserve"> (2022) </w:t>
      </w:r>
      <w:hyperlink r:id="rId39">
        <w:r>
          <w:rPr>
            <w:rStyle w:val="Hyperlink"/>
          </w:rPr>
          <w:t>Too hot to hunt: Mechanistic predictions of thermal refuge from cat predation risk</w:t>
        </w:r>
      </w:hyperlink>
      <w:r>
        <w:t xml:space="preserve">. </w:t>
      </w:r>
      <w:r>
        <w:rPr>
          <w:i/>
          <w:iCs/>
        </w:rPr>
        <w:t>Conserv. Lett.</w:t>
      </w:r>
      <w:r>
        <w:t xml:space="preserve"> 15</w:t>
      </w:r>
    </w:p>
    <w:p w14:paraId="6EE4E70F" w14:textId="77777777" w:rsidR="007C0051" w:rsidRDefault="00000000" w:rsidP="00995EE0">
      <w:pPr>
        <w:pStyle w:val="Bibliography"/>
        <w:spacing w:line="360" w:lineRule="auto"/>
      </w:pPr>
      <w:bookmarkStart w:id="62" w:name="ref-Duursma2019"/>
      <w:bookmarkEnd w:id="61"/>
      <w:r>
        <w:lastRenderedPageBreak/>
        <w:t xml:space="preserve">42. </w:t>
      </w:r>
      <w:r>
        <w:tab/>
        <w:t xml:space="preserve">Duursma, R.A. </w:t>
      </w:r>
      <w:r>
        <w:rPr>
          <w:i/>
          <w:iCs/>
        </w:rPr>
        <w:t>et al.</w:t>
      </w:r>
      <w:r>
        <w:t xml:space="preserve"> (2019) </w:t>
      </w:r>
      <w:hyperlink r:id="rId40">
        <w:r>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5E812E9F" w14:textId="77777777" w:rsidR="007C0051" w:rsidRDefault="00000000" w:rsidP="00995EE0">
      <w:pPr>
        <w:pStyle w:val="Bibliography"/>
        <w:spacing w:line="360" w:lineRule="auto"/>
      </w:pPr>
      <w:bookmarkStart w:id="63" w:name="ref-Loughran2020"/>
      <w:bookmarkEnd w:id="62"/>
      <w:r>
        <w:t xml:space="preserve">43. </w:t>
      </w:r>
      <w:r>
        <w:tab/>
        <w:t xml:space="preserve">Loughran, C.L. and Wolf, B.O. (2020) </w:t>
      </w:r>
      <w:hyperlink r:id="rId41">
        <w:r>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1CE6737D" w14:textId="77777777" w:rsidR="007C0051" w:rsidRDefault="00000000" w:rsidP="00995EE0">
      <w:pPr>
        <w:pStyle w:val="Bibliography"/>
        <w:spacing w:line="360" w:lineRule="auto"/>
      </w:pPr>
      <w:bookmarkStart w:id="64" w:name="ref-Sharpe2022"/>
      <w:bookmarkEnd w:id="63"/>
      <w:r>
        <w:t xml:space="preserve">44. </w:t>
      </w:r>
      <w:r>
        <w:tab/>
        <w:t xml:space="preserve">Sharpe, L.L. </w:t>
      </w:r>
      <w:r>
        <w:rPr>
          <w:i/>
          <w:iCs/>
        </w:rPr>
        <w:t>et al.</w:t>
      </w:r>
      <w:r>
        <w:t xml:space="preserve"> (2022) </w:t>
      </w:r>
      <w:hyperlink r:id="rId42">
        <w:r>
          <w:rPr>
            <w:rStyle w:val="Hyperlink"/>
          </w:rPr>
          <w:t>In the hot seat: Behavioral change and old-growth trees underpin an australian songbird’s response to extreme heat</w:t>
        </w:r>
      </w:hyperlink>
      <w:r>
        <w:t xml:space="preserve">. </w:t>
      </w:r>
      <w:r>
        <w:rPr>
          <w:i/>
          <w:iCs/>
        </w:rPr>
        <w:t>Front. Ecol. Evol.</w:t>
      </w:r>
      <w:r>
        <w:t xml:space="preserve"> 10</w:t>
      </w:r>
    </w:p>
    <w:p w14:paraId="4FE94133" w14:textId="77777777" w:rsidR="007C0051" w:rsidRDefault="00000000" w:rsidP="00995EE0">
      <w:pPr>
        <w:pStyle w:val="Bibliography"/>
        <w:spacing w:line="360" w:lineRule="auto"/>
      </w:pPr>
      <w:bookmarkStart w:id="65" w:name="ref-Posch2024"/>
      <w:bookmarkEnd w:id="64"/>
      <w:r>
        <w:t xml:space="preserve">45. </w:t>
      </w:r>
      <w:r>
        <w:tab/>
        <w:t xml:space="preserve">Posch, B.C. </w:t>
      </w:r>
      <w:r>
        <w:rPr>
          <w:i/>
          <w:iCs/>
        </w:rPr>
        <w:t>et al.</w:t>
      </w:r>
      <w:r>
        <w:t xml:space="preserve"> (2024) </w:t>
      </w:r>
      <w:hyperlink r:id="rId43">
        <w:r>
          <w:rPr>
            <w:rStyle w:val="Hyperlink"/>
          </w:rPr>
          <w:t>Intensive leaf cooling promotes tree survival during a record heatwave</w:t>
        </w:r>
      </w:hyperlink>
      <w:r>
        <w:t xml:space="preserve">. </w:t>
      </w:r>
      <w:r>
        <w:rPr>
          <w:i/>
          <w:iCs/>
        </w:rPr>
        <w:t>Proc. Natl. Acad. Sci. U. S. A.</w:t>
      </w:r>
      <w:r>
        <w:t xml:space="preserve"> 121, e2408583121</w:t>
      </w:r>
    </w:p>
    <w:p w14:paraId="4277239C" w14:textId="77777777" w:rsidR="007C0051" w:rsidRDefault="00000000" w:rsidP="00995EE0">
      <w:pPr>
        <w:pStyle w:val="Bibliography"/>
        <w:spacing w:line="360" w:lineRule="auto"/>
      </w:pPr>
      <w:bookmarkStart w:id="66" w:name="ref-Orsted2022"/>
      <w:bookmarkEnd w:id="65"/>
      <w:r>
        <w:t xml:space="preserve">46.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F9DE898" w14:textId="77777777" w:rsidR="007C0051" w:rsidRDefault="00000000" w:rsidP="00995EE0">
      <w:pPr>
        <w:pStyle w:val="Bibliography"/>
        <w:spacing w:line="360" w:lineRule="auto"/>
      </w:pPr>
      <w:bookmarkStart w:id="67" w:name="ref-Jagadish2021"/>
      <w:bookmarkEnd w:id="66"/>
      <w:r>
        <w:t xml:space="preserve">47. </w:t>
      </w:r>
      <w:r>
        <w:tab/>
        <w:t xml:space="preserve">Jagadish, S.V.K. </w:t>
      </w:r>
      <w:r>
        <w:rPr>
          <w:i/>
          <w:iCs/>
        </w:rPr>
        <w:t>et al.</w:t>
      </w:r>
      <w:r>
        <w:t xml:space="preserve"> (2021) </w:t>
      </w:r>
      <w:hyperlink r:id="rId44">
        <w:r>
          <w:rPr>
            <w:rStyle w:val="Hyperlink"/>
          </w:rPr>
          <w:t>Plant heat stress: Concepts directing future research</w:t>
        </w:r>
      </w:hyperlink>
      <w:r>
        <w:t xml:space="preserve">. </w:t>
      </w:r>
      <w:r>
        <w:rPr>
          <w:i/>
          <w:iCs/>
        </w:rPr>
        <w:t>Plant Cell Environ.</w:t>
      </w:r>
      <w:r>
        <w:t xml:space="preserve"> 44, 1992–2005</w:t>
      </w:r>
    </w:p>
    <w:p w14:paraId="17F0EFA7" w14:textId="77777777" w:rsidR="007C0051" w:rsidRDefault="00000000" w:rsidP="00995EE0">
      <w:pPr>
        <w:pStyle w:val="Bibliography"/>
        <w:spacing w:line="360" w:lineRule="auto"/>
      </w:pPr>
      <w:bookmarkStart w:id="68" w:name="ref-Faber2024"/>
      <w:bookmarkEnd w:id="67"/>
      <w:r>
        <w:t xml:space="preserve">48. </w:t>
      </w:r>
      <w:r>
        <w:tab/>
        <w:t xml:space="preserve">Faber, A.H. </w:t>
      </w:r>
      <w:r>
        <w:rPr>
          <w:i/>
          <w:iCs/>
        </w:rPr>
        <w:t>et al.</w:t>
      </w:r>
      <w:r>
        <w:t xml:space="preserve"> (2024) </w:t>
      </w:r>
      <w:hyperlink r:id="rId45">
        <w:r>
          <w:rPr>
            <w:rStyle w:val="Hyperlink"/>
          </w:rPr>
          <w:t>Application of the thermal death time model in predicting thermal damage accumulation in plants</w:t>
        </w:r>
      </w:hyperlink>
      <w:r>
        <w:t xml:space="preserve">. </w:t>
      </w:r>
      <w:r>
        <w:rPr>
          <w:i/>
          <w:iCs/>
        </w:rPr>
        <w:t>J. Exp. Bot.</w:t>
      </w:r>
      <w:r>
        <w:t xml:space="preserve"> 75, 3467–3482</w:t>
      </w:r>
    </w:p>
    <w:p w14:paraId="1126AAD2" w14:textId="77777777" w:rsidR="007C0051" w:rsidRDefault="00000000" w:rsidP="00995EE0">
      <w:pPr>
        <w:pStyle w:val="Bibliography"/>
        <w:spacing w:line="360" w:lineRule="auto"/>
      </w:pPr>
      <w:bookmarkStart w:id="69" w:name="ref-Martinez-De_Leon2024"/>
      <w:bookmarkEnd w:id="68"/>
      <w:r>
        <w:t xml:space="preserve">49. </w:t>
      </w:r>
      <w:r>
        <w:tab/>
        <w:t xml:space="preserve">Martínez-De León, G. and Thakur, M.P. (2024) Ecological debts induced by heat extremes. </w:t>
      </w:r>
      <w:r>
        <w:rPr>
          <w:i/>
          <w:iCs/>
        </w:rPr>
        <w:t>Trends Ecol. Evol.</w:t>
      </w:r>
    </w:p>
    <w:p w14:paraId="1373E2E7" w14:textId="77777777" w:rsidR="007C0051" w:rsidRDefault="00000000" w:rsidP="00995EE0">
      <w:pPr>
        <w:pStyle w:val="Bibliography"/>
        <w:spacing w:line="360" w:lineRule="auto"/>
      </w:pPr>
      <w:bookmarkStart w:id="70" w:name="ref-Marchin2022"/>
      <w:bookmarkEnd w:id="69"/>
      <w:r>
        <w:t xml:space="preserve">50. </w:t>
      </w:r>
      <w:r>
        <w:tab/>
        <w:t xml:space="preserve">Marchin, R.M. </w:t>
      </w:r>
      <w:r>
        <w:rPr>
          <w:i/>
          <w:iCs/>
        </w:rPr>
        <w:t>et al.</w:t>
      </w:r>
      <w:r>
        <w:t xml:space="preserve"> (2022) </w:t>
      </w:r>
      <w:hyperlink r:id="rId46">
        <w:r>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5FD47CA0" w14:textId="77777777" w:rsidR="007C0051" w:rsidRDefault="00000000" w:rsidP="00995EE0">
      <w:pPr>
        <w:pStyle w:val="Bibliography"/>
        <w:spacing w:line="360" w:lineRule="auto"/>
      </w:pPr>
      <w:bookmarkStart w:id="71" w:name="ref-Youngblood2025"/>
      <w:bookmarkEnd w:id="70"/>
      <w:r>
        <w:t xml:space="preserve">51.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DOI: </w:t>
      </w:r>
      <w:hyperlink r:id="rId47">
        <w:r>
          <w:rPr>
            <w:rStyle w:val="Hyperlink"/>
          </w:rPr>
          <w:t>10.1111/1365-2435.70038</w:t>
        </w:r>
      </w:hyperlink>
    </w:p>
    <w:p w14:paraId="75BDF59E" w14:textId="77777777" w:rsidR="007C0051" w:rsidRDefault="00000000" w:rsidP="00995EE0">
      <w:pPr>
        <w:pStyle w:val="Bibliography"/>
        <w:spacing w:line="360" w:lineRule="auto"/>
      </w:pPr>
      <w:bookmarkStart w:id="72" w:name="ref-Mengutay2013"/>
      <w:bookmarkEnd w:id="71"/>
      <w:r>
        <w:t xml:space="preserve">52. </w:t>
      </w:r>
      <w:r>
        <w:tab/>
        <w:t xml:space="preserve">Mengutay, M. </w:t>
      </w:r>
      <w:r>
        <w:rPr>
          <w:i/>
          <w:iCs/>
        </w:rPr>
        <w:t>et al.</w:t>
      </w:r>
      <w:r>
        <w:t xml:space="preserve"> (2013) </w:t>
      </w:r>
      <w:hyperlink r:id="rId48">
        <w:r>
          <w:rPr>
            <w:rStyle w:val="Hyperlink"/>
          </w:rPr>
          <w:t>Adequate magnesium nutrition mitigates adverse effects of heat stress on maize and wheat</w:t>
        </w:r>
      </w:hyperlink>
      <w:r>
        <w:t xml:space="preserve">. </w:t>
      </w:r>
      <w:r>
        <w:rPr>
          <w:i/>
          <w:iCs/>
        </w:rPr>
        <w:t>Plant Soil</w:t>
      </w:r>
      <w:r>
        <w:t xml:space="preserve"> 368, 57–72</w:t>
      </w:r>
    </w:p>
    <w:p w14:paraId="13849308" w14:textId="77777777" w:rsidR="007C0051" w:rsidRDefault="00000000" w:rsidP="00995EE0">
      <w:pPr>
        <w:pStyle w:val="Bibliography"/>
        <w:spacing w:line="360" w:lineRule="auto"/>
      </w:pPr>
      <w:bookmarkStart w:id="73" w:name="ref-Andersen2010"/>
      <w:bookmarkEnd w:id="72"/>
      <w:r>
        <w:t xml:space="preserve">53. </w:t>
      </w:r>
      <w:r>
        <w:tab/>
        <w:t xml:space="preserve">Andersen, L.H. </w:t>
      </w:r>
      <w:r>
        <w:rPr>
          <w:i/>
          <w:iCs/>
        </w:rPr>
        <w:t>et al.</w:t>
      </w:r>
      <w:r>
        <w:t xml:space="preserve"> (2010) </w:t>
      </w:r>
      <w:hyperlink r:id="rId49">
        <w:r>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60094B48" w14:textId="77777777" w:rsidR="007C0051" w:rsidRDefault="00000000" w:rsidP="00995EE0">
      <w:pPr>
        <w:pStyle w:val="Bibliography"/>
        <w:spacing w:line="360" w:lineRule="auto"/>
      </w:pPr>
      <w:bookmarkStart w:id="74" w:name="ref-Chouhan2023"/>
      <w:bookmarkEnd w:id="73"/>
      <w:r>
        <w:t xml:space="preserve">54. </w:t>
      </w:r>
      <w:r>
        <w:tab/>
        <w:t xml:space="preserve">Chouhan, D. </w:t>
      </w:r>
      <w:r>
        <w:rPr>
          <w:i/>
          <w:iCs/>
        </w:rPr>
        <w:t>et al.</w:t>
      </w:r>
      <w:r>
        <w:t xml:space="preserve"> (2023) </w:t>
      </w:r>
      <w:hyperlink r:id="rId50">
        <w:r>
          <w:rPr>
            <w:rStyle w:val="Hyperlink"/>
          </w:rPr>
          <w:t>Plant-microbe interaction and their role in mitigation of heat stress</w:t>
        </w:r>
      </w:hyperlink>
      <w:r>
        <w:t xml:space="preserve">. In </w:t>
      </w:r>
      <w:r>
        <w:rPr>
          <w:i/>
          <w:iCs/>
        </w:rPr>
        <w:t>Rhizosphere biology</w:t>
      </w:r>
      <w:r>
        <w:t>, pp. 127–147, Springer Nature Singapore</w:t>
      </w:r>
    </w:p>
    <w:p w14:paraId="5F99FDE5" w14:textId="77777777" w:rsidR="007C0051" w:rsidRDefault="00000000" w:rsidP="00995EE0">
      <w:pPr>
        <w:pStyle w:val="Bibliography"/>
        <w:spacing w:line="360" w:lineRule="auto"/>
      </w:pPr>
      <w:bookmarkStart w:id="75" w:name="ref-Marquez2007"/>
      <w:bookmarkEnd w:id="74"/>
      <w:r>
        <w:t xml:space="preserve">55.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1AE13E2" w14:textId="77777777" w:rsidR="007C0051" w:rsidRDefault="00000000" w:rsidP="00995EE0">
      <w:pPr>
        <w:pStyle w:val="Bibliography"/>
        <w:spacing w:line="360" w:lineRule="auto"/>
      </w:pPr>
      <w:bookmarkStart w:id="76" w:name="ref-Hoang2019"/>
      <w:bookmarkEnd w:id="75"/>
      <w:r>
        <w:lastRenderedPageBreak/>
        <w:t xml:space="preserve">56. </w:t>
      </w:r>
      <w:r>
        <w:tab/>
        <w:t xml:space="preserve">Hoang, K.L. </w:t>
      </w:r>
      <w:r>
        <w:rPr>
          <w:i/>
          <w:iCs/>
        </w:rPr>
        <w:t>et al.</w:t>
      </w:r>
      <w:r>
        <w:t xml:space="preserve"> (2019) </w:t>
      </w:r>
      <w:hyperlink r:id="rId51">
        <w:r>
          <w:rPr>
            <w:rStyle w:val="Hyperlink"/>
          </w:rPr>
          <w:t>The effects of bacillus subtilis on caenorhabditis elegans fitness after heat stress</w:t>
        </w:r>
      </w:hyperlink>
      <w:r>
        <w:t xml:space="preserve">. </w:t>
      </w:r>
      <w:r>
        <w:rPr>
          <w:i/>
          <w:iCs/>
        </w:rPr>
        <w:t>Ecol. Evol.</w:t>
      </w:r>
      <w:r>
        <w:t xml:space="preserve"> 9, 3491–3499</w:t>
      </w:r>
    </w:p>
    <w:p w14:paraId="7E3D88D5" w14:textId="77777777" w:rsidR="007C0051" w:rsidRDefault="00000000" w:rsidP="00995EE0">
      <w:pPr>
        <w:pStyle w:val="Bibliography"/>
        <w:spacing w:line="360" w:lineRule="auto"/>
      </w:pPr>
      <w:bookmarkStart w:id="77" w:name="ref-Kearney2020a"/>
      <w:bookmarkEnd w:id="76"/>
      <w:r>
        <w:t xml:space="preserve">57. </w:t>
      </w:r>
      <w:r>
        <w:tab/>
        <w:t xml:space="preserve">Kearney, M.R. and Porter, W.P. (2020) </w:t>
      </w:r>
      <w:hyperlink r:id="rId52">
        <w:r>
          <w:rPr>
            <w:rStyle w:val="Hyperlink"/>
          </w:rPr>
          <w:t>NicheMapR – an R package for biophysical modelling: The ectotherm and dynamic energy budget models</w:t>
        </w:r>
      </w:hyperlink>
      <w:r>
        <w:t xml:space="preserve">. </w:t>
      </w:r>
      <w:r>
        <w:rPr>
          <w:i/>
          <w:iCs/>
        </w:rPr>
        <w:t>Ecography (Cop.)</w:t>
      </w:r>
      <w:r>
        <w:t xml:space="preserve"> 43, 85–96</w:t>
      </w:r>
    </w:p>
    <w:p w14:paraId="19B75B60" w14:textId="77777777" w:rsidR="007C0051" w:rsidRDefault="00000000" w:rsidP="00995EE0">
      <w:pPr>
        <w:pStyle w:val="Bibliography"/>
        <w:spacing w:line="360" w:lineRule="auto"/>
      </w:pPr>
      <w:bookmarkStart w:id="78" w:name="ref-Nisbet2000"/>
      <w:bookmarkEnd w:id="77"/>
      <w:r>
        <w:t xml:space="preserve">58. </w:t>
      </w:r>
      <w:r>
        <w:tab/>
        <w:t xml:space="preserve">Nisbet, R. </w:t>
      </w:r>
      <w:r>
        <w:rPr>
          <w:i/>
          <w:iCs/>
        </w:rPr>
        <w:t>et al.</w:t>
      </w:r>
      <w:r>
        <w:t xml:space="preserve"> (2000) </w:t>
      </w:r>
      <w:hyperlink r:id="rId53">
        <w:r>
          <w:rPr>
            <w:rStyle w:val="Hyperlink"/>
          </w:rPr>
          <w:t>From molecules to ecosystems through dynamic energy budget models</w:t>
        </w:r>
      </w:hyperlink>
      <w:r>
        <w:t xml:space="preserve">. </w:t>
      </w:r>
      <w:r>
        <w:rPr>
          <w:i/>
          <w:iCs/>
        </w:rPr>
        <w:t>Journal of Animal Ecology</w:t>
      </w:r>
      <w:r>
        <w:t xml:space="preserve"> 69, 913–926</w:t>
      </w:r>
    </w:p>
    <w:p w14:paraId="2A393F6D" w14:textId="77777777" w:rsidR="007C0051" w:rsidRDefault="00000000" w:rsidP="00995EE0">
      <w:pPr>
        <w:pStyle w:val="Bibliography"/>
        <w:spacing w:line="360" w:lineRule="auto"/>
      </w:pPr>
      <w:bookmarkStart w:id="79" w:name="ref-Jager2020"/>
      <w:bookmarkEnd w:id="78"/>
      <w:r>
        <w:t xml:space="preserve">59. </w:t>
      </w:r>
      <w:r>
        <w:tab/>
        <w:t xml:space="preserve">Jager, T. (2020) </w:t>
      </w:r>
      <w:hyperlink r:id="rId54">
        <w:r>
          <w:rPr>
            <w:rStyle w:val="Hyperlink"/>
          </w:rPr>
          <w:t>Revisiting simplified DEBtox models for analysing ecotoxicity data</w:t>
        </w:r>
      </w:hyperlink>
      <w:r>
        <w:t xml:space="preserve">. </w:t>
      </w:r>
      <w:r>
        <w:rPr>
          <w:i/>
          <w:iCs/>
        </w:rPr>
        <w:t>Ecol. Modell.</w:t>
      </w:r>
      <w:r>
        <w:t xml:space="preserve"> 416, 108904</w:t>
      </w:r>
    </w:p>
    <w:p w14:paraId="7143125C" w14:textId="77777777" w:rsidR="007C0051" w:rsidRDefault="00000000" w:rsidP="00995EE0">
      <w:pPr>
        <w:pStyle w:val="Bibliography"/>
        <w:spacing w:line="360" w:lineRule="auto"/>
      </w:pPr>
      <w:bookmarkStart w:id="80" w:name="ref-Kearney2013"/>
      <w:bookmarkEnd w:id="79"/>
      <w:r>
        <w:t xml:space="preserve">60.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3524447D" w14:textId="77777777" w:rsidR="007C0051" w:rsidRDefault="00000000" w:rsidP="00995EE0">
      <w:pPr>
        <w:pStyle w:val="Bibliography"/>
        <w:spacing w:line="360" w:lineRule="auto"/>
      </w:pPr>
      <w:bookmarkStart w:id="81" w:name="ref-Kearney2010"/>
      <w:bookmarkEnd w:id="80"/>
      <w:r>
        <w:t xml:space="preserve">61. </w:t>
      </w:r>
      <w:r>
        <w:tab/>
        <w:t xml:space="preserve">Kearney, M. </w:t>
      </w:r>
      <w:r>
        <w:rPr>
          <w:i/>
          <w:iCs/>
        </w:rPr>
        <w:t>et al.</w:t>
      </w:r>
      <w:r>
        <w:t xml:space="preserve"> (2010) </w:t>
      </w:r>
      <w:hyperlink r:id="rId55">
        <w:r>
          <w:rPr>
            <w:rStyle w:val="Hyperlink"/>
          </w:rPr>
          <w:t>Modelling the ecological niche from functional traits</w:t>
        </w:r>
      </w:hyperlink>
      <w:r>
        <w:t xml:space="preserve">. </w:t>
      </w:r>
      <w:r>
        <w:rPr>
          <w:i/>
          <w:iCs/>
        </w:rPr>
        <w:t>Philos. Trans. R. Soc. Lond. B Biol. Sci.</w:t>
      </w:r>
      <w:r>
        <w:t xml:space="preserve"> 365, 3469–3483</w:t>
      </w:r>
    </w:p>
    <w:p w14:paraId="4B644CFF" w14:textId="77777777" w:rsidR="007C0051" w:rsidRDefault="00000000" w:rsidP="00995EE0">
      <w:pPr>
        <w:pStyle w:val="Bibliography"/>
        <w:spacing w:line="360" w:lineRule="auto"/>
      </w:pPr>
      <w:bookmarkStart w:id="82" w:name="ref-Marques2018"/>
      <w:bookmarkEnd w:id="81"/>
      <w:r>
        <w:t xml:space="preserve">62. </w:t>
      </w:r>
      <w:r>
        <w:tab/>
        <w:t xml:space="preserve">Marques, G.M. </w:t>
      </w:r>
      <w:r>
        <w:rPr>
          <w:i/>
          <w:iCs/>
        </w:rPr>
        <w:t>et al.</w:t>
      </w:r>
      <w:r>
        <w:t xml:space="preserve"> (2018) </w:t>
      </w:r>
      <w:hyperlink r:id="rId56">
        <w:r>
          <w:rPr>
            <w:rStyle w:val="Hyperlink"/>
          </w:rPr>
          <w:t>The AmP project: Comparing species on the basis of dynamic energy budget parameters</w:t>
        </w:r>
      </w:hyperlink>
      <w:r>
        <w:t xml:space="preserve">. </w:t>
      </w:r>
      <w:r>
        <w:rPr>
          <w:i/>
          <w:iCs/>
        </w:rPr>
        <w:t>PLoS Comput. Biol.</w:t>
      </w:r>
      <w:r>
        <w:t xml:space="preserve"> 14, e1006100</w:t>
      </w:r>
    </w:p>
    <w:p w14:paraId="61EAA774" w14:textId="77777777" w:rsidR="007C0051" w:rsidRDefault="00000000" w:rsidP="00995EE0">
      <w:pPr>
        <w:pStyle w:val="Bibliography"/>
        <w:spacing w:line="360" w:lineRule="auto"/>
      </w:pPr>
      <w:bookmarkStart w:id="83" w:name="ref-Kooijman2021"/>
      <w:bookmarkEnd w:id="82"/>
      <w:r>
        <w:t xml:space="preserve">63. </w:t>
      </w:r>
      <w:r>
        <w:tab/>
        <w:t xml:space="preserve">Kooijman, S.A.L.M. </w:t>
      </w:r>
      <w:r>
        <w:rPr>
          <w:i/>
          <w:iCs/>
        </w:rPr>
        <w:t>et al.</w:t>
      </w:r>
      <w:r>
        <w:t xml:space="preserve"> (2021) </w:t>
      </w:r>
      <w:hyperlink r:id="rId57">
        <w:r>
          <w:rPr>
            <w:rStyle w:val="Hyperlink"/>
          </w:rPr>
          <w:t>Multidimensional scaling for animal traits in the context of dynamic energy budget theory</w:t>
        </w:r>
      </w:hyperlink>
      <w:r>
        <w:t xml:space="preserve">. </w:t>
      </w:r>
      <w:r>
        <w:rPr>
          <w:i/>
          <w:iCs/>
        </w:rPr>
        <w:t>Conserv. Physiol.</w:t>
      </w:r>
      <w:r>
        <w:t xml:space="preserve"> 9, coab086</w:t>
      </w:r>
    </w:p>
    <w:p w14:paraId="0226FEA9" w14:textId="77777777" w:rsidR="007C0051" w:rsidRDefault="00000000" w:rsidP="00995EE0">
      <w:pPr>
        <w:pStyle w:val="Bibliography"/>
        <w:spacing w:line="360" w:lineRule="auto"/>
      </w:pPr>
      <w:bookmarkStart w:id="84" w:name="ref-Bruggeman2009"/>
      <w:bookmarkEnd w:id="83"/>
      <w:r>
        <w:t xml:space="preserve">64. </w:t>
      </w:r>
      <w:r>
        <w:tab/>
        <w:t xml:space="preserve">Bruggeman, J. </w:t>
      </w:r>
      <w:r>
        <w:rPr>
          <w:i/>
          <w:iCs/>
        </w:rPr>
        <w:t>et al.</w:t>
      </w:r>
      <w:r>
        <w:t xml:space="preserve"> (2009) </w:t>
      </w:r>
      <w:hyperlink r:id="rId58">
        <w:r>
          <w:rPr>
            <w:rStyle w:val="Hyperlink"/>
          </w:rPr>
          <w:t>PhyloPars: Estimation of missing parameter values using phylogeny</w:t>
        </w:r>
      </w:hyperlink>
      <w:r>
        <w:t xml:space="preserve">. </w:t>
      </w:r>
      <w:r>
        <w:rPr>
          <w:i/>
          <w:iCs/>
        </w:rPr>
        <w:t>Nucleic Acids Research</w:t>
      </w:r>
      <w:r>
        <w:t xml:space="preserve"> 37, W179–W184</w:t>
      </w:r>
    </w:p>
    <w:p w14:paraId="2D0453FD" w14:textId="77777777" w:rsidR="007C0051" w:rsidRDefault="00000000" w:rsidP="00995EE0">
      <w:pPr>
        <w:pStyle w:val="Bibliography"/>
        <w:spacing w:line="360" w:lineRule="auto"/>
      </w:pPr>
      <w:bookmarkStart w:id="85" w:name="ref-Bonan2019"/>
      <w:bookmarkEnd w:id="84"/>
      <w:r>
        <w:t xml:space="preserve">65. </w:t>
      </w:r>
      <w:r>
        <w:tab/>
        <w:t xml:space="preserve">Bonan, G. (2019) </w:t>
      </w:r>
      <w:r>
        <w:rPr>
          <w:i/>
          <w:iCs/>
        </w:rPr>
        <w:t>Climate change and terrestrial ecosystem modeling</w:t>
      </w:r>
      <w:r>
        <w:t>, Cambridge University Press</w:t>
      </w:r>
    </w:p>
    <w:p w14:paraId="1A16EC67" w14:textId="77777777" w:rsidR="007C0051" w:rsidRDefault="00000000" w:rsidP="00995EE0">
      <w:pPr>
        <w:pStyle w:val="Bibliography"/>
        <w:spacing w:line="360" w:lineRule="auto"/>
      </w:pPr>
      <w:bookmarkStart w:id="86" w:name="ref-Kumarathunge2019"/>
      <w:bookmarkEnd w:id="85"/>
      <w:r>
        <w:t xml:space="preserve">66. </w:t>
      </w:r>
      <w:r>
        <w:tab/>
        <w:t xml:space="preserve">Kumarathunge, D.P. </w:t>
      </w:r>
      <w:r>
        <w:rPr>
          <w:i/>
          <w:iCs/>
        </w:rPr>
        <w:t>et al.</w:t>
      </w:r>
      <w:r>
        <w:t xml:space="preserve"> (2019) </w:t>
      </w:r>
      <w:hyperlink r:id="rId59">
        <w:r>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C77ED94" w14:textId="77777777" w:rsidR="007C0051" w:rsidRDefault="00000000" w:rsidP="00995EE0">
      <w:pPr>
        <w:pStyle w:val="Bibliography"/>
        <w:spacing w:line="360" w:lineRule="auto"/>
      </w:pPr>
      <w:bookmarkStart w:id="87" w:name="ref-De_Kauwe2020"/>
      <w:bookmarkEnd w:id="86"/>
      <w:r>
        <w:t xml:space="preserve">67. </w:t>
      </w:r>
      <w:r>
        <w:tab/>
        <w:t xml:space="preserve">De Kauwe, M.G. </w:t>
      </w:r>
      <w:r>
        <w:rPr>
          <w:i/>
          <w:iCs/>
        </w:rPr>
        <w:t>et al.</w:t>
      </w:r>
      <w:r>
        <w:t xml:space="preserve"> (2020) </w:t>
      </w:r>
      <w:hyperlink r:id="rId60">
        <w:r>
          <w:rPr>
            <w:rStyle w:val="Hyperlink"/>
          </w:rPr>
          <w:t>Identifying areas at risk of drought-induced tree mortality across south-eastern australia</w:t>
        </w:r>
      </w:hyperlink>
      <w:r>
        <w:t xml:space="preserve">. </w:t>
      </w:r>
      <w:r>
        <w:rPr>
          <w:i/>
          <w:iCs/>
        </w:rPr>
        <w:t>Glob. Chang. Biol.</w:t>
      </w:r>
      <w:r>
        <w:t xml:space="preserve"> 26, 5716–5733</w:t>
      </w:r>
    </w:p>
    <w:p w14:paraId="1FE22F85" w14:textId="77777777" w:rsidR="007C0051" w:rsidRDefault="00000000" w:rsidP="00995EE0">
      <w:pPr>
        <w:pStyle w:val="Bibliography"/>
        <w:spacing w:line="360" w:lineRule="auto"/>
      </w:pPr>
      <w:bookmarkStart w:id="88" w:name="ref-Bimler2023"/>
      <w:bookmarkEnd w:id="87"/>
      <w:r>
        <w:t xml:space="preserve">68. </w:t>
      </w:r>
      <w:r>
        <w:tab/>
        <w:t xml:space="preserve">Bimler, M.D. </w:t>
      </w:r>
      <w:r>
        <w:rPr>
          <w:i/>
          <w:iCs/>
        </w:rPr>
        <w:t>et al.</w:t>
      </w:r>
      <w:r>
        <w:t xml:space="preserve"> (2023) </w:t>
      </w:r>
      <w:hyperlink r:id="rId61">
        <w:r>
          <w:rPr>
            <w:rStyle w:val="Hyperlink"/>
          </w:rPr>
          <w:t>Estimating interaction strengths for diverse horizontal systems using performance data</w:t>
        </w:r>
      </w:hyperlink>
      <w:r>
        <w:t xml:space="preserve">. </w:t>
      </w:r>
      <w:r>
        <w:rPr>
          <w:i/>
          <w:iCs/>
        </w:rPr>
        <w:t>Methods Ecol. Evol.</w:t>
      </w:r>
      <w:r>
        <w:t xml:space="preserve"> 14, 968–980</w:t>
      </w:r>
    </w:p>
    <w:p w14:paraId="4345B23F" w14:textId="77777777" w:rsidR="007C0051" w:rsidRDefault="00000000" w:rsidP="00995EE0">
      <w:pPr>
        <w:pStyle w:val="Bibliography"/>
        <w:spacing w:line="360" w:lineRule="auto"/>
      </w:pPr>
      <w:bookmarkStart w:id="89" w:name="ref-Kraft2015"/>
      <w:bookmarkEnd w:id="88"/>
      <w:r>
        <w:t xml:space="preserve">69. </w:t>
      </w:r>
      <w:r>
        <w:tab/>
        <w:t xml:space="preserve">Kraft, N.J.B. </w:t>
      </w:r>
      <w:r>
        <w:rPr>
          <w:i/>
          <w:iCs/>
        </w:rPr>
        <w:t>et al.</w:t>
      </w:r>
      <w:r>
        <w:t xml:space="preserve"> (2015) </w:t>
      </w:r>
      <w:hyperlink r:id="rId62">
        <w:r>
          <w:rPr>
            <w:rStyle w:val="Hyperlink"/>
          </w:rPr>
          <w:t>Plant functional traits and the multidimensional nature of species coexistence</w:t>
        </w:r>
      </w:hyperlink>
      <w:r>
        <w:t xml:space="preserve">. </w:t>
      </w:r>
      <w:r>
        <w:rPr>
          <w:i/>
          <w:iCs/>
        </w:rPr>
        <w:t>Proc. Natl. Acad. Sci. U. S. A.</w:t>
      </w:r>
      <w:r>
        <w:t xml:space="preserve"> 112, 797–802</w:t>
      </w:r>
    </w:p>
    <w:p w14:paraId="63D3E5D0" w14:textId="77777777" w:rsidR="007C0051" w:rsidRDefault="00000000" w:rsidP="00995EE0">
      <w:pPr>
        <w:pStyle w:val="Bibliography"/>
        <w:spacing w:line="360" w:lineRule="auto"/>
      </w:pPr>
      <w:bookmarkStart w:id="90" w:name="ref-Buche2024"/>
      <w:bookmarkEnd w:id="89"/>
      <w:r>
        <w:lastRenderedPageBreak/>
        <w:t xml:space="preserve">70. </w:t>
      </w:r>
      <w:r>
        <w:tab/>
        <w:t xml:space="preserve">Buche, L. </w:t>
      </w:r>
      <w:r>
        <w:rPr>
          <w:i/>
          <w:iCs/>
        </w:rPr>
        <w:t>et al.</w:t>
      </w:r>
      <w:r>
        <w:t xml:space="preserve"> (2024) </w:t>
      </w:r>
      <w:hyperlink r:id="rId63">
        <w:r>
          <w:rPr>
            <w:rStyle w:val="Hyperlink"/>
          </w:rPr>
          <w:t>Multitrophic higher-order interactions modulate species persistence</w:t>
        </w:r>
      </w:hyperlink>
      <w:r>
        <w:t xml:space="preserve">. </w:t>
      </w:r>
      <w:r>
        <w:rPr>
          <w:i/>
          <w:iCs/>
        </w:rPr>
        <w:t>Am. Nat.</w:t>
      </w:r>
      <w:r>
        <w:t xml:space="preserve"> 203, 458–472</w:t>
      </w:r>
    </w:p>
    <w:p w14:paraId="53244EFA" w14:textId="77777777" w:rsidR="007C0051" w:rsidRDefault="00000000" w:rsidP="00995EE0">
      <w:pPr>
        <w:pStyle w:val="Bibliography"/>
        <w:spacing w:line="360" w:lineRule="auto"/>
      </w:pPr>
      <w:bookmarkStart w:id="91" w:name="ref-Buche2025"/>
      <w:bookmarkEnd w:id="90"/>
      <w:r>
        <w:t xml:space="preserve">71. </w:t>
      </w:r>
      <w:r>
        <w:tab/>
        <w:t xml:space="preserve">Buche, L. </w:t>
      </w:r>
      <w:r>
        <w:rPr>
          <w:i/>
          <w:iCs/>
        </w:rPr>
        <w:t>et al.</w:t>
      </w:r>
      <w:r>
        <w:t xml:space="preserve"> (2025) </w:t>
      </w:r>
      <w:hyperlink r:id="rId64">
        <w:r>
          <w:rPr>
            <w:rStyle w:val="Hyperlink"/>
          </w:rPr>
          <w:t>A continuum from positive to negative interactions drives plant species’ performance in a diverse community</w:t>
        </w:r>
      </w:hyperlink>
      <w:r>
        <w:t xml:space="preserve">. </w:t>
      </w:r>
      <w:r>
        <w:rPr>
          <w:i/>
          <w:iCs/>
        </w:rPr>
        <w:t>Ecol. Lett.</w:t>
      </w:r>
      <w:r>
        <w:t xml:space="preserve"> 28, e70059</w:t>
      </w:r>
    </w:p>
    <w:p w14:paraId="32F6B4AC" w14:textId="77777777" w:rsidR="007C0051" w:rsidRDefault="00000000" w:rsidP="00995EE0">
      <w:pPr>
        <w:pStyle w:val="Bibliography"/>
        <w:spacing w:line="360" w:lineRule="auto"/>
      </w:pPr>
      <w:bookmarkStart w:id="92" w:name="ref-Ricker1954a"/>
      <w:bookmarkEnd w:id="91"/>
      <w:r>
        <w:t xml:space="preserve">72. </w:t>
      </w:r>
      <w:r>
        <w:tab/>
        <w:t xml:space="preserve">Ricker, W.E. (1954) </w:t>
      </w:r>
      <w:hyperlink r:id="rId65">
        <w:r>
          <w:rPr>
            <w:rStyle w:val="Hyperlink"/>
          </w:rPr>
          <w:t>Stock and recruitment</w:t>
        </w:r>
      </w:hyperlink>
      <w:r>
        <w:t xml:space="preserve">. </w:t>
      </w:r>
      <w:r>
        <w:rPr>
          <w:i/>
          <w:iCs/>
        </w:rPr>
        <w:t>J. Fish. Res. Board Can.</w:t>
      </w:r>
      <w:r>
        <w:t xml:space="preserve"> 11, 559–623</w:t>
      </w:r>
    </w:p>
    <w:p w14:paraId="3D7DFAE2" w14:textId="77777777" w:rsidR="007C0051" w:rsidRDefault="00000000" w:rsidP="00995EE0">
      <w:pPr>
        <w:pStyle w:val="Bibliography"/>
        <w:spacing w:line="360" w:lineRule="auto"/>
      </w:pPr>
      <w:bookmarkStart w:id="93" w:name="ref-Beverton2012"/>
      <w:bookmarkEnd w:id="92"/>
      <w:r>
        <w:t xml:space="preserve">73. </w:t>
      </w:r>
      <w:r>
        <w:tab/>
        <w:t xml:space="preserve">Beverton, R.J.H. and Holt, S. (2012) </w:t>
      </w:r>
      <w:hyperlink r:id="rId66">
        <w:r>
          <w:rPr>
            <w:rStyle w:val="Hyperlink"/>
            <w:i/>
            <w:iCs/>
          </w:rPr>
          <w:t>On the dynamics of exploited fish populations</w:t>
        </w:r>
      </w:hyperlink>
      <w:r>
        <w:t>, Springer</w:t>
      </w:r>
    </w:p>
    <w:p w14:paraId="250E861F" w14:textId="77777777" w:rsidR="007C0051" w:rsidRDefault="00000000" w:rsidP="00995EE0">
      <w:pPr>
        <w:pStyle w:val="Bibliography"/>
        <w:spacing w:line="360" w:lineRule="auto"/>
      </w:pPr>
      <w:bookmarkStart w:id="94" w:name="ref-Levine2009"/>
      <w:bookmarkEnd w:id="93"/>
      <w:r>
        <w:t xml:space="preserve">74. </w:t>
      </w:r>
      <w:r>
        <w:tab/>
        <w:t xml:space="preserve">Levine, J.M. and HilleRisLambers, J. (2009) </w:t>
      </w:r>
      <w:hyperlink r:id="rId67">
        <w:r>
          <w:rPr>
            <w:rStyle w:val="Hyperlink"/>
          </w:rPr>
          <w:t>The importance of niches for the maintenance of species diversity</w:t>
        </w:r>
      </w:hyperlink>
      <w:r>
        <w:t xml:space="preserve">. </w:t>
      </w:r>
      <w:r>
        <w:rPr>
          <w:i/>
          <w:iCs/>
        </w:rPr>
        <w:t>Nature</w:t>
      </w:r>
      <w:r>
        <w:t xml:space="preserve"> 461, 254–257</w:t>
      </w:r>
    </w:p>
    <w:p w14:paraId="393C1AD2" w14:textId="77777777" w:rsidR="007C0051" w:rsidRDefault="00000000" w:rsidP="00995EE0">
      <w:pPr>
        <w:pStyle w:val="Bibliography"/>
        <w:spacing w:line="360" w:lineRule="auto"/>
      </w:pPr>
      <w:bookmarkStart w:id="95" w:name="ref-Wainwright2019"/>
      <w:bookmarkEnd w:id="94"/>
      <w:r>
        <w:t xml:space="preserve">75. </w:t>
      </w:r>
      <w:r>
        <w:tab/>
        <w:t xml:space="preserve">Wainwright, C.E. </w:t>
      </w:r>
      <w:r>
        <w:rPr>
          <w:i/>
          <w:iCs/>
        </w:rPr>
        <w:t>et al.</w:t>
      </w:r>
      <w:r>
        <w:t xml:space="preserve"> (2019) </w:t>
      </w:r>
      <w:hyperlink r:id="rId68">
        <w:r>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51DDAFAC" w14:textId="77777777" w:rsidR="007C0051" w:rsidRDefault="00000000" w:rsidP="00995EE0">
      <w:pPr>
        <w:pStyle w:val="Bibliography"/>
        <w:spacing w:line="360" w:lineRule="auto"/>
      </w:pPr>
      <w:bookmarkStart w:id="96" w:name="ref-Mayfield2017"/>
      <w:bookmarkEnd w:id="95"/>
      <w:r>
        <w:t xml:space="preserve">76. </w:t>
      </w:r>
      <w:r>
        <w:tab/>
        <w:t xml:space="preserve">Mayfield, M. and Stouffer, D.B. (2017) </w:t>
      </w:r>
      <w:hyperlink r:id="rId69">
        <w:r>
          <w:rPr>
            <w:rStyle w:val="Hyperlink"/>
          </w:rPr>
          <w:t>Higher-order interactions capture unexplained complexity in diverse communities</w:t>
        </w:r>
      </w:hyperlink>
      <w:r>
        <w:t xml:space="preserve">. </w:t>
      </w:r>
      <w:r>
        <w:rPr>
          <w:i/>
          <w:iCs/>
        </w:rPr>
        <w:t>Nature Ecology &amp;Evolution</w:t>
      </w:r>
      <w:r>
        <w:t xml:space="preserve"> 1, 0062</w:t>
      </w:r>
    </w:p>
    <w:p w14:paraId="40A93AF7" w14:textId="77777777" w:rsidR="007C0051" w:rsidRDefault="00000000" w:rsidP="00995EE0">
      <w:pPr>
        <w:pStyle w:val="Bibliography"/>
        <w:spacing w:line="360" w:lineRule="auto"/>
      </w:pPr>
      <w:bookmarkStart w:id="97" w:name="ref-Martyn2021"/>
      <w:bookmarkEnd w:id="96"/>
      <w:r>
        <w:t xml:space="preserve">77. </w:t>
      </w:r>
      <w:r>
        <w:tab/>
        <w:t xml:space="preserve">Martyn, T.E. </w:t>
      </w:r>
      <w:r>
        <w:rPr>
          <w:i/>
          <w:iCs/>
        </w:rPr>
        <w:t>et al.</w:t>
      </w:r>
      <w:r>
        <w:t xml:space="preserve"> (2021) </w:t>
      </w:r>
      <w:hyperlink r:id="rId70">
        <w:r>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3747FBA2" w14:textId="77777777" w:rsidR="007C0051" w:rsidRDefault="00000000" w:rsidP="00995EE0">
      <w:pPr>
        <w:pStyle w:val="Bibliography"/>
        <w:spacing w:line="360" w:lineRule="auto"/>
      </w:pPr>
      <w:bookmarkStart w:id="98" w:name="ref-Llandres2015"/>
      <w:bookmarkEnd w:id="97"/>
      <w:r>
        <w:t xml:space="preserve">78. </w:t>
      </w:r>
      <w:r>
        <w:tab/>
        <w:t xml:space="preserve">Llandres, A.L. </w:t>
      </w:r>
      <w:r>
        <w:rPr>
          <w:i/>
          <w:iCs/>
        </w:rPr>
        <w:t>et al.</w:t>
      </w:r>
      <w:r>
        <w:t xml:space="preserve"> (2015) </w:t>
      </w:r>
      <w:hyperlink r:id="rId71">
        <w:r>
          <w:rPr>
            <w:rStyle w:val="Hyperlink"/>
          </w:rPr>
          <w:t>A dynamic energy budget for the whole life-cycle of holometabolous insects</w:t>
        </w:r>
      </w:hyperlink>
      <w:r>
        <w:t xml:space="preserve">. </w:t>
      </w:r>
      <w:r>
        <w:rPr>
          <w:i/>
          <w:iCs/>
        </w:rPr>
        <w:t>Ecol. Monogr.</w:t>
      </w:r>
      <w:r>
        <w:t xml:space="preserve"> 85, 353–371</w:t>
      </w:r>
    </w:p>
    <w:p w14:paraId="5F8D50E3" w14:textId="77777777" w:rsidR="007C0051" w:rsidRDefault="00000000" w:rsidP="00995EE0">
      <w:pPr>
        <w:pStyle w:val="Bibliography"/>
        <w:spacing w:line="360" w:lineRule="auto"/>
      </w:pPr>
      <w:bookmarkStart w:id="99" w:name="ref-Shekhawat2022"/>
      <w:bookmarkEnd w:id="98"/>
      <w:r>
        <w:t xml:space="preserve">79. </w:t>
      </w:r>
      <w:r>
        <w:tab/>
        <w:t xml:space="preserve">Shekhawat, K. </w:t>
      </w:r>
      <w:r>
        <w:rPr>
          <w:i/>
          <w:iCs/>
        </w:rPr>
        <w:t>et al.</w:t>
      </w:r>
      <w:r>
        <w:t xml:space="preserve"> (2022) </w:t>
      </w:r>
      <w:hyperlink r:id="rId72">
        <w:r>
          <w:rPr>
            <w:rStyle w:val="Hyperlink"/>
          </w:rPr>
          <w:t>Beat the heat: Plant- and microbe-mediated strategies for crop thermotolerance</w:t>
        </w:r>
      </w:hyperlink>
      <w:r>
        <w:t xml:space="preserve">. </w:t>
      </w:r>
      <w:r>
        <w:rPr>
          <w:i/>
          <w:iCs/>
        </w:rPr>
        <w:t>Trends Plant Sci.</w:t>
      </w:r>
      <w:r>
        <w:t xml:space="preserve"> 27, 802–813</w:t>
      </w:r>
    </w:p>
    <w:p w14:paraId="4B6508E7" w14:textId="77777777" w:rsidR="007C0051" w:rsidRDefault="00000000" w:rsidP="00995EE0">
      <w:pPr>
        <w:pStyle w:val="Bibliography"/>
        <w:spacing w:line="360" w:lineRule="auto"/>
      </w:pPr>
      <w:bookmarkStart w:id="100" w:name="ref-Baeckens2025"/>
      <w:bookmarkEnd w:id="99"/>
      <w:r>
        <w:t xml:space="preserve">80. </w:t>
      </w:r>
      <w:r>
        <w:tab/>
        <w:t xml:space="preserve">Baeckens, S. and Donihue, C.M. (2025) Evolutionary consequences of extreme climate events. </w:t>
      </w:r>
      <w:r>
        <w:rPr>
          <w:i/>
          <w:iCs/>
        </w:rPr>
        <w:t>Current Biology</w:t>
      </w:r>
      <w:r>
        <w:t xml:space="preserve"> 35, R850–R864</w:t>
      </w:r>
    </w:p>
    <w:p w14:paraId="7E136A18" w14:textId="77777777" w:rsidR="007C0051" w:rsidRDefault="00000000" w:rsidP="00995EE0">
      <w:pPr>
        <w:pStyle w:val="Bibliography"/>
        <w:spacing w:line="360" w:lineRule="auto"/>
      </w:pPr>
      <w:bookmarkStart w:id="101" w:name="ref-Urban2024"/>
      <w:bookmarkEnd w:id="100"/>
      <w:r>
        <w:t xml:space="preserve">81. </w:t>
      </w:r>
      <w:r>
        <w:tab/>
        <w:t xml:space="preserve">Urban, M.C. (2024) </w:t>
      </w:r>
      <w:hyperlink r:id="rId73">
        <w:r>
          <w:rPr>
            <w:rStyle w:val="Hyperlink"/>
          </w:rPr>
          <w:t>Climate change extinctions</w:t>
        </w:r>
      </w:hyperlink>
      <w:r>
        <w:t xml:space="preserve">. </w:t>
      </w:r>
      <w:r>
        <w:rPr>
          <w:i/>
          <w:iCs/>
        </w:rPr>
        <w:t>Science</w:t>
      </w:r>
      <w:r>
        <w:t xml:space="preserve"> 386, 1123–1128</w:t>
      </w:r>
    </w:p>
    <w:p w14:paraId="49DA154D" w14:textId="77777777" w:rsidR="007C0051" w:rsidRDefault="00000000" w:rsidP="00995EE0">
      <w:pPr>
        <w:pStyle w:val="Bibliography"/>
        <w:spacing w:line="360" w:lineRule="auto"/>
      </w:pPr>
      <w:bookmarkStart w:id="102" w:name="ref-Munoz-Sabater2021"/>
      <w:bookmarkEnd w:id="101"/>
      <w:r>
        <w:t xml:space="preserve">82.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4E700B1B" w14:textId="77777777" w:rsidR="007C0051" w:rsidRDefault="00000000" w:rsidP="00995EE0">
      <w:pPr>
        <w:pStyle w:val="Bibliography"/>
        <w:spacing w:line="360" w:lineRule="auto"/>
      </w:pPr>
      <w:bookmarkStart w:id="103" w:name="ref-Eyring2016"/>
      <w:bookmarkEnd w:id="102"/>
      <w:r>
        <w:t xml:space="preserve">83. </w:t>
      </w:r>
      <w:r>
        <w:tab/>
        <w:t xml:space="preserve">Eyring, V. </w:t>
      </w:r>
      <w:r>
        <w:rPr>
          <w:i/>
          <w:iCs/>
        </w:rPr>
        <w:t>et al.</w:t>
      </w:r>
      <w:r>
        <w:t xml:space="preserve"> (2016) </w:t>
      </w:r>
      <w:hyperlink r:id="rId74">
        <w:r>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3B66E65F" w14:textId="77777777" w:rsidR="007C0051" w:rsidRDefault="00000000" w:rsidP="00995EE0">
      <w:pPr>
        <w:pStyle w:val="Bibliography"/>
        <w:spacing w:line="360" w:lineRule="auto"/>
      </w:pPr>
      <w:bookmarkStart w:id="104" w:name="ref-Chevin2017"/>
      <w:bookmarkEnd w:id="103"/>
      <w:r>
        <w:t xml:space="preserve">84. </w:t>
      </w:r>
      <w:r>
        <w:tab/>
        <w:t xml:space="preserve">Chevin, L.-M. and Hoffmann, A.A. (2017) </w:t>
      </w:r>
      <w:hyperlink r:id="rId75">
        <w:r>
          <w:rPr>
            <w:rStyle w:val="Hyperlink"/>
          </w:rPr>
          <w:t>Evolution of phenotypic plasticity in extreme environments</w:t>
        </w:r>
      </w:hyperlink>
      <w:r>
        <w:t xml:space="preserve">. </w:t>
      </w:r>
      <w:r>
        <w:rPr>
          <w:i/>
          <w:iCs/>
        </w:rPr>
        <w:t>Philos. Trans. R. Soc. Lond. B Biol. Sci.</w:t>
      </w:r>
      <w:r>
        <w:t xml:space="preserve"> 372</w:t>
      </w:r>
    </w:p>
    <w:p w14:paraId="75A0A300" w14:textId="77777777" w:rsidR="007C0051" w:rsidRDefault="00000000" w:rsidP="00995EE0">
      <w:pPr>
        <w:pStyle w:val="Bibliography"/>
        <w:spacing w:line="360" w:lineRule="auto"/>
      </w:pPr>
      <w:bookmarkStart w:id="105" w:name="ref-Hoffmann2022"/>
      <w:bookmarkEnd w:id="104"/>
      <w:r>
        <w:lastRenderedPageBreak/>
        <w:t xml:space="preserve">85. </w:t>
      </w:r>
      <w:r>
        <w:tab/>
        <w:t xml:space="preserve">Hoffmann, A.A. and Bridle, J. (2022) </w:t>
      </w:r>
      <w:hyperlink r:id="rId76">
        <w:r>
          <w:rPr>
            <w:rStyle w:val="Hyperlink"/>
          </w:rPr>
          <w:t>The dangers of irreversibility in an age of increased uncertainty: Revisiting plasticity in invertebrates</w:t>
        </w:r>
      </w:hyperlink>
      <w:r>
        <w:t xml:space="preserve">. </w:t>
      </w:r>
      <w:r>
        <w:rPr>
          <w:i/>
          <w:iCs/>
        </w:rPr>
        <w:t>Oikos</w:t>
      </w:r>
      <w:r>
        <w:t xml:space="preserve"> 2022</w:t>
      </w:r>
    </w:p>
    <w:p w14:paraId="2E9A24B2" w14:textId="77777777" w:rsidR="007C0051" w:rsidRDefault="00000000" w:rsidP="00995EE0">
      <w:pPr>
        <w:pStyle w:val="Bibliography"/>
        <w:spacing w:line="360" w:lineRule="auto"/>
      </w:pPr>
      <w:bookmarkStart w:id="106" w:name="ref-Hoffmann2011"/>
      <w:bookmarkEnd w:id="105"/>
      <w:r>
        <w:t xml:space="preserve">86. </w:t>
      </w:r>
      <w:r>
        <w:tab/>
        <w:t>Hoffmann, A.A. and Sgrò, C.M. (2011) Climate change and evolutionary adaptation. 470, 479–485</w:t>
      </w:r>
    </w:p>
    <w:p w14:paraId="6A7E9781" w14:textId="77777777" w:rsidR="007C0051" w:rsidRDefault="00000000" w:rsidP="00995EE0">
      <w:pPr>
        <w:pStyle w:val="Bibliography"/>
        <w:spacing w:line="360" w:lineRule="auto"/>
      </w:pPr>
      <w:bookmarkStart w:id="107" w:name="ref-Catullo2019"/>
      <w:bookmarkEnd w:id="106"/>
      <w:r>
        <w:t xml:space="preserve">87. </w:t>
      </w:r>
      <w:r>
        <w:tab/>
        <w:t xml:space="preserve">Catullo, R.A. </w:t>
      </w:r>
      <w:r>
        <w:rPr>
          <w:i/>
          <w:iCs/>
        </w:rPr>
        <w:t>et al.</w:t>
      </w:r>
      <w:r>
        <w:t xml:space="preserve"> (2019) The potential for rapid evolution under anthropogenic climate change. 29, R996–R1007</w:t>
      </w:r>
    </w:p>
    <w:p w14:paraId="15871DB6" w14:textId="77777777" w:rsidR="007C0051" w:rsidRDefault="00000000" w:rsidP="00995EE0">
      <w:pPr>
        <w:pStyle w:val="Bibliography"/>
        <w:spacing w:line="360" w:lineRule="auto"/>
      </w:pPr>
      <w:bookmarkStart w:id="108" w:name="ref-Ghalambor2015"/>
      <w:bookmarkEnd w:id="107"/>
      <w:r>
        <w:t xml:space="preserve">88. </w:t>
      </w:r>
      <w:r>
        <w:tab/>
        <w:t xml:space="preserve">Ghalambor, C. </w:t>
      </w:r>
      <w:r>
        <w:rPr>
          <w:i/>
          <w:iCs/>
        </w:rPr>
        <w:t>et al.</w:t>
      </w:r>
      <w:r>
        <w:t xml:space="preserve"> (2015) </w:t>
      </w:r>
      <w:hyperlink r:id="rId77">
        <w:r>
          <w:rPr>
            <w:rStyle w:val="Hyperlink"/>
          </w:rPr>
          <w:t>Non-adaptive plasticity potentiates rapid adaptive evolution of gene expression in nature</w:t>
        </w:r>
      </w:hyperlink>
      <w:r>
        <w:t xml:space="preserve">. </w:t>
      </w:r>
      <w:r>
        <w:rPr>
          <w:i/>
          <w:iCs/>
        </w:rPr>
        <w:t>Nature</w:t>
      </w:r>
      <w:r>
        <w:t xml:space="preserve"> 525, 372–375</w:t>
      </w:r>
    </w:p>
    <w:p w14:paraId="7B8B8D87" w14:textId="77777777" w:rsidR="007C0051" w:rsidRDefault="00000000" w:rsidP="00995EE0">
      <w:pPr>
        <w:pStyle w:val="Bibliography"/>
        <w:spacing w:line="360" w:lineRule="auto"/>
      </w:pPr>
      <w:bookmarkStart w:id="109" w:name="ref-Sousa2010"/>
      <w:bookmarkEnd w:id="108"/>
      <w:r>
        <w:t xml:space="preserve">89. </w:t>
      </w:r>
      <w:r>
        <w:tab/>
        <w:t xml:space="preserve">Sousa, T. </w:t>
      </w:r>
      <w:r>
        <w:rPr>
          <w:i/>
          <w:iCs/>
        </w:rPr>
        <w:t>et al.</w:t>
      </w:r>
      <w:r>
        <w:t xml:space="preserve"> (2010) </w:t>
      </w:r>
      <w:hyperlink r:id="rId78">
        <w:r>
          <w:rPr>
            <w:rStyle w:val="Hyperlink"/>
          </w:rPr>
          <w:t>Dynamic energy budget theory restores coherence in biology</w:t>
        </w:r>
      </w:hyperlink>
      <w:r>
        <w:t xml:space="preserve">. </w:t>
      </w:r>
      <w:r>
        <w:rPr>
          <w:i/>
          <w:iCs/>
        </w:rPr>
        <w:t>Philos. Trans. R. Soc. Lond. B Biol. Sci.</w:t>
      </w:r>
      <w:r>
        <w:t xml:space="preserve"> 365, 3413–3428</w:t>
      </w:r>
    </w:p>
    <w:p w14:paraId="33C18003" w14:textId="77777777" w:rsidR="007C0051" w:rsidRDefault="00000000" w:rsidP="00995EE0">
      <w:pPr>
        <w:pStyle w:val="Bibliography"/>
        <w:spacing w:line="360" w:lineRule="auto"/>
      </w:pPr>
      <w:bookmarkStart w:id="110" w:name="ref-Kearney2009a"/>
      <w:bookmarkEnd w:id="109"/>
      <w:r>
        <w:t xml:space="preserve">90.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2158B242" w14:textId="77777777" w:rsidR="007C0051" w:rsidRDefault="00000000" w:rsidP="00995EE0">
      <w:pPr>
        <w:pStyle w:val="Bibliography"/>
        <w:spacing w:line="360" w:lineRule="auto"/>
      </w:pPr>
      <w:bookmarkStart w:id="111" w:name="ref-Lande1979"/>
      <w:bookmarkEnd w:id="110"/>
      <w:r>
        <w:t xml:space="preserve">91. </w:t>
      </w:r>
      <w:r>
        <w:tab/>
        <w:t xml:space="preserve">Lande, R. (1979) </w:t>
      </w:r>
      <w:hyperlink r:id="rId79">
        <w:r>
          <w:rPr>
            <w:rStyle w:val="Hyperlink"/>
          </w:rPr>
          <w:t>Quantitative genetic analysis of multivariate evolution, applied to brain:body size allometry</w:t>
        </w:r>
      </w:hyperlink>
      <w:r>
        <w:t xml:space="preserve">. </w:t>
      </w:r>
      <w:r>
        <w:rPr>
          <w:i/>
          <w:iCs/>
        </w:rPr>
        <w:t>Evolution</w:t>
      </w:r>
      <w:r>
        <w:t xml:space="preserve"> 33</w:t>
      </w:r>
    </w:p>
    <w:p w14:paraId="62BB462C" w14:textId="77777777" w:rsidR="007C0051" w:rsidRDefault="00000000" w:rsidP="00995EE0">
      <w:pPr>
        <w:pStyle w:val="Bibliography"/>
        <w:spacing w:line="360" w:lineRule="auto"/>
      </w:pPr>
      <w:bookmarkStart w:id="112" w:name="ref-Walsh2018"/>
      <w:bookmarkEnd w:id="111"/>
      <w:r>
        <w:t xml:space="preserve">92. </w:t>
      </w:r>
      <w:r>
        <w:tab/>
        <w:t xml:space="preserve">Walsh, B. and Lynch, M. (2018) </w:t>
      </w:r>
      <w:hyperlink r:id="rId80">
        <w:r>
          <w:rPr>
            <w:rStyle w:val="Hyperlink"/>
            <w:i/>
            <w:iCs/>
          </w:rPr>
          <w:t>Evolution and selection of quantitative traits</w:t>
        </w:r>
      </w:hyperlink>
      <w:r>
        <w:t>, Oxford University Press</w:t>
      </w:r>
    </w:p>
    <w:p w14:paraId="457FE8AA" w14:textId="77777777" w:rsidR="007C0051" w:rsidRDefault="00000000" w:rsidP="00995EE0">
      <w:pPr>
        <w:pStyle w:val="Bibliography"/>
        <w:spacing w:line="360" w:lineRule="auto"/>
      </w:pPr>
      <w:bookmarkStart w:id="113" w:name="ref-McGlothlin2014a"/>
      <w:bookmarkEnd w:id="112"/>
      <w:r>
        <w:t xml:space="preserve">93. </w:t>
      </w:r>
      <w:r>
        <w:tab/>
        <w:t xml:space="preserve">McGlothlin, J. and Galloway, L. (2014) </w:t>
      </w:r>
      <w:hyperlink r:id="rId81">
        <w:r>
          <w:rPr>
            <w:rStyle w:val="Hyperlink"/>
          </w:rPr>
          <w:t>The contribution of maternal effects to selection response: An empirical test of competing models</w:t>
        </w:r>
      </w:hyperlink>
      <w:r>
        <w:t xml:space="preserve">. </w:t>
      </w:r>
      <w:r>
        <w:rPr>
          <w:i/>
          <w:iCs/>
        </w:rPr>
        <w:t>Evolution</w:t>
      </w:r>
      <w:r>
        <w:t xml:space="preserve"> 68</w:t>
      </w:r>
    </w:p>
    <w:p w14:paraId="570DA410" w14:textId="77777777" w:rsidR="007C0051" w:rsidRDefault="00000000" w:rsidP="00995EE0">
      <w:pPr>
        <w:pStyle w:val="Bibliography"/>
        <w:spacing w:line="360" w:lineRule="auto"/>
      </w:pPr>
      <w:bookmarkStart w:id="114" w:name="ref-Urban2016"/>
      <w:bookmarkEnd w:id="113"/>
      <w:r>
        <w:t xml:space="preserve">94. </w:t>
      </w:r>
      <w:r>
        <w:tab/>
        <w:t xml:space="preserve">Urban, M.C. </w:t>
      </w:r>
      <w:r>
        <w:rPr>
          <w:i/>
          <w:iCs/>
        </w:rPr>
        <w:t>et al.</w:t>
      </w:r>
      <w:r>
        <w:t xml:space="preserve"> (2016) </w:t>
      </w:r>
      <w:hyperlink r:id="rId82">
        <w:r>
          <w:rPr>
            <w:rStyle w:val="Hyperlink"/>
          </w:rPr>
          <w:t>Improving the forecast for biodiversity under climate change</w:t>
        </w:r>
      </w:hyperlink>
      <w:r>
        <w:t xml:space="preserve">. </w:t>
      </w:r>
      <w:r>
        <w:rPr>
          <w:i/>
          <w:iCs/>
        </w:rPr>
        <w:t>Science</w:t>
      </w:r>
      <w:r>
        <w:t xml:space="preserve"> 353, aad8466–aad8466</w:t>
      </w:r>
    </w:p>
    <w:p w14:paraId="415BDFA4" w14:textId="77777777" w:rsidR="007C0051" w:rsidRDefault="00000000" w:rsidP="00995EE0">
      <w:pPr>
        <w:pStyle w:val="Bibliography"/>
        <w:spacing w:line="360" w:lineRule="auto"/>
      </w:pPr>
      <w:bookmarkStart w:id="115" w:name="ref-Kattge2020"/>
      <w:bookmarkEnd w:id="114"/>
      <w:r>
        <w:t xml:space="preserve">95. </w:t>
      </w:r>
      <w:r>
        <w:tab/>
        <w:t xml:space="preserve">Kattge, J. </w:t>
      </w:r>
      <w:r>
        <w:rPr>
          <w:i/>
          <w:iCs/>
        </w:rPr>
        <w:t>et al.</w:t>
      </w:r>
      <w:r>
        <w:t xml:space="preserve"> (2020) </w:t>
      </w:r>
      <w:hyperlink r:id="rId83">
        <w:r>
          <w:rPr>
            <w:rStyle w:val="Hyperlink"/>
          </w:rPr>
          <w:t>TRY plant trait database - enhanced coverage and open access</w:t>
        </w:r>
      </w:hyperlink>
      <w:r>
        <w:t xml:space="preserve">. </w:t>
      </w:r>
      <w:r>
        <w:rPr>
          <w:i/>
          <w:iCs/>
        </w:rPr>
        <w:t>Glob. Chang. Biol.</w:t>
      </w:r>
      <w:r>
        <w:t xml:space="preserve"> 26, 119–188</w:t>
      </w:r>
    </w:p>
    <w:p w14:paraId="7C9F6AA5" w14:textId="77777777" w:rsidR="007C0051" w:rsidRDefault="00000000" w:rsidP="00995EE0">
      <w:pPr>
        <w:pStyle w:val="Bibliography"/>
        <w:spacing w:line="360" w:lineRule="auto"/>
      </w:pPr>
      <w:bookmarkStart w:id="116" w:name="ref-Leiva2025"/>
      <w:bookmarkEnd w:id="115"/>
      <w:r>
        <w:t xml:space="preserve">96. </w:t>
      </w:r>
      <w:r>
        <w:tab/>
        <w:t xml:space="preserve">Leiva, F.P. </w:t>
      </w:r>
      <w:r>
        <w:rPr>
          <w:i/>
          <w:iCs/>
        </w:rPr>
        <w:t>et al.</w:t>
      </w:r>
      <w:r>
        <w:t xml:space="preserve"> (2025) ShareTrait: Towards interoperable and reusable individual trait‐based data in ectotherms. </w:t>
      </w:r>
      <w:r>
        <w:rPr>
          <w:i/>
          <w:iCs/>
        </w:rPr>
        <w:t>Funct. Ecol.</w:t>
      </w:r>
      <w:r>
        <w:t xml:space="preserve"> DOI: </w:t>
      </w:r>
      <w:hyperlink r:id="rId84">
        <w:r>
          <w:rPr>
            <w:rStyle w:val="Hyperlink"/>
          </w:rPr>
          <w:t>10.1111/1365-2435.70147</w:t>
        </w:r>
      </w:hyperlink>
    </w:p>
    <w:p w14:paraId="0ACB3481" w14:textId="77777777" w:rsidR="007C0051" w:rsidRDefault="00000000" w:rsidP="00995EE0">
      <w:pPr>
        <w:pStyle w:val="Bibliography"/>
        <w:spacing w:line="360" w:lineRule="auto"/>
      </w:pPr>
      <w:bookmarkStart w:id="117" w:name="ref-Weiss-Lehman2022"/>
      <w:bookmarkEnd w:id="116"/>
      <w:r>
        <w:t xml:space="preserve">97.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30A9F661" w14:textId="77777777" w:rsidR="007C0051" w:rsidRDefault="00000000" w:rsidP="00995EE0">
      <w:pPr>
        <w:pStyle w:val="Bibliography"/>
        <w:spacing w:line="360" w:lineRule="auto"/>
      </w:pPr>
      <w:bookmarkStart w:id="118" w:name="ref-Dudney2025"/>
      <w:bookmarkEnd w:id="117"/>
      <w:r>
        <w:t xml:space="preserve">98. </w:t>
      </w:r>
      <w:r>
        <w:tab/>
        <w:t xml:space="preserve">Dudney, J. </w:t>
      </w:r>
      <w:r>
        <w:rPr>
          <w:i/>
          <w:iCs/>
        </w:rPr>
        <w:t>et al.</w:t>
      </w:r>
      <w:r>
        <w:t xml:space="preserve"> (2025) </w:t>
      </w:r>
      <w:hyperlink r:id="rId85">
        <w:r>
          <w:rPr>
            <w:rStyle w:val="Hyperlink"/>
          </w:rPr>
          <w:t>A causal inference framework for climate change attribution in ecology</w:t>
        </w:r>
      </w:hyperlink>
      <w:r>
        <w:t xml:space="preserve">. </w:t>
      </w:r>
      <w:r>
        <w:rPr>
          <w:i/>
          <w:iCs/>
        </w:rPr>
        <w:t>Ecol. Lett.</w:t>
      </w:r>
      <w:r>
        <w:t xml:space="preserve"> 28, e70192</w:t>
      </w:r>
    </w:p>
    <w:p w14:paraId="035DC5F4" w14:textId="77777777" w:rsidR="007C0051" w:rsidRDefault="00000000" w:rsidP="00995EE0">
      <w:pPr>
        <w:pStyle w:val="Bibliography"/>
        <w:spacing w:line="360" w:lineRule="auto"/>
      </w:pPr>
      <w:bookmarkStart w:id="119" w:name="ref-Carroll2023"/>
      <w:bookmarkEnd w:id="118"/>
      <w:r>
        <w:lastRenderedPageBreak/>
        <w:t xml:space="preserve">99. </w:t>
      </w:r>
      <w:r>
        <w:tab/>
        <w:t xml:space="preserve">Carroll, T. </w:t>
      </w:r>
      <w:r>
        <w:rPr>
          <w:i/>
          <w:iCs/>
        </w:rPr>
        <w:t>et al.</w:t>
      </w:r>
      <w:r>
        <w:t xml:space="preserve"> (2023) </w:t>
      </w:r>
      <w:hyperlink r:id="rId86">
        <w:r>
          <w:rPr>
            <w:rStyle w:val="Hyperlink"/>
          </w:rPr>
          <w:t>Biodiversity change under adaptive community dynamics</w:t>
        </w:r>
      </w:hyperlink>
      <w:r>
        <w:t xml:space="preserve">. </w:t>
      </w:r>
      <w:r>
        <w:rPr>
          <w:i/>
          <w:iCs/>
        </w:rPr>
        <w:t>Glob. Chang. Biol.</w:t>
      </w:r>
      <w:r>
        <w:t xml:space="preserve"> 29, 3525–3538</w:t>
      </w:r>
    </w:p>
    <w:p w14:paraId="3F7FC588" w14:textId="77777777" w:rsidR="007C0051" w:rsidRDefault="00000000" w:rsidP="00995EE0">
      <w:pPr>
        <w:pStyle w:val="Bibliography"/>
        <w:spacing w:line="360" w:lineRule="auto"/>
      </w:pPr>
      <w:bookmarkStart w:id="120" w:name="ref-Dornhaus2022"/>
      <w:bookmarkEnd w:id="119"/>
      <w:r>
        <w:t xml:space="preserve">100. </w:t>
      </w:r>
      <w:r>
        <w:tab/>
        <w:t xml:space="preserve">Dornhaus, A. </w:t>
      </w:r>
      <w:r>
        <w:rPr>
          <w:i/>
          <w:iCs/>
        </w:rPr>
        <w:t>et al.</w:t>
      </w:r>
      <w:r>
        <w:t xml:space="preserve"> (2022) </w:t>
      </w:r>
      <w:hyperlink r:id="rId87">
        <w:r>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9"/>
    <w:bookmarkEnd w:id="21"/>
    <w:bookmarkEnd w:id="120"/>
    <w:p w14:paraId="23C9CC79" w14:textId="77777777" w:rsidR="007C0051" w:rsidRDefault="007C0051" w:rsidP="00995EE0">
      <w:pPr>
        <w:pStyle w:val="BodyText"/>
        <w:spacing w:line="360" w:lineRule="auto"/>
      </w:pPr>
    </w:p>
    <w:sectPr w:rsidR="007C0051"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8AC677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748380110">
    <w:abstractNumId w:val="10"/>
  </w:num>
  <w:num w:numId="86" w16cid:durableId="12950186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443FC7"/>
    <w:rsid w:val="00553B80"/>
    <w:rsid w:val="00585692"/>
    <w:rsid w:val="005A5007"/>
    <w:rsid w:val="00676013"/>
    <w:rsid w:val="006A2A8B"/>
    <w:rsid w:val="007C0051"/>
    <w:rsid w:val="008F43C3"/>
    <w:rsid w:val="00951576"/>
    <w:rsid w:val="00985454"/>
    <w:rsid w:val="00995EE0"/>
    <w:rsid w:val="00A5574C"/>
    <w:rsid w:val="00BD7096"/>
    <w:rsid w:val="00E3717A"/>
    <w:rsid w:val="00FD04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EB8555"/>
  <w15:docId w15:val="{F752955F-2B24-014B-9BAC-14664B298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627" TargetMode="External"/><Relationship Id="rId21" Type="http://schemas.openxmlformats.org/officeDocument/2006/relationships/hyperlink" Target="https://doi.org/10.1111/1365-2745.13030" TargetMode="External"/><Relationship Id="rId42" Type="http://schemas.openxmlformats.org/officeDocument/2006/relationships/hyperlink" Target="https://doi.org/10.3389/fevo.2022.813567" TargetMode="External"/><Relationship Id="rId47" Type="http://schemas.openxmlformats.org/officeDocument/2006/relationships/hyperlink" Target="https://doi.org/10.1111/1365-2435.70038" TargetMode="External"/><Relationship Id="rId63" Type="http://schemas.openxmlformats.org/officeDocument/2006/relationships/hyperlink" Target="https://doi.org/10.1086/729222" TargetMode="External"/><Relationship Id="rId68" Type="http://schemas.openxmlformats.org/officeDocument/2006/relationships/hyperlink" Target="https://doi.org/10.1111/1365-2745.13056" TargetMode="External"/><Relationship Id="rId84" Type="http://schemas.openxmlformats.org/officeDocument/2006/relationships/hyperlink" Target="https://doi.org/10.1111/1365-2435.70147" TargetMode="External"/><Relationship Id="rId89" Type="http://schemas.openxmlformats.org/officeDocument/2006/relationships/theme" Target="theme/theme1.xml"/><Relationship Id="rId16" Type="http://schemas.openxmlformats.org/officeDocument/2006/relationships/hyperlink" Target="https://doi.org/10.1111/ele.14376"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016/j.envsoft.2018.02.002" TargetMode="External"/><Relationship Id="rId37" Type="http://schemas.openxmlformats.org/officeDocument/2006/relationships/hyperlink" Target="https://doi.org/10.1371/journal.pone.0143346" TargetMode="External"/><Relationship Id="rId53" Type="http://schemas.openxmlformats.org/officeDocument/2006/relationships/hyperlink" Target="https://doi.org/10.1111/J.1365-2656.2000.00448.X" TargetMode="External"/><Relationship Id="rId58" Type="http://schemas.openxmlformats.org/officeDocument/2006/relationships/hyperlink" Target="https://doi.org/10.1093/nar/gkp370" TargetMode="External"/><Relationship Id="rId74" Type="http://schemas.openxmlformats.org/officeDocument/2006/relationships/hyperlink" Target="https://doi.org/10.5194/gmd-9-1937-2016" TargetMode="External"/><Relationship Id="rId79" Type="http://schemas.openxmlformats.org/officeDocument/2006/relationships/hyperlink" Target="https://doi.org/10.1111/j.1558-5646.1979.tb04694.x" TargetMode="External"/><Relationship Id="rId5" Type="http://schemas.openxmlformats.org/officeDocument/2006/relationships/image" Target="media/image1.png"/><Relationship Id="rId14" Type="http://schemas.openxmlformats.org/officeDocument/2006/relationships/hyperlink" Target="https://doi.org/10.1126/science.aba9287" TargetMode="External"/><Relationship Id="rId22" Type="http://schemas.openxmlformats.org/officeDocument/2006/relationships/hyperlink" Target="https://doi.org/10.1111/ele.14011" TargetMode="External"/><Relationship Id="rId27" Type="http://schemas.openxmlformats.org/officeDocument/2006/relationships/hyperlink" Target="https://doi.org/10.1371/journal.pclm.0000139" TargetMode="External"/><Relationship Id="rId30" Type="http://schemas.openxmlformats.org/officeDocument/2006/relationships/hyperlink" Target="https://doi.org/10.1002/ecs2.4506" TargetMode="External"/><Relationship Id="rId35" Type="http://schemas.openxmlformats.org/officeDocument/2006/relationships/hyperlink" Target="https://doi.org/10.2307/1948545" TargetMode="External"/><Relationship Id="rId43" Type="http://schemas.openxmlformats.org/officeDocument/2006/relationships/hyperlink" Target="https://doi.org/10.1073/pnas.2408583121" TargetMode="External"/><Relationship Id="rId48" Type="http://schemas.openxmlformats.org/officeDocument/2006/relationships/hyperlink" Target="https://doi.org/10.1007/s11104-013-1761-6" TargetMode="External"/><Relationship Id="rId56" Type="http://schemas.openxmlformats.org/officeDocument/2006/relationships/hyperlink" Target="https://doi.org/10.1371/journal.pcbi.1006100" TargetMode="External"/><Relationship Id="rId64" Type="http://schemas.openxmlformats.org/officeDocument/2006/relationships/hyperlink" Target="https://doi.org/10.1111/ele.70059" TargetMode="External"/><Relationship Id="rId69" Type="http://schemas.openxmlformats.org/officeDocument/2006/relationships/hyperlink" Target="https://doi.org/10.1038/s41559-016-0062" TargetMode="External"/><Relationship Id="rId77" Type="http://schemas.openxmlformats.org/officeDocument/2006/relationships/hyperlink" Target="https://doi.org/10.1038/nature15256" TargetMode="External"/><Relationship Id="rId8" Type="http://schemas.openxmlformats.org/officeDocument/2006/relationships/image" Target="media/image3.png"/><Relationship Id="rId51" Type="http://schemas.openxmlformats.org/officeDocument/2006/relationships/hyperlink" Target="https://doi.org/10.1002/ece3.4983" TargetMode="External"/><Relationship Id="rId72" Type="http://schemas.openxmlformats.org/officeDocument/2006/relationships/hyperlink" Target="https://doi.org/10.1016/j.tplants.2022.02.008" TargetMode="External"/><Relationship Id="rId80" Type="http://schemas.openxmlformats.org/officeDocument/2006/relationships/hyperlink" Target="https://doi.org/10.1093/oso/9780198830870.001.0001" TargetMode="External"/><Relationship Id="rId85" Type="http://schemas.openxmlformats.org/officeDocument/2006/relationships/hyperlink" Target="https://doi.org/10.1111/ele.70192" TargetMode="Externa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006/tpbi.2000.1486" TargetMode="External"/><Relationship Id="rId25" Type="http://schemas.openxmlformats.org/officeDocument/2006/relationships/hyperlink" Target="https://doi.org/10.1111/2041-210x.13330" TargetMode="External"/><Relationship Id="rId33" Type="http://schemas.openxmlformats.org/officeDocument/2006/relationships/hyperlink" Target="https://doi.org/10.1111/j.1365-2486.2010.02375.x" TargetMode="External"/><Relationship Id="rId38" Type="http://schemas.openxmlformats.org/officeDocument/2006/relationships/hyperlink" Target="https://doi.org/10.1126/science.adq4372" TargetMode="External"/><Relationship Id="rId46" Type="http://schemas.openxmlformats.org/officeDocument/2006/relationships/hyperlink" Target="https://doi.org/10.1111/gcb.15976" TargetMode="External"/><Relationship Id="rId59" Type="http://schemas.openxmlformats.org/officeDocument/2006/relationships/hyperlink" Target="https://doi.org/10.1111/nph.15668" TargetMode="External"/><Relationship Id="rId67" Type="http://schemas.openxmlformats.org/officeDocument/2006/relationships/hyperlink" Target="https://doi.org/10.1038/nature08251" TargetMode="External"/><Relationship Id="rId20" Type="http://schemas.openxmlformats.org/officeDocument/2006/relationships/hyperlink" Target="https://doi.org/10.1111/gcb.70315" TargetMode="External"/><Relationship Id="rId41" Type="http://schemas.openxmlformats.org/officeDocument/2006/relationships/hyperlink" Target="https://doi.org/10.1242/jeb.224139" TargetMode="External"/><Relationship Id="rId54" Type="http://schemas.openxmlformats.org/officeDocument/2006/relationships/hyperlink" Target="https://doi.org/10.1016/j.ecolmodel.2019.108904" TargetMode="External"/><Relationship Id="rId62" Type="http://schemas.openxmlformats.org/officeDocument/2006/relationships/hyperlink" Target="https://doi.org/10.1073/pnas.1413650112" TargetMode="External"/><Relationship Id="rId70" Type="http://schemas.openxmlformats.org/officeDocument/2006/relationships/hyperlink" Target="https://doi.org/10.1086/713082" TargetMode="External"/><Relationship Id="rId75" Type="http://schemas.openxmlformats.org/officeDocument/2006/relationships/hyperlink" Target="https://doi.org/10.1098/rstb.2016.0138" TargetMode="External"/><Relationship Id="rId83" Type="http://schemas.openxmlformats.org/officeDocument/2006/relationships/hyperlink" Target="https://doi.org/10.1111/gcb.14904"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file:///Users/noble/Library/CloudStorage/Dropbox/1_Research/1_Manuscripts/In_Preparation/thermal_tol_interactions/docs/**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cog.02360" TargetMode="External"/><Relationship Id="rId28" Type="http://schemas.openxmlformats.org/officeDocument/2006/relationships/hyperlink" Target="https://doi.org/10.1002/ecy.1444" TargetMode="External"/><Relationship Id="rId36" Type="http://schemas.openxmlformats.org/officeDocument/2006/relationships/hyperlink" Target="https://doi.org/10.1002/ecm.1240" TargetMode="External"/><Relationship Id="rId49" Type="http://schemas.openxmlformats.org/officeDocument/2006/relationships/hyperlink" Target="https://doi.org/10.1016/j.jinsphys.2009.11.006" TargetMode="External"/><Relationship Id="rId57" Type="http://schemas.openxmlformats.org/officeDocument/2006/relationships/hyperlink" Target="https://doi.org/10.1093/conphys/coab086"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111/gcb.14037" TargetMode="External"/><Relationship Id="rId44" Type="http://schemas.openxmlformats.org/officeDocument/2006/relationships/hyperlink" Target="https://doi.org/10.1111/pce.14050" TargetMode="External"/><Relationship Id="rId52" Type="http://schemas.openxmlformats.org/officeDocument/2006/relationships/hyperlink" Target="https://doi.org/10.1111/ecog.04680" TargetMode="External"/><Relationship Id="rId60" Type="http://schemas.openxmlformats.org/officeDocument/2006/relationships/hyperlink" Target="https://doi.org/10.1111/gcb.15215" TargetMode="External"/><Relationship Id="rId65" Type="http://schemas.openxmlformats.org/officeDocument/2006/relationships/hyperlink" Target="https://doi.org/10.1139/f54-039" TargetMode="External"/><Relationship Id="rId73" Type="http://schemas.openxmlformats.org/officeDocument/2006/relationships/hyperlink" Target="https://doi.org/10.1126/science.adp4461" TargetMode="External"/><Relationship Id="rId78" Type="http://schemas.openxmlformats.org/officeDocument/2006/relationships/hyperlink" Target="https://doi.org/10.1098/rstb.2010.0166" TargetMode="External"/><Relationship Id="rId81" Type="http://schemas.openxmlformats.org/officeDocument/2006/relationships/hyperlink" Target="https://doi.org/10.1111/evo.12235" TargetMode="External"/><Relationship Id="rId86" Type="http://schemas.openxmlformats.org/officeDocument/2006/relationships/hyperlink" Target="https://doi.org/10.1111/gcb.16680"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111/2041-210x.14373" TargetMode="External"/><Relationship Id="rId39" Type="http://schemas.openxmlformats.org/officeDocument/2006/relationships/hyperlink" Target="https://doi.org/10.1111/conl.12906" TargetMode="External"/><Relationship Id="rId34" Type="http://schemas.openxmlformats.org/officeDocument/2006/relationships/hyperlink" Target="https://doi.org/10.1007/BF00379617" TargetMode="External"/><Relationship Id="rId50" Type="http://schemas.openxmlformats.org/officeDocument/2006/relationships/hyperlink" Target="https://doi.org/10.1007/978-981-99-0030-5\_6" TargetMode="External"/><Relationship Id="rId55" Type="http://schemas.openxmlformats.org/officeDocument/2006/relationships/hyperlink" Target="https://doi.org/10.1098/rstb.2010.0034" TargetMode="External"/><Relationship Id="rId76" Type="http://schemas.openxmlformats.org/officeDocument/2006/relationships/hyperlink" Target="https://doi.org/10.1111/oik.08715" TargetMode="External"/><Relationship Id="rId7" Type="http://schemas.openxmlformats.org/officeDocument/2006/relationships/image" Target="media/image2.png"/><Relationship Id="rId71" Type="http://schemas.openxmlformats.org/officeDocument/2006/relationships/hyperlink" Target="https://doi.org/10.1890/14-0976.1" TargetMode="External"/><Relationship Id="rId2" Type="http://schemas.openxmlformats.org/officeDocument/2006/relationships/styles" Target="styles.xml"/><Relationship Id="rId29" Type="http://schemas.openxmlformats.org/officeDocument/2006/relationships/hyperlink" Target="https://doi.org/10.1111/2041-210x.14476" TargetMode="External"/><Relationship Id="rId24" Type="http://schemas.openxmlformats.org/officeDocument/2006/relationships/hyperlink" Target="https://doi.org/10.1111/2041-210x.13093" TargetMode="External"/><Relationship Id="rId40" Type="http://schemas.openxmlformats.org/officeDocument/2006/relationships/hyperlink" Target="https://doi.org/10.1111/nph.15395" TargetMode="External"/><Relationship Id="rId45" Type="http://schemas.openxmlformats.org/officeDocument/2006/relationships/hyperlink" Target="https://doi.org/10.1093/jxb/erae096" TargetMode="External"/><Relationship Id="rId66" Type="http://schemas.openxmlformats.org/officeDocument/2006/relationships/hyperlink" Target="https://doi.org/10.1007/978-94-011-2106-4" TargetMode="External"/><Relationship Id="rId87" Type="http://schemas.openxmlformats.org/officeDocument/2006/relationships/hyperlink" Target="https://doi.org/10.1093/icb/icab142" TargetMode="External"/><Relationship Id="rId61" Type="http://schemas.openxmlformats.org/officeDocument/2006/relationships/hyperlink" Target="https://doi.org/10.1111/2041-210x.14068" TargetMode="External"/><Relationship Id="rId82" Type="http://schemas.openxmlformats.org/officeDocument/2006/relationships/hyperlink" Target="https://doi.org/10.1126/science.aad8466" TargetMode="External"/><Relationship Id="rId19" Type="http://schemas.openxmlformats.org/officeDocument/2006/relationships/hyperlink" Target="https://doi.org/10.1111/1365-2435.122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28</Pages>
  <Words>9454</Words>
  <Characters>53894</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6</cp:revision>
  <dcterms:created xsi:type="dcterms:W3CDTF">2025-12-01T03:55:00Z</dcterms:created>
  <dcterms:modified xsi:type="dcterms:W3CDTF">2025-12-01T04:13:00Z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