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w:t>
      </w:r>
      <w:r>
        <w:t xml:space="preserve"> </w:t>
      </w:r>
      <w:r>
        <w:t xml:space="preserve">systems-modelling</w:t>
      </w:r>
      <w:r>
        <w:t xml:space="preserve"> </w:t>
      </w:r>
      <w:r>
        <w:t xml:space="preserve">approach</w:t>
      </w:r>
      <w:r>
        <w:t xml:space="preserve"> </w:t>
      </w:r>
      <w:r>
        <w:t xml:space="preserve">to</w:t>
      </w:r>
      <w:r>
        <w:t xml:space="preserve"> </w:t>
      </w:r>
      <w:r>
        <w:t xml:space="preserve">predict</w:t>
      </w:r>
      <w:r>
        <w:t xml:space="preserve"> </w:t>
      </w:r>
      <w:r>
        <w:t xml:space="preserve">biological</w:t>
      </w:r>
      <w:r>
        <w:t xml:space="preserve"> </w:t>
      </w:r>
      <w:r>
        <w:t xml:space="preserve">responses</w:t>
      </w:r>
      <w:r>
        <w:t xml:space="preserve"> </w:t>
      </w:r>
      <w:r>
        <w:t xml:space="preserve">to</w:t>
      </w:r>
      <w:r>
        <w:t xml:space="preserve"> </w:t>
      </w:r>
      <w:r>
        <w:t xml:space="preserve">extreme</w:t>
      </w:r>
      <w:r>
        <w:t xml:space="preserve"> </w:t>
      </w:r>
      <w:r>
        <w:t xml:space="preserve">heat</w:t>
      </w:r>
    </w:p>
    <w:p>
      <w:pPr>
        <w:pStyle w:val="FirstParagraph"/>
      </w:pPr>
      <w:r>
        <w:t xml:space="preserve">Daniel W.A. Noble</w:t>
      </w:r>
      <w:r>
        <w:rPr>
          <w:vertAlign w:val="superscript"/>
        </w:rPr>
        <w:t xml:space="preserve">1</w:t>
      </w:r>
      <w:r>
        <w:t xml:space="preserve"> </w:t>
      </w:r>
      <m:oMath>
        <m:r>
          <m:rPr>
            <m:sty m:val="p"/>
          </m:rPr>
          <m:t>†</m:t>
        </m:r>
        <m:r>
          <m:rPr>
            <m:sty m:val="p"/>
          </m:rPr>
          <m:t>,</m:t>
        </m:r>
        <m:r>
          <m:rPr>
            <m:sty m:val="p"/>
          </m:rPr>
          <m:t>‡</m:t>
        </m:r>
      </m:oMath>
      <w:r>
        <w:t xml:space="preserve">, Micheal R. Kearney</w:t>
      </w:r>
      <w:r>
        <w:rPr>
          <w:vertAlign w:val="superscript"/>
        </w:rPr>
        <w:t xml:space="preserve">2</w:t>
      </w:r>
      <w:r>
        <w:t xml:space="preserve"> </w:t>
      </w:r>
      <m:oMath>
        <m:r>
          <m:rPr>
            <m:sty m:val="p"/>
          </m:rPr>
          <m:t>†</m:t>
        </m:r>
      </m:oMath>
      <w:r>
        <w:t xml:space="preserve">, Belinda Medlyn</w:t>
      </w:r>
      <w:r>
        <w:rPr>
          <w:vertAlign w:val="superscript"/>
        </w:rPr>
        <w:t xml:space="preserve">3</w:t>
      </w:r>
      <w:r>
        <w:t xml:space="preserve"> </w:t>
      </w:r>
      <m:oMath>
        <m:r>
          <m:rPr>
            <m:sty m:val="p"/>
          </m:rPr>
          <m:t>†</m:t>
        </m:r>
      </m:oMath>
      <w:r>
        <w:t xml:space="preserve">, Margaret Mayfield</w:t>
      </w:r>
      <w:r>
        <w:rPr>
          <w:vertAlign w:val="superscript"/>
        </w:rPr>
        <w:t xml:space="preserve">2</w:t>
      </w:r>
      <w:r>
        <w:t xml:space="preserve"> </w:t>
      </w:r>
      <m:oMath>
        <m:r>
          <m:rPr>
            <m:sty m:val="p"/>
          </m:rPr>
          <m:t>†</m:t>
        </m:r>
      </m:oMath>
      <w:r>
        <w:t xml:space="preserve">, Ary Hoffmann</w:t>
      </w:r>
      <w:r>
        <w:rPr>
          <w:vertAlign w:val="superscript"/>
        </w:rPr>
        <w:t xml:space="preserve">1</w:t>
      </w:r>
      <w:r>
        <w:t xml:space="preserve">, James Cook</w:t>
      </w:r>
      <w:r>
        <w:rPr>
          <w:vertAlign w:val="superscript"/>
        </w:rPr>
        <w:t xml:space="preserve">3</w:t>
      </w:r>
      <w:r>
        <w:t xml:space="preserve">, Brajesh Singh</w:t>
      </w:r>
      <w:r>
        <w:rPr>
          <w:vertAlign w:val="superscript"/>
        </w:rPr>
        <w:t xml:space="preserve">3</w:t>
      </w:r>
      <w:r>
        <w:t xml:space="preserve">, Adrienne Nicotra</w:t>
      </w:r>
      <w:r>
        <w:rPr>
          <w:vertAlign w:val="superscript"/>
        </w:rPr>
        <w:t xml:space="preserve">1,4</w:t>
      </w:r>
      <w:r>
        <w:t xml:space="preserve">, Brendan Choat</w:t>
      </w:r>
      <w:r>
        <w:rPr>
          <w:vertAlign w:val="superscript"/>
        </w:rPr>
        <w:t xml:space="preserve">3</w:t>
      </w:r>
      <w:r>
        <w:t xml:space="preserve">, Owen Atkin</w:t>
      </w:r>
      <w:r>
        <w:rPr>
          <w:vertAlign w:val="superscript"/>
        </w:rPr>
        <w:t xml:space="preserve">4</w:t>
      </w:r>
      <w:r>
        <w:t xml:space="preserve">, Barry Pogson</w:t>
      </w:r>
      <w:r>
        <w:rPr>
          <w:vertAlign w:val="superscript"/>
        </w:rPr>
        <w:t xml:space="preserve">4</w:t>
      </w:r>
      <w:r>
        <w:t xml:space="preserve">, Danielle Way</w:t>
      </w:r>
      <w:r>
        <w:rPr>
          <w:vertAlign w:val="superscript"/>
        </w:rPr>
        <w:t xml:space="preserve">4</w:t>
      </w:r>
      <w:r>
        <w:t xml:space="preserve">, Alison Bentley</w:t>
      </w:r>
      <w:r>
        <w:rPr>
          <w:vertAlign w:val="superscript"/>
        </w:rPr>
        <w:t xml:space="preserve">4</w:t>
      </w:r>
      <w:r>
        <w:t xml:space="preserve">, Ian Wright</w:t>
      </w:r>
      <w:r>
        <w:rPr>
          <w:vertAlign w:val="superscript"/>
        </w:rPr>
        <w:t xml:space="preserve">3</w:t>
      </w:r>
      <w:r>
        <w:t xml:space="preserve">, Zhong-Hua Chen</w:t>
      </w:r>
      <w:r>
        <w:rPr>
          <w:vertAlign w:val="superscript"/>
        </w:rPr>
        <w:t xml:space="preserve">3</w:t>
      </w:r>
      <w:r>
        <w:t xml:space="preserve">, Steven Lade</w:t>
      </w:r>
      <w:r>
        <w:rPr>
          <w:vertAlign w:val="superscript"/>
        </w:rPr>
        <w:t xml:space="preserve">5</w:t>
      </w:r>
      <w:r>
        <w:t xml:space="preserve">, Xuemei Bai</w:t>
      </w:r>
      <w:r>
        <w:rPr>
          <w:vertAlign w:val="superscript"/>
        </w:rPr>
        <w:t xml:space="preserve">5</w:t>
      </w:r>
    </w:p>
    <w:p>
      <w:pPr>
        <w:pStyle w:val="BodyText"/>
      </w:pPr>
      <w:r>
        <w:rPr>
          <w:b/>
          <w:bCs/>
        </w:rPr>
        <w:t xml:space="preserve">Affiliations</w:t>
      </w:r>
      <w:r>
        <w:t xml:space="preserve">:</w:t>
      </w:r>
    </w:p>
    <w:p>
      <w:pPr>
        <w:pStyle w:val="BodyText"/>
      </w:pPr>
      <w:r>
        <w:rPr>
          <w:vertAlign w:val="superscript"/>
        </w:rPr>
        <w:t xml:space="preserve">1</w:t>
      </w:r>
      <w:r>
        <w:t xml:space="preserve"> </w:t>
      </w:r>
      <w:r>
        <w:t xml:space="preserve">Division of Ecology and Evolution, Research School of Biology, The Australian National University, Canberra ACT 2602, Australia  </w:t>
      </w:r>
      <w:r>
        <w:br/>
      </w:r>
      <w:r>
        <w:rPr>
          <w:vertAlign w:val="superscript"/>
        </w:rPr>
        <w:t xml:space="preserve">2</w:t>
      </w:r>
      <w:r>
        <w:t xml:space="preserve"> </w:t>
      </w:r>
      <w:r>
        <w:t xml:space="preserve">School of Biosciences, The University of Melbourne, Australia </w:t>
      </w:r>
      <w:r>
        <w:t xml:space="preserve"> </w:t>
      </w:r>
      <w:r>
        <w:rPr>
          <w:vertAlign w:val="superscript"/>
        </w:rPr>
        <w:t xml:space="preserve">3</w:t>
      </w:r>
      <w:r>
        <w:t xml:space="preserve"> </w:t>
      </w:r>
      <w:r>
        <w:t xml:space="preserve">Hawksbury Institute for the Environment, Western Sydney University, Australia</w:t>
      </w:r>
      <w:r>
        <w:br/>
      </w:r>
      <w:r>
        <w:rPr>
          <w:vertAlign w:val="superscript"/>
        </w:rPr>
        <w:t xml:space="preserve">4</w:t>
      </w:r>
      <w:r>
        <w:t xml:space="preserve"> </w:t>
      </w:r>
      <w:r>
        <w:t xml:space="preserve">Division of Plant Sciences, Research School of Biology, The Australian National University, Canberra ACT 2602, Australia</w:t>
      </w:r>
      <w:r>
        <w:br/>
      </w:r>
      <w:r>
        <w:rPr>
          <w:vertAlign w:val="superscript"/>
        </w:rPr>
        <w:t xml:space="preserve">5</w:t>
      </w:r>
      <w:r>
        <w:t xml:space="preserve"> </w:t>
      </w:r>
      <w:r>
        <w:t xml:space="preserve">Fenner School of Environment and Society, The Australian National University, Canberra ACT 2602, Australia </w:t>
      </w:r>
    </w:p>
    <w:p>
      <w:pPr>
        <w:pStyle w:val="BodyText"/>
      </w:pPr>
      <w:r>
        <w:rPr>
          <w:vertAlign w:val="superscript"/>
        </w:rPr>
        <w:t xml:space="preserve">1</w:t>
      </w:r>
      <w:r>
        <w:t xml:space="preserve"> </w:t>
      </w:r>
      <m:oMath>
        <m:r>
          <m:rPr>
            <m:sty m:val="p"/>
          </m:rPr>
          <m:t>‡</m:t>
        </m:r>
      </m:oMath>
      <w:r>
        <w:t xml:space="preserve"> </w:t>
      </w:r>
      <w:r>
        <w:t xml:space="preserve">Correspondance: daniel.noble@anu.edu.au</w:t>
      </w:r>
      <w:r>
        <w:br/>
      </w:r>
      <m:oMath>
        <m:r>
          <m:rPr>
            <m:sty m:val="p"/>
          </m:rPr>
          <m:t>†</m:t>
        </m:r>
      </m:oMath>
      <w:r>
        <w:t xml:space="preserve"> </w:t>
      </w:r>
      <w:r>
        <w:t xml:space="preserve">These authors contributed equally to this work.</w:t>
      </w:r>
    </w:p>
    <w:bookmarkStart w:id="20" w:name="abstract-dan"/>
    <w:p>
      <w:pPr>
        <w:pStyle w:val="Heading1"/>
      </w:pPr>
      <w:r>
        <w:t xml:space="preserve">Abstract (Dan)</w:t>
      </w:r>
    </w:p>
    <w:p>
      <w:pPr>
        <w:pStyle w:val="FirstParagraph"/>
      </w:pPr>
      <w:r>
        <w:t xml:space="preserve">Anthropogenic climate change is leading to more frequent and extreme heat waves. These short-term but large-scale events are radically re-shaping interactions among organisms, impacting biodiversity, community composition and ecosystem services crucial to natural systems and food security. Predicting heat wave impacts on interacting species requires an understanding of the processes driving differential exposure and sensitivity of organisms to extreme heat events in a life-cycle context. Key to developing this predictive capacity is the formulation of a modelling framework that captures species-specific responses. This includes knowledge of habitat-mediated changes in microclimates, biophysical controls on body temperature, temperature sensitivity of organismal physiology and fitness, and how the effects of heatwaves vary depending on thermal history. We show how existing models in disparate fields can be linked to achieve this level of understanding to allow for calculated responses to extreme heat now and into the future with implications for socioecological systems more generally.  </w:t>
      </w:r>
    </w:p>
    <w:bookmarkEnd w:id="20"/>
    <w:bookmarkStart w:id="21" w:name="Xebe326ccf6438bb59b06b215a72d468ba832b0f"/>
    <w:p>
      <w:pPr>
        <w:pStyle w:val="Heading1"/>
      </w:pPr>
      <w:r>
        <w:t xml:space="preserve">A need for a mechanistically informed modelling framework for predicting the effects of extreme heat on community assemblages (Dan)</w:t>
      </w:r>
    </w:p>
    <w:p>
      <w:pPr>
        <w:pStyle w:val="FirstParagraph"/>
      </w:pPr>
      <w:r>
        <w:t xml:space="preserve">Climate change is leading to warmer and more variable thermal environments globally</w:t>
      </w:r>
      <w:r>
        <w:t xml:space="preserve"> </w:t>
      </w:r>
      <w:r>
        <w:t xml:space="preserve">[1,2]</w:t>
      </w:r>
      <w:r>
        <w:t xml:space="preserve">. Greater thermal variability will result in organisms experiencing extreme heat waves that result in thermal stress that impacts organismal growth, survival and reproduction with cascading effects on population dynamics, community composition and ecosystem structure and function</w:t>
      </w:r>
      <w:r>
        <w:t xml:space="preserve"> </w:t>
      </w:r>
      <w:r>
        <w:t xml:space="preserve">[3,4]</w:t>
      </w:r>
      <w:r>
        <w:t xml:space="preserve">. Climate variability has already been linked to dramatic declines in pollinator abundance</w:t>
      </w:r>
      <w:r>
        <w:t xml:space="preserve"> </w:t>
      </w:r>
      <w:r>
        <w:t xml:space="preserve">[5]</w:t>
      </w:r>
      <w:r>
        <w:t xml:space="preserve"> </w:t>
      </w:r>
      <w:r>
        <w:t xml:space="preserve">and in crop yields globally</w:t>
      </w:r>
      <w:r>
        <w:t xml:space="preserve"> </w:t>
      </w:r>
      <w:r>
        <w:t xml:space="preserve">[6–8]</w:t>
      </w:r>
      <w:r>
        <w:t xml:space="preserve">, but the causes underlying such declines, and their ramifications through communities, are not fully understood. The impacts of extreme heat on species and communities are driven by a combination of direct effects of heat stress on organism physiology and fitness</w:t>
      </w:r>
      <w:r>
        <w:t xml:space="preserve"> </w:t>
      </w:r>
      <w:r>
        <w:t xml:space="preserve">[9–12]</w:t>
      </w:r>
      <w:r>
        <w:t xml:space="preserve"> </w:t>
      </w:r>
      <w:r>
        <w:t xml:space="preserve">and indirect effects on interactions (both positive and negative) among species</w:t>
      </w:r>
      <w:r>
        <w:t xml:space="preserve"> </w:t>
      </w:r>
      <w:r>
        <w:t xml:space="preserve">[e.g., 13,14]</w:t>
      </w:r>
      <w:r>
        <w:t xml:space="preserve"> </w:t>
      </w:r>
      <w:r>
        <w:t xml:space="preserve">– including the microbial communities many species rely upon</w:t>
      </w:r>
      <w:r>
        <w:t xml:space="preserve"> </w:t>
      </w:r>
      <w:r>
        <w:t xml:space="preserve">[15]</w:t>
      </w:r>
      <w:r>
        <w:t xml:space="preserve">. Understanding the dynamic interplay between direct and indirect interactions, and how these are mediated by environmental factors, has been hampered by the complexity of community interactions and the lack of an integrated modelling framework that can translate short-term physiological damage into changes in fitness and population growth across species</w:t>
      </w:r>
      <w:r>
        <w:t xml:space="preserve"> </w:t>
      </w:r>
      <w:r>
        <w:t xml:space="preserve">[15]</w:t>
      </w:r>
      <w:r>
        <w:t xml:space="preserve">.</w:t>
      </w:r>
    </w:p>
    <w:p>
      <w:pPr>
        <w:pStyle w:val="BodyText"/>
      </w:pPr>
      <w:r>
        <w:t xml:space="preserve">Predicting how extreme heat impacts population dynamics and community interactions requires the coupling of physiological, biophysical, population and community ecology models. We argue that such a feat is becoming increasingly more tangible and will provide powerful new ways of predicting how extreme heat shapes community dynamics. Dynamic Energy Budget (DEB) theory can now be seamlessly integrated with biophysical models of heat and mass exchange to characterise organismal body temperatures and simulate the effects of extreme heat events on the entire life cycle of species within communities</w:t>
      </w:r>
      <w:r>
        <w:t xml:space="preserve"> </w:t>
      </w:r>
      <w:r>
        <w:t xml:space="preserve">[16–20]</w:t>
      </w:r>
      <w:r>
        <w:t xml:space="preserve">. Dynamic Energy Budgets that incorporate estimates of thermal sensitivity across species can capture the delicate balance between damage and repair in physiological systems</w:t>
      </w:r>
      <w:r>
        <w:t xml:space="preserve"> </w:t>
      </w:r>
      <w:r>
        <w:t xml:space="preserve">[11,12,21]</w:t>
      </w:r>
      <w:r>
        <w:t xml:space="preserve"> </w:t>
      </w:r>
      <w:r>
        <w:t xml:space="preserve">to translate the immediate and cumulative impacts of extreme heat on growth, survival and reproduction. Importantly, mechanistic physiological models provide common currencies that can then be integrated into population and community ecology models to capture how extreme heat events perturb interactions among species</w:t>
      </w:r>
      <w:r>
        <w:t xml:space="preserve"> </w:t>
      </w:r>
      <w:r>
        <w:t xml:space="preserve">[22,23]</w:t>
      </w:r>
      <w:r>
        <w:t xml:space="preserve">.</w:t>
      </w:r>
    </w:p>
    <w:p>
      <w:pPr>
        <w:pStyle w:val="BodyText"/>
      </w:pPr>
      <w:r>
        <w:t xml:space="preserve">Here, we bring together and discuss modelling approaches across diverse fields to establish a bridge for thinking about how we might begin integrating them to predict how extreme heat will affect communities. We focus our discussion on plant, insect and microbial communities given the strong interconnections between them, the ease with which they can be studied and their significance to natural and agricultural productivity. Importantly,</w:t>
      </w:r>
      <w:r>
        <w:t xml:space="preserve"> </w:t>
      </w:r>
      <w:r>
        <w:t xml:space="preserve">‘</w:t>
      </w:r>
      <w:r>
        <w:t xml:space="preserve">extreme heat</w:t>
      </w:r>
      <w:r>
        <w:t xml:space="preserve">’</w:t>
      </w:r>
      <w:r>
        <w:t xml:space="preserve"> </w:t>
      </w:r>
      <w:r>
        <w:t xml:space="preserve">can take on a different meaning for these organisms. For example, plants and animals have different thermal tolerances or can exploit microthermal environments in different ways to dampen the effects of extreme atmospheric heat events. As such,</w:t>
      </w:r>
      <w:r>
        <w:t xml:space="preserve"> </w:t>
      </w:r>
      <w:r>
        <w:t xml:space="preserve">‘</w:t>
      </w:r>
      <w:r>
        <w:t xml:space="preserve">extreme</w:t>
      </w:r>
      <w:r>
        <w:t xml:space="preserve">’</w:t>
      </w:r>
      <w:r>
        <w:t xml:space="preserve"> </w:t>
      </w:r>
      <w:r>
        <w:t xml:space="preserve">will be relative to the biology of the organism in question. Nonetheless, our framework can capture these complexities and be extended to incorporate other, diverse interactions. We highlight the immense opportunities such an integration may provide through a greater understanding of the ways in which extreme heat stress manifests across species and by elucidating more clearly how and why interactions among species can change with implications for natural and agricultural systems, food security and ecosystem services. We discuss the challenges of applying such an integrated modelling framework moving forward and how it can be extended to include other critical features that capture evolutionary change and plasticity in response to extreme heat.</w:t>
      </w:r>
    </w:p>
    <w:bookmarkEnd w:id="21"/>
    <w:bookmarkStart w:id="22" w:name="X4209415c0137b038f4a3ce52e60f7db062b8bff"/>
    <w:p>
      <w:pPr>
        <w:pStyle w:val="Heading1"/>
      </w:pPr>
      <w:r>
        <w:t xml:space="preserve">Models for predicting community wide</w:t>
      </w:r>
      <w:r>
        <w:t xml:space="preserve"> </w:t>
      </w:r>
      <w:r>
        <w:rPr>
          <w:i/>
          <w:iCs/>
        </w:rPr>
        <w:t xml:space="preserve">exposure</w:t>
      </w:r>
      <w:r>
        <w:t xml:space="preserve"> </w:t>
      </w:r>
      <w:r>
        <w:t xml:space="preserve">to extreme heat: Biophysics to the rescue!</w:t>
      </w:r>
    </w:p>
    <w:p>
      <w:pPr>
        <w:pStyle w:val="FirstParagraph"/>
      </w:pPr>
      <w:r>
        <w:t xml:space="preserve">Understanding the impacts of extreme heat on a community of organisms requires that we estimate and predict the thermal environment that organisms actually experience in nature and the ways in which they mitigate their exposure to extreme heat. Climate modelling and weather event forecasting has historically been achieved through General Circulation Models – large partial differential equation networks of atmospheric, oceanic and biospheric energy and mass exchange processes – coded in fast but inflexible languages like Fortran and C. The emergence of the Julia language for scientific computing has created an opportunity to rebuild climate models in a more modular manner allowing easier interfacing between discipline-specific models and easier integration of the massive emerging power of AI for data assimilation and machine learning. Well-established models are now available to integrate information about atmospheric conditions and habitat (topography, vegetation structure, soil/substrate properties) into microclimates and then translate microclimates into trait-mediated (behaviour, morphology, physiology) body temperature through the principles of biophysical ecology. Elaborate … emphasise how very different trajectories of body temperature can arise from the same atmospheric events due to position in the habitat, morphological and physiological traits (endothermy, evaporative cooling capacity, etc.), and behavioural responses. Link this later to how it can be applied to infer differential exposure of members of a community to predict relative exposure with different degrees of detail (from rank-order stress exposure to hourly trajecto</w:t>
      </w:r>
    </w:p>
    <w:bookmarkEnd w:id="22"/>
    <w:bookmarkStart w:id="23" w:name="Xd22b977f88f0add426f49399196084251b1e16e"/>
    <w:p>
      <w:pPr>
        <w:pStyle w:val="Heading1"/>
      </w:pPr>
      <w:r>
        <w:t xml:space="preserve">Capturing the balance between physiological</w:t>
      </w:r>
      <w:r>
        <w:t xml:space="preserve"> </w:t>
      </w:r>
      <w:r>
        <w:rPr>
          <w:i/>
          <w:iCs/>
        </w:rPr>
        <w:t xml:space="preserve">damage</w:t>
      </w:r>
      <w:r>
        <w:t xml:space="preserve"> </w:t>
      </w:r>
      <w:r>
        <w:t xml:space="preserve">and</w:t>
      </w:r>
      <w:r>
        <w:t xml:space="preserve"> </w:t>
      </w:r>
      <w:r>
        <w:rPr>
          <w:i/>
          <w:iCs/>
        </w:rPr>
        <w:t xml:space="preserve">repair</w:t>
      </w:r>
      <w:r>
        <w:t xml:space="preserve"> </w:t>
      </w:r>
      <w:r>
        <w:t xml:space="preserve">to predict multi-species thermal</w:t>
      </w:r>
      <w:r>
        <w:t xml:space="preserve"> </w:t>
      </w:r>
      <w:r>
        <w:rPr>
          <w:i/>
          <w:iCs/>
        </w:rPr>
        <w:t xml:space="preserve">sensitivity</w:t>
      </w:r>
      <w:r>
        <w:t xml:space="preserve"> </w:t>
      </w:r>
      <w:r>
        <w:t xml:space="preserve">(Dan, Adrienne)</w:t>
      </w:r>
    </w:p>
    <w:p>
      <w:pPr>
        <w:pStyle w:val="FirstParagraph"/>
      </w:pPr>
      <w:r>
        <w:t xml:space="preserve">Translating how heat waves impact plants and animals not only depends on modelling temperature</w:t>
      </w:r>
      <w:r>
        <w:t xml:space="preserve"> </w:t>
      </w:r>
      <w:r>
        <w:rPr>
          <w:i/>
          <w:iCs/>
        </w:rPr>
        <w:t xml:space="preserve">exposure</w:t>
      </w:r>
      <w:r>
        <w:t xml:space="preserve"> </w:t>
      </w:r>
      <w:r>
        <w:t xml:space="preserve">but also the varying</w:t>
      </w:r>
      <w:r>
        <w:t xml:space="preserve"> </w:t>
      </w:r>
      <w:r>
        <w:rPr>
          <w:i/>
          <w:iCs/>
        </w:rPr>
        <w:t xml:space="preserve">sensitivity</w:t>
      </w:r>
      <w:r>
        <w:t xml:space="preserve"> </w:t>
      </w:r>
      <w:r>
        <w:t xml:space="preserve">of organisms to extreme heat</w:t>
      </w:r>
      <w:r>
        <w:t xml:space="preserve"> </w:t>
      </w:r>
      <w:r>
        <w:t xml:space="preserve">[21,24]</w:t>
      </w:r>
      <w:r>
        <w:t xml:space="preserve">. Sensitivity to extreme heat can be captured by thermal load sensitivity (TLS) / thermal death time (TDT) models that explicitly account for how heat stress depends on both temperature and the duration of time at a given temperature</w:t>
      </w:r>
      <w:r>
        <w:t xml:space="preserve"> </w:t>
      </w:r>
      <w:r>
        <w:t xml:space="preserve">[21]</w:t>
      </w:r>
      <w:r>
        <w:t xml:space="preserve">. Typically, these models focus on endpoints that include survival (e.g., lethal temperatures,</w:t>
      </w:r>
      <w:r>
        <w:t xml:space="preserve"> </w:t>
      </w:r>
      <m:oMath>
        <m:r>
          <m:t>L</m:t>
        </m:r>
        <m:sSub>
          <m:e>
            <m:r>
              <m:t>T</m:t>
            </m:r>
          </m:e>
          <m:sub>
            <m:r>
              <m:t>50</m:t>
            </m:r>
          </m:sub>
        </m:sSub>
      </m:oMath>
      <w:r>
        <w:t xml:space="preserve"> </w:t>
      </w:r>
      <w:r>
        <w:t xml:space="preserve">or</w:t>
      </w:r>
      <w:r>
        <w:t xml:space="preserve"> </w:t>
      </w:r>
      <m:oMath>
        <m:r>
          <m:t>L</m:t>
        </m:r>
        <m:sSub>
          <m:e>
            <m:r>
              <m:t>T</m:t>
            </m:r>
          </m:e>
          <m:sub>
            <m:r>
              <m:t>80</m:t>
            </m:r>
          </m:sub>
        </m:sSub>
      </m:oMath>
      <w:r>
        <w:t xml:space="preserve">) or some measure of fertility, but this need not be the case. Endpoints are predicted by assuming the effect of time at a given temperature decreases survival or fertility exponentially</w:t>
      </w:r>
      <w:r>
        <w:t xml:space="preserve"> </w:t>
      </w:r>
      <w:r>
        <w:t xml:space="preserve">[11,12,21,24]</w:t>
      </w:r>
      <w:r>
        <w:t xml:space="preserve">. For example, Ørsted</w:t>
      </w:r>
      <w:r>
        <w:t xml:space="preserve"> </w:t>
      </w:r>
      <w:r>
        <w:rPr>
          <w:i/>
          <w:iCs/>
        </w:rPr>
        <w:t xml:space="preserve">et al.</w:t>
      </w:r>
      <w:r>
        <w:t xml:space="preserve"> </w:t>
      </w:r>
      <w:r>
        <w:t xml:space="preserve">[12]</w:t>
      </w:r>
      <w:r>
        <w:t xml:space="preserve"> </w:t>
      </w:r>
      <w:r>
        <w:t xml:space="preserve">show that several critical life-history traits (i.e., mortality and fecundity) follow a clear exponential relationship with time, with survival and fecundity being compromised most for long thermal exposures at high temperatures in</w:t>
      </w:r>
      <w:r>
        <w:t xml:space="preserve"> </w:t>
      </w:r>
      <w:r>
        <w:rPr>
          <w:i/>
          <w:iCs/>
        </w:rPr>
        <w:t xml:space="preserve">Drosophila suzuki</w:t>
      </w:r>
      <w:r>
        <w:t xml:space="preserve">. Importantly, Ørsted</w:t>
      </w:r>
      <w:r>
        <w:t xml:space="preserve"> </w:t>
      </w:r>
      <w:r>
        <w:rPr>
          <w:i/>
          <w:iCs/>
        </w:rPr>
        <w:t xml:space="preserve">et al.</w:t>
      </w:r>
      <w:r>
        <w:t xml:space="preserve"> </w:t>
      </w:r>
      <w:r>
        <w:t xml:space="preserve">[12]</w:t>
      </w:r>
      <w:r>
        <w:t xml:space="preserve"> </w:t>
      </w:r>
      <w:r>
        <w:t xml:space="preserve">also show that reproductive sensitivity was higher than mortality with heat injury accumulating faster to impact productivity earlier than survival. TLS theory has also been shown to apply well to photosynthetic function in plants</w:t>
      </w:r>
      <w:r>
        <w:t xml:space="preserve"> </w:t>
      </w:r>
      <w:r>
        <w:t xml:space="preserve">[25]</w:t>
      </w:r>
      <w:r>
        <w:t xml:space="preserve"> </w:t>
      </w:r>
      <w:r>
        <w:t xml:space="preserve">highlighting the potential generality of the TLS framework. Thermal load sensitivity models explicitly acknowledge that thermal sensitivity depends on the relative accumulation of damage to cellular and sub-cellular systems that compromise physiological function. Without periods of recovery, where damage can be repaired, organisms accumulate damage over time that reduces growth, survival and reproduction. The concept of damage/repair is critically important for understanding how heat waves affect organisms because such a mechanism can result in lagged responses to heat stress – a common feature of extreme heat events</w:t>
      </w:r>
      <w:r>
        <w:t xml:space="preserve"> </w:t>
      </w:r>
      <w:r>
        <w:t xml:space="preserve">[26]</w:t>
      </w:r>
      <w:r>
        <w:t xml:space="preserve">. In addition, modelling the intricate balance between damage and repair for a suite of different species can help identify susceptible species, life stages and tissues that are most at risk from extreme heat events which allow for more accurate predictions of the varying sensitivity of species across a community.</w:t>
      </w:r>
    </w:p>
    <w:bookmarkEnd w:id="23"/>
    <w:bookmarkStart w:id="24" w:name="X709d9ec1b3c8fb9d05ea9ded451dca156568e07"/>
    <w:p>
      <w:pPr>
        <w:pStyle w:val="Heading1"/>
      </w:pPr>
      <w:r>
        <w:t xml:space="preserve">Community interactions that can shape thermal sensitivity in plants and animals</w:t>
      </w:r>
    </w:p>
    <w:p>
      <w:pPr>
        <w:pStyle w:val="FirstParagraph"/>
      </w:pPr>
      <w:r>
        <w:t xml:space="preserve">When modelling the heat sensitivity of plants and animals it can be important to consider interactions with microbial communities and how these communities might also change in response to extreme heat. For example, heat tolerance of animals can be both increased and decreased through changes in the gut microbiome and/or through microbes that are resident in animal tissues (endosymbionts). Disruption of the natural gut microbiome of tadpoles increases their sensitivity to heat</w:t>
      </w:r>
      <w:r>
        <w:t xml:space="preserve"> </w:t>
      </w:r>
      <w:r>
        <w:t xml:space="preserve">[27]</w:t>
      </w:r>
      <w:r>
        <w:t xml:space="preserve">, which is thought to be associated with transcriptional buffering of hosts by the natural microbiome</w:t>
      </w:r>
      <w:r>
        <w:t xml:space="preserve"> </w:t>
      </w:r>
      <w:r>
        <w:t xml:space="preserve">[28]</w:t>
      </w:r>
      <w:r>
        <w:t xml:space="preserve">. Specific gut bacteria may provide a protective effect on their host.</w:t>
      </w:r>
      <w:r>
        <w:t xml:space="preserve"> </w:t>
      </w:r>
      <w:r>
        <w:rPr>
          <w:i/>
          <w:iCs/>
        </w:rPr>
        <w:t xml:space="preserve">Bacillus subtilis</w:t>
      </w:r>
      <w:r>
        <w:t xml:space="preserve"> </w:t>
      </w:r>
      <w:r>
        <w:t xml:space="preserve">residing in the gut of the nematode</w:t>
      </w:r>
      <w:r>
        <w:t xml:space="preserve"> </w:t>
      </w:r>
      <w:r>
        <w:rPr>
          <w:i/>
          <w:iCs/>
        </w:rPr>
        <w:t xml:space="preserve">Caenorhabditis elegans</w:t>
      </w:r>
      <w:r>
        <w:t xml:space="preserve"> </w:t>
      </w:r>
      <w:r>
        <w:t xml:space="preserve">provides protection against heat shock as reflected by effects on fecundity</w:t>
      </w:r>
      <w:r>
        <w:t xml:space="preserve"> </w:t>
      </w:r>
      <w:r>
        <w:t xml:space="preserve">[29]</w:t>
      </w:r>
      <w:r>
        <w:t xml:space="preserve">. Moreover, this protective effect can influence the ability of the host to evolve further resistance to the heat shock and harboured more bacteria</w:t>
      </w:r>
      <w:r>
        <w:t xml:space="preserve"> </w:t>
      </w:r>
      <w:r>
        <w:t xml:space="preserve">[30]</w:t>
      </w:r>
      <w:r>
        <w:t xml:space="preserve">. Even microbes that are normally parasitic on their hosts can generate benefits to them under stressful conditions. In the mussel</w:t>
      </w:r>
      <w:r>
        <w:t xml:space="preserve"> </w:t>
      </w:r>
      <w:r>
        <w:rPr>
          <w:i/>
          <w:iCs/>
        </w:rPr>
        <w:t xml:space="preserve">Mytilis californianus</w:t>
      </w:r>
      <w:r>
        <w:t xml:space="preserve">, microbes living on the shell of this species weaken it but also change shell colour in such a way that the mussels become more resistant to heat stress when exposed at low tide</w:t>
      </w:r>
      <w:r>
        <w:t xml:space="preserve"> </w:t>
      </w:r>
      <w:r>
        <w:t xml:space="preserve">[31]</w:t>
      </w:r>
      <w:r>
        <w:t xml:space="preserve">, On the other hand, many endosymbionts including those providing host benefits appear particularly sensitive to heat</w:t>
      </w:r>
      <w:r>
        <w:t xml:space="preserve"> </w:t>
      </w:r>
      <w:r>
        <w:t xml:space="preserve">[32]</w:t>
      </w:r>
      <w:r>
        <w:t xml:space="preserve">. The density of</w:t>
      </w:r>
      <w:r>
        <w:t xml:space="preserve"> </w:t>
      </w:r>
      <w:r>
        <w:rPr>
          <w:i/>
          <w:iCs/>
        </w:rPr>
        <w:t xml:space="preserve">Buchnera</w:t>
      </w:r>
      <w:r>
        <w:t xml:space="preserve"> </w:t>
      </w:r>
      <w:r>
        <w:t xml:space="preserve">decreases under heat in aphid species that are relatively less tolerant to heat, whereas</w:t>
      </w:r>
      <w:r>
        <w:t xml:space="preserve"> </w:t>
      </w:r>
      <w:r>
        <w:rPr>
          <w:i/>
          <w:iCs/>
        </w:rPr>
        <w:t xml:space="preserve">Buchnera</w:t>
      </w:r>
      <w:r>
        <w:t xml:space="preserve"> </w:t>
      </w:r>
      <w:r>
        <w:t xml:space="preserve">densities in more tolerant aphids appear unaffected</w:t>
      </w:r>
      <w:r>
        <w:t xml:space="preserve"> </w:t>
      </w:r>
      <w:r>
        <w:t xml:space="preserve">[33]</w:t>
      </w:r>
      <w:r>
        <w:t xml:space="preserve">. Nevertheless, the heat tolerance of pea aphids can be sharply increased through a mutation in a heat shock protein encoded by</w:t>
      </w:r>
      <w:r>
        <w:t xml:space="preserve"> </w:t>
      </w:r>
      <w:r>
        <w:rPr>
          <w:i/>
          <w:iCs/>
        </w:rPr>
        <w:t xml:space="preserve">Buchnera</w:t>
      </w:r>
      <w:r>
        <w:t xml:space="preserve"> </w:t>
      </w:r>
      <w:r>
        <w:t xml:space="preserve">[34]</w:t>
      </w:r>
      <w:r>
        <w:t xml:space="preserve">.</w:t>
      </w:r>
    </w:p>
    <w:p>
      <w:pPr>
        <w:pStyle w:val="BodyText"/>
      </w:pPr>
      <w:r>
        <w:t xml:space="preserve">Interactions between plants and microorganisms, such as plant growth-promoting rhizobacteria (PGPR), arbuscular mycorrhizal fungi (AMF), and bacterial or fungal endophytes have also been shown to impact growth, defense, and heat tolerance in plants</w:t>
      </w:r>
      <w:r>
        <w:t xml:space="preserve"> </w:t>
      </w:r>
      <w:r>
        <w:t xml:space="preserve">[35–37]</w:t>
      </w:r>
      <w:r>
        <w:t xml:space="preserve">. These interactions are usually achieved by stimulating the production of essential phytohormones, secondary metabolites, organic acids, and amino acids that helps the plant to mitigate heat stress</w:t>
      </w:r>
      <w:r>
        <w:t xml:space="preserve"> </w:t>
      </w:r>
      <w:r>
        <w:t xml:space="preserve">[38,39]</w:t>
      </w:r>
      <w:r>
        <w:t xml:space="preserve">. Under the current global climate change scenarios, each degree Celsius increase in global mean temperature is estimated to reduce the global yield of wheat by 6.0% and soybean (Glycine max) by 3.1%</w:t>
      </w:r>
      <w:r>
        <w:t xml:space="preserve"> </w:t>
      </w:r>
      <w:r>
        <w:t xml:space="preserve">[40]</w:t>
      </w:r>
      <w:r>
        <w:t xml:space="preserve">. For instance, bread wheat (</w:t>
      </w:r>
      <w:r>
        <w:rPr>
          <w:i/>
          <w:iCs/>
        </w:rPr>
        <w:t xml:space="preserve">Triticum aestivum</w:t>
      </w:r>
      <w:r>
        <w:t xml:space="preserve">) has an optimum temperature of 22°C, but temperatures above that range impair cellular processes, with adverse effects on development and reproductive of plants, leading to senescence and yield loss</w:t>
      </w:r>
      <w:r>
        <w:t xml:space="preserve"> </w:t>
      </w:r>
      <w:r>
        <w:t xml:space="preserve">[41,42]</w:t>
      </w:r>
      <w:r>
        <w:t xml:space="preserve">. The complexity of plant-microbe interaction under heat stress means that enormous efforts are required to decipher the interaction networks at molecular, tissue, and organism levels. These cannot be fully understood without the advanced bioinformatics tools and models of Artificial Intelligence/Machine Learning (AI/ML) in the new era of AI for all aspects of sciences. There are excellent AI/ML models developed for plants</w:t>
      </w:r>
      <w:r>
        <w:t xml:space="preserve"> </w:t>
      </w:r>
      <w:r>
        <w:t xml:space="preserve">[43,44]</w:t>
      </w:r>
      <w:r>
        <w:t xml:space="preserve"> </w:t>
      </w:r>
      <w:r>
        <w:t xml:space="preserve">and microorganism</w:t>
      </w:r>
      <w:r>
        <w:t xml:space="preserve"> </w:t>
      </w:r>
      <w:r>
        <w:t xml:space="preserve">[45]</w:t>
      </w:r>
      <w:r>
        <w:t xml:space="preserve">. However, comprehensive models with high prediction powers for plant microbe interactions are still lacking, which hampers our understanding of the heat tolerance in plants and microorganisms.</w:t>
      </w:r>
    </w:p>
    <w:bookmarkEnd w:id="24"/>
    <w:bookmarkStart w:id="25" w:name="Xf7a8b061298c769a249e4cfc121bdb94e09ce12"/>
    <w:p>
      <w:pPr>
        <w:pStyle w:val="Heading1"/>
      </w:pPr>
      <w:r>
        <w:t xml:space="preserve">Dynamic Energy Budget (DEB) models that capture the effects of extreme heat across life (Mike and Dan)</w:t>
      </w:r>
    </w:p>
    <w:p>
      <w:pPr>
        <w:pStyle w:val="FirstParagraph"/>
      </w:pPr>
      <w:r>
        <w:t xml:space="preserve">Dynamic Energy Budget (DEB) models are physiologically (energetically) explicit life-cycle models that predict key life-history transitions, growth, reproduction and survival through time for diverse species</w:t>
      </w:r>
      <w:r>
        <w:t xml:space="preserve"> </w:t>
      </w:r>
      <w:r>
        <w:t xml:space="preserve">[16,46]</w:t>
      </w:r>
      <w:r>
        <w:t xml:space="preserve">. DEB models consider organisms as a thermodynamic system (adhering to energy-mass balance) capturing the exchange of food, water, respiratory gases and metabolic waste from egg to adult</w:t>
      </w:r>
      <w:r>
        <w:t xml:space="preserve"> </w:t>
      </w:r>
      <w:r>
        <w:t xml:space="preserve">[20]</w:t>
      </w:r>
      <w:r>
        <w:t xml:space="preserve">. DEB models can translate short-term variation in factors, such as temperature, toxins (e.g., toxicants,</w:t>
      </w:r>
      <w:r>
        <w:t xml:space="preserve"> </w:t>
      </w:r>
      <w:r>
        <w:t xml:space="preserve">[48]</w:t>
      </w:r>
      <w:r>
        <w:t xml:space="preserve">) and resource availability (nutrients)</w:t>
      </w:r>
      <w:r>
        <w:t xml:space="preserve"> </w:t>
      </w:r>
      <w:r>
        <w:t xml:space="preserve">[49,50]</w:t>
      </w:r>
      <w:r>
        <w:t xml:space="preserve"> </w:t>
      </w:r>
      <w:r>
        <w:t xml:space="preserve">to understand how they affect development, growth, reproduction and survival</w:t>
      </w:r>
      <w:r>
        <w:t xml:space="preserve"> </w:t>
      </w:r>
      <w:r>
        <w:t xml:space="preserve">[17,20]</w:t>
      </w:r>
      <w:r>
        <w:t xml:space="preserve">. DEB theory, combined with biophysical models more generally, also allow the full water budget to be computed to account for heat stress impacts of a hydric nature, and computes obligate heat production of metabolism to feed back to the calculation of body temperature</w:t>
      </w:r>
      <w:r>
        <w:t xml:space="preserve"> </w:t>
      </w:r>
      <w:r>
        <w:t xml:space="preserve">[20]</w:t>
      </w:r>
      <w:r>
        <w:t xml:space="preserve">. Perhaps most importantly, DEB theory calculates the life cycle trajectory and so can account for the effects of timing of heat wave impacts relative to life stage. Applied to multi-species assemblages, DEB models can capture how different species life-cycles are impacted by heat and interact with each other to predict how traits such as birth, age at maturity, reproductive events, energy flow and lifespan vary across species. While DEB models are parameter rich, key parameters have been estimated for &gt; 3000 species already</w:t>
      </w:r>
      <w:r>
        <w:t xml:space="preserve"> </w:t>
      </w:r>
      <w:r>
        <w:t xml:space="preserve">[51,52]</w:t>
      </w:r>
      <w:r>
        <w:t xml:space="preserve">. New analytical approaches using phylogenetic imputation methods can be used to predict DEB parameters for over 1.3 million species providing immense opportunities to model how heat will affect life-cycles of multi-species assemblages (see https://deb.bolding-bruggeman.com,</w:t>
      </w:r>
      <w:r>
        <w:t xml:space="preserve"> </w:t>
      </w:r>
      <w:r>
        <w:t xml:space="preserve">[53]</w:t>
      </w:r>
      <w:r>
        <w:t xml:space="preserve">). In addition, software packages such as</w:t>
      </w:r>
      <w:r>
        <w:t xml:space="preserve"> </w:t>
      </w:r>
      <w:r>
        <w:rPr>
          <w:i/>
          <w:iCs/>
        </w:rPr>
        <w:t xml:space="preserve">NicheMapR</w:t>
      </w:r>
      <w:r>
        <w:t xml:space="preserve"> </w:t>
      </w:r>
      <w:r>
        <w:t xml:space="preserve">[54,55]</w:t>
      </w:r>
      <w:r>
        <w:t xml:space="preserve"> </w:t>
      </w:r>
      <w:r>
        <w:t xml:space="preserve">allow for simulations of life-cycles using parameters for diverse species. From these models key outputs on organisms such as body mass and size, reproductive success and events, along with survival can be used to parameterise vital rates needed for population and community models.</w:t>
      </w:r>
    </w:p>
    <w:bookmarkEnd w:id="25"/>
    <w:bookmarkStart w:id="26" w:name="Xbdb3df2871e98d114a1e4e74a52caa28253dc0c"/>
    <w:p>
      <w:pPr>
        <w:pStyle w:val="Heading1"/>
      </w:pPr>
      <w:r>
        <w:t xml:space="preserve">Mechanistic approaches that</w:t>
      </w:r>
      <w:r>
        <w:t xml:space="preserve"> </w:t>
      </w:r>
      <w:r>
        <w:t xml:space="preserve">‘</w:t>
      </w:r>
      <w:r>
        <w:t xml:space="preserve">speak</w:t>
      </w:r>
      <w:r>
        <w:t xml:space="preserve">’</w:t>
      </w:r>
      <w:r>
        <w:t xml:space="preserve"> </w:t>
      </w:r>
      <w:r>
        <w:t xml:space="preserve">to population and community ecology under extreme heat (Margie)</w:t>
      </w:r>
    </w:p>
    <w:p>
      <w:pPr>
        <w:pStyle w:val="FirstParagraph"/>
      </w:pPr>
      <w:r>
        <w:t xml:space="preserve">In the plant community and coexistence literature, the maintenance of community-level plant diversity is typically modelled using individual fitness models to parameterise population growth models. The most common Individual-based performance models used for this purpose in plants are the Ricker</w:t>
      </w:r>
      <w:r>
        <w:t xml:space="preserve"> </w:t>
      </w:r>
      <w:r>
        <w:t xml:space="preserve">[56]</w:t>
      </w:r>
      <w:r>
        <w:t xml:space="preserve"> </w:t>
      </w:r>
      <w:r>
        <w:t xml:space="preserve">and Beverton-Holt</w:t>
      </w:r>
      <w:r>
        <w:t xml:space="preserve"> </w:t>
      </w:r>
      <w:r>
        <w:t xml:space="preserve">[57]</w:t>
      </w:r>
      <w:r>
        <w:t xml:space="preserve"> </w:t>
      </w:r>
      <w:r>
        <w:t xml:space="preserve">models. Both of these models assume that species interactions are competitive in nature but the Ricker model allows interaction outcomes to be positive as well as negative, as long as the net outcome of interactions are negative. This is an important feature as ecological theory tells us that facilitative interactions between species, in which one or both species benefit from the presence of the other, are more common under stressful, or harsh, environments</w:t>
      </w:r>
      <w:r>
        <w:t xml:space="preserve"> </w:t>
      </w:r>
      <w:r>
        <w:t xml:space="preserve">[58]</w:t>
      </w:r>
      <w:r>
        <w:t xml:space="preserve">. In thinking about thermal extremes, it is likely that species experience a switch from amenable to harsh conditions, making it likely that interaction outcomes may flip signs</w:t>
      </w:r>
      <w:r>
        <w:t xml:space="preserve"> </w:t>
      </w:r>
      <w:r>
        <w:t xml:space="preserve">[22]</w:t>
      </w:r>
      <w:r>
        <w:t xml:space="preserve">.</w:t>
      </w:r>
    </w:p>
    <w:p>
      <w:pPr>
        <w:pStyle w:val="BodyText"/>
      </w:pPr>
      <w:r>
        <w:t xml:space="preserve">Based on modern coexistence theory, we can calculate the mutual invasibility of two populations while interacting with each other to determine if each pair of species in a community can persist indefinitely. This approach typically does not work for predicting whole community diversity, but the tools developed to test for coexistence are well suited to exploring how to link biophysical models with population growth models to advance out ability to predict how extreme thermal events will impact species in the long-term within a community context.</w:t>
      </w:r>
    </w:p>
    <w:p>
      <w:pPr>
        <w:pStyle w:val="BodyText"/>
      </w:pPr>
      <w:r>
        <w:t xml:space="preserve">Recent efforts to increase the biological realism of coexistence models have focused on exploring ways to add environmental variation into these models. Basic coexistence models are parameterised using average fitness estimates for an average environment. Approaches for integrating demographic and environmental variation into these models are emerging</w:t>
      </w:r>
      <w:r>
        <w:t xml:space="preserve"> </w:t>
      </w:r>
      <w:r>
        <w:t xml:space="preserve">[22,23]</w:t>
      </w:r>
      <w:r>
        <w:t xml:space="preserve">. The calculation of technical coexistence is not necessary for these models to help us understand the impacts extreme heat will have on individual species within a community context. Understanding how population growth will be impacted by the biophysical and physiological consequences of extreme heat events are conceptually easy to add to Ricker and Beverton-Holt population growth models, with new Bayesian frameworks</w:t>
      </w:r>
      <w:r>
        <w:t xml:space="preserve"> </w:t>
      </w:r>
      <w:r>
        <w:t xml:space="preserve">[23]</w:t>
      </w:r>
      <w:r>
        <w:t xml:space="preserve"> </w:t>
      </w:r>
      <w:r>
        <w:t xml:space="preserve">also allowing us to calculate probabilities of population growth and coexistence of population experiencing these conditions. The simplest approach to this is to modify the vital rate functions used in these models to compare population growth predictions for species that have and have not been exposed to extreme heat during core life history stages. Physiological models can be used to estimate changes to fitness resulting from an extreme heat event. We can then model the difference in population growth rates for populations that have and have not experienced those events. We can increase complexity by following Bimler</w:t>
      </w:r>
      <w:r>
        <w:t xml:space="preserve"> </w:t>
      </w:r>
      <w:r>
        <w:rPr>
          <w:i/>
          <w:iCs/>
        </w:rPr>
        <w:t xml:space="preserve">et al.</w:t>
      </w:r>
      <w:r>
        <w:t xml:space="preserve"> </w:t>
      </w:r>
      <w:r>
        <w:t xml:space="preserve">[22]</w:t>
      </w:r>
      <w:r>
        <w:t xml:space="preserve">’s approach to measuring the effects of environmental gradients on the outcomes of pairwise species interactions and the calculation of species fitness and niche differences. We could use this same technique in combination with biophysical models to estimate the consequences of localized extreme heat of different local extremes on species interactions with each other and the carry-on effects these interactions have on species fitness within local communities. Taking this a step forward, new methods are now available for calculation interaction networks based on interaction outcomes calculated using Ricker or Beverton-Holt population growth models. Thus we could take these pairwise models of population growth and create whole community networks to assess how heatwaves will alter the structure of community network structures and stability in addition to pairwise interactions</w:t>
      </w:r>
      <w:r>
        <w:t xml:space="preserve"> </w:t>
      </w:r>
      <w:r>
        <w:t xml:space="preserve">[22]</w:t>
      </w:r>
      <w:r>
        <w:t xml:space="preserve">. The limitation of these methods is that they are data hungry, but even this can be handled by emerging approaches for reducing model complexity without losing model power</w:t>
      </w:r>
      <w:r>
        <w:t xml:space="preserve"> </w:t>
      </w:r>
      <w:r>
        <w:t xml:space="preserve">[59]</w:t>
      </w:r>
      <w:r>
        <w:t xml:space="preserve">.</w:t>
      </w:r>
    </w:p>
    <w:p>
      <w:pPr>
        <w:pStyle w:val="Compact"/>
        <w:numPr>
          <w:ilvl w:val="0"/>
          <w:numId w:val="1001"/>
        </w:numPr>
      </w:pPr>
      <w:r>
        <w:t xml:space="preserve">How can we link mechanistic physiological models with population and community ecology theory?</w:t>
      </w:r>
    </w:p>
    <w:p>
      <w:pPr>
        <w:pStyle w:val="Compact"/>
        <w:numPr>
          <w:ilvl w:val="0"/>
          <w:numId w:val="1001"/>
        </w:numPr>
      </w:pPr>
      <w:r>
        <w:t xml:space="preserve">Introducing population and network models to link outputs from DEB (survival, reproduction, abundance) to population growth.</w:t>
      </w:r>
    </w:p>
    <w:p>
      <w:pPr>
        <w:pStyle w:val="Compact"/>
        <w:numPr>
          <w:ilvl w:val="0"/>
          <w:numId w:val="1001"/>
        </w:numPr>
      </w:pPr>
      <w:r>
        <w:t xml:space="preserve">How people are analysing communities with network theory. Some important papers</w:t>
      </w:r>
      <w:r>
        <w:t xml:space="preserve"> </w:t>
      </w:r>
      <w:r>
        <w:t xml:space="preserve">[60]</w:t>
      </w:r>
      <w:r>
        <w:t xml:space="preserve"> </w:t>
      </w:r>
      <w:r>
        <w:t xml:space="preserve">[61]</w:t>
      </w:r>
      <w:r>
        <w:t xml:space="preserve"> </w:t>
      </w:r>
      <w:r>
        <w:t xml:space="preserve">[62]</w:t>
      </w:r>
      <w:r>
        <w:t xml:space="preserve"> </w:t>
      </w:r>
      <w:r>
        <w:t xml:space="preserve">[63]</w:t>
      </w:r>
      <w:r>
        <w:t xml:space="preserve"> </w:t>
      </w:r>
      <w:r>
        <w:t xml:space="preserve">[64]</w:t>
      </w:r>
      <w:r>
        <w:t xml:space="preserve"> </w:t>
      </w:r>
      <w:r>
        <w:t xml:space="preserve">[65]</w:t>
      </w:r>
      <w:r>
        <w:t xml:space="preserve"> </w:t>
      </w:r>
      <w:r>
        <w:t xml:space="preserve">[66]</w:t>
      </w:r>
      <w:r>
        <w:t xml:space="preserve"> </w:t>
      </w:r>
      <w:r>
        <w:t xml:space="preserve">Should also look at this book</w:t>
      </w:r>
      <w:r>
        <w:t xml:space="preserve"> </w:t>
      </w:r>
      <w:r>
        <w:t xml:space="preserve">[67]</w:t>
      </w:r>
    </w:p>
    <w:p>
      <w:pPr>
        <w:pStyle w:val="Compact"/>
        <w:numPr>
          <w:ilvl w:val="0"/>
          <w:numId w:val="1001"/>
        </w:numPr>
      </w:pPr>
      <w:r>
        <w:t xml:space="preserve">How can we capture interactions among species within the community to predict how heat stress will affect community structure?</w:t>
      </w:r>
    </w:p>
    <w:p>
      <w:pPr>
        <w:pStyle w:val="Compact"/>
        <w:numPr>
          <w:ilvl w:val="0"/>
          <w:numId w:val="1001"/>
        </w:numPr>
      </w:pPr>
      <w:r>
        <w:t xml:space="preserve">Figure 2: demonstrating how TLS, biophysical and DEB models can be used to predict heat stress impacts on plants and animals, growth, reproduction, survival. (Dan, Margie)</w:t>
      </w:r>
    </w:p>
    <w:p>
      <w:pPr>
        <w:pStyle w:val="Compact"/>
        <w:numPr>
          <w:ilvl w:val="0"/>
          <w:numId w:val="1001"/>
        </w:numPr>
      </w:pPr>
      <w:r>
        <w:t xml:space="preserve">Also this is a cool paper</w:t>
      </w:r>
      <w:r>
        <w:t xml:space="preserve"> </w:t>
      </w:r>
      <w:r>
        <w:t xml:space="preserve">[68]</w:t>
      </w:r>
      <w:r>
        <w:t xml:space="preserve"> </w:t>
      </w:r>
      <w:r>
        <w:t xml:space="preserve">on carnivores diets by DNA sequencing fecal data</w:t>
      </w:r>
      <w:r>
        <w:t xml:space="preserve"> </w:t>
      </w:r>
      <w:r>
        <w:t xml:space="preserve">-The other way to model interactions us using foundational community ecology/ species abundance models see</w:t>
      </w:r>
      <w:r>
        <w:t xml:space="preserve"> </w:t>
      </w:r>
      <w:r>
        <w:t xml:space="preserve">[69]</w:t>
      </w:r>
      <w:r>
        <w:t xml:space="preserve">. We can here model the actual abundance of a given species and it would seem more flexible to incorporate thermal tolerance infor into these models.</w:t>
      </w:r>
    </w:p>
    <w:p>
      <w:pPr>
        <w:pStyle w:val="Compact"/>
        <w:numPr>
          <w:ilvl w:val="0"/>
          <w:numId w:val="1001"/>
        </w:numPr>
      </w:pPr>
      <w:r>
        <w:t xml:space="preserve">have a close look at</w:t>
      </w:r>
      <w:r>
        <w:t xml:space="preserve"> </w:t>
      </w:r>
      <w:r>
        <w:t xml:space="preserve">[70]</w:t>
      </w:r>
      <w:r>
        <w:t xml:space="preserve"> </w:t>
      </w:r>
      <w:r>
        <w:t xml:space="preserve">and</w:t>
      </w:r>
      <w:r>
        <w:t xml:space="preserve"> </w:t>
      </w:r>
      <w:r>
        <w:t xml:space="preserve">[71]</w:t>
      </w:r>
      <w:r>
        <w:t xml:space="preserve">, limitations</w:t>
      </w:r>
      <w:r>
        <w:t xml:space="preserve"> </w:t>
      </w:r>
      <w:r>
        <w:t xml:space="preserve">[72]</w:t>
      </w:r>
    </w:p>
    <w:bookmarkEnd w:id="26"/>
    <w:bookmarkStart w:id="32" w:name="Xe7540e51cb84d29e47d083817996607ca5f8009"/>
    <w:p>
      <w:pPr>
        <w:pStyle w:val="Heading1"/>
      </w:pPr>
      <w:r>
        <w:t xml:space="preserve">Incorporating context-dependent environmental feedback to evaluate resilience to extreme heat (Brajesh, Brendan, James, Everyone else who wants to contribute)</w:t>
      </w:r>
    </w:p>
    <w:p>
      <w:pPr>
        <w:pStyle w:val="Compact"/>
        <w:numPr>
          <w:ilvl w:val="0"/>
          <w:numId w:val="1002"/>
        </w:numPr>
      </w:pPr>
      <w:r>
        <w:t xml:space="preserve">Goal of this section is to briefly focus on the BIOLOGY that will shift thermal exposure and sensitivity in plants and animals.</w:t>
      </w:r>
    </w:p>
    <w:p>
      <w:pPr>
        <w:pStyle w:val="Compact"/>
        <w:numPr>
          <w:ilvl w:val="0"/>
          <w:numId w:val="1002"/>
        </w:numPr>
      </w:pPr>
      <w:r>
        <w:t xml:space="preserve">I</w:t>
      </w:r>
      <w:r>
        <w:t xml:space="preserve"> </w:t>
      </w:r>
      <w:r>
        <w:rPr>
          <w:b/>
          <w:bCs/>
        </w:rPr>
        <w:t xml:space="preserve">just</w:t>
      </w:r>
      <w:r>
        <w:t xml:space="preserve"> </w:t>
      </w:r>
      <w:r>
        <w:t xml:space="preserve">found this important paper for which a lot can be gleaned upon. Many of the important things we have been discussing are discussed in here:</w:t>
      </w:r>
      <w:r>
        <w:t xml:space="preserve"> </w:t>
      </w:r>
      <w:r>
        <w:t xml:space="preserve">[26]</w:t>
      </w:r>
      <w:r>
        <w:t xml:space="preserve">, so we should be careful to make our narrative distinct. The limitation of this study is it lacks the focus on modelling frameworks, so I think us distinguishing how we link these concepts back into the model would be quite novel and distinguish ourselves from them..</w:t>
      </w:r>
    </w:p>
    <w:p>
      <w:pPr>
        <w:pStyle w:val="Compact"/>
        <w:numPr>
          <w:ilvl w:val="0"/>
          <w:numId w:val="1002"/>
        </w:numPr>
      </w:pPr>
      <w:r>
        <w:t xml:space="preserve">Then, we overlay briefly how we might capture that in the modelling framework we setup above. For example, you all write the biology and we then need to think about how we can adjust models to capture these nuances.</w:t>
      </w:r>
    </w:p>
    <w:p>
      <w:pPr>
        <w:pStyle w:val="Compact"/>
        <w:numPr>
          <w:ilvl w:val="0"/>
          <w:numId w:val="1002"/>
        </w:numPr>
      </w:pPr>
      <w:r>
        <w:t xml:space="preserve">If uncertain about adding a sentence to the link to the models above, that’s ok, Dan, Mike, Margie and Belinda can add.</w:t>
      </w:r>
    </w:p>
    <w:bookmarkStart w:id="27" w:name="X1b136e3eae891c477bc728d2597e572ca649eaa"/>
    <w:p>
      <w:pPr>
        <w:pStyle w:val="Heading3"/>
      </w:pPr>
      <w:r>
        <w:t xml:space="preserve">Microbial communities can impact thermal sensitivity in plants and animals (Brajesh)</w:t>
      </w:r>
    </w:p>
    <w:p>
      <w:pPr>
        <w:pStyle w:val="Compact"/>
        <w:numPr>
          <w:ilvl w:val="0"/>
          <w:numId w:val="1003"/>
        </w:numPr>
      </w:pPr>
      <w:r>
        <w:t xml:space="preserve">Here’s some text of a cool example I had written up. Feel free to use Braj or shift completely if you’d like.</w:t>
      </w:r>
      <w:r>
        <w:t xml:space="preserve"> </w:t>
      </w:r>
      <w:r>
        <w:t xml:space="preserve">Interactions with symbiotic microbiota can also directly impact thermal tolerance of a focal species. For example, in plants, Márquez</w:t>
      </w:r>
      <w:r>
        <w:t xml:space="preserve"> </w:t>
      </w:r>
      <w:r>
        <w:rPr>
          <w:i/>
          <w:iCs/>
        </w:rPr>
        <w:t xml:space="preserve">et. al</w:t>
      </w:r>
      <w:r>
        <w:t xml:space="preserve"> </w:t>
      </w:r>
      <w:r>
        <w:t xml:space="preserve">[37]</w:t>
      </w:r>
      <w:r>
        <w:t xml:space="preserve"> </w:t>
      </w:r>
      <w:r>
        <w:t xml:space="preserve">describe a three-way mutualistic association between a tropical panic grass (</w:t>
      </w:r>
      <w:r>
        <w:rPr>
          <w:i/>
          <w:iCs/>
        </w:rPr>
        <w:t xml:space="preserve">Dichanthelium lanuginosum</w:t>
      </w:r>
      <w:r>
        <w:t xml:space="preserve">), the fungus,</w:t>
      </w:r>
      <w:r>
        <w:t xml:space="preserve"> </w:t>
      </w:r>
      <w:r>
        <w:rPr>
          <w:i/>
          <w:iCs/>
        </w:rPr>
        <w:t xml:space="preserve">Curvularia protuberata</w:t>
      </w:r>
      <w:r>
        <w:t xml:space="preserve">, and a</w:t>
      </w:r>
      <w:r>
        <w:t xml:space="preserve"> </w:t>
      </w:r>
      <w:r>
        <w:rPr>
          <w:i/>
          <w:iCs/>
        </w:rPr>
        <w:t xml:space="preserve">Curvularia</w:t>
      </w:r>
      <w:r>
        <w:t xml:space="preserve"> </w:t>
      </w:r>
      <w:r>
        <w:t xml:space="preserve">virus whereby thermal tolerance of the fungus and grass is highly dependent on fungal-virus associations. Endophytic fungus cured of the virus were unable to survive extreme heating events (temperatures of 65</w:t>
      </w:r>
      <m:oMath>
        <m:sSup>
          <m:e>
            <m:r>
              <m:t>​</m:t>
            </m:r>
          </m:e>
          <m:sup>
            <m:r>
              <m:rPr>
                <m:sty m:val="p"/>
              </m:rPr>
              <m:t>∘</m:t>
            </m:r>
          </m:sup>
        </m:sSup>
      </m:oMath>
      <w:r>
        <w:t xml:space="preserve">C for 2 weeks). However, when the fungus were inoculated with the virus, heat tolerance was restored. Fascinatingly, the virus could be manipulated to confer heat tolerance to tomato (</w:t>
      </w:r>
      <w:r>
        <w:rPr>
          <w:i/>
          <w:iCs/>
        </w:rPr>
        <w:t xml:space="preserve">Solanum lycopersicon</w:t>
      </w:r>
      <w:r>
        <w:t xml:space="preserve">) demonstrating the potential for conferring thermal tolerance to other plant species. The mechanisms by which fungal-virus associations confer thermal tolerance are not yet understood but are hypothesized to involve scavenging of reactive oxygen species (ROS) by fungal endophytes generated by plant defense mechanisms in response to heat stress.</w:t>
      </w:r>
    </w:p>
    <w:p>
      <w:pPr>
        <w:pStyle w:val="Compact"/>
        <w:numPr>
          <w:ilvl w:val="0"/>
          <w:numId w:val="1003"/>
        </w:numPr>
      </w:pPr>
      <w:r>
        <w:t xml:space="preserve">See</w:t>
      </w:r>
      <w:r>
        <w:t xml:space="preserve"> </w:t>
      </w:r>
      <w:r>
        <w:t xml:space="preserve">[73]</w:t>
      </w:r>
      <w:r>
        <w:t xml:space="preserve">. The paper provides a framework for modelling soil plant interactions</w:t>
      </w:r>
    </w:p>
    <w:bookmarkEnd w:id="27"/>
    <w:bookmarkStart w:id="28" w:name="X24738ef4513767bb724ce8804ac017259eaf2ee"/>
    <w:p>
      <w:pPr>
        <w:pStyle w:val="Heading3"/>
      </w:pPr>
      <w:r>
        <w:t xml:space="preserve">Water availability can impact thermal sensitivity of plants and animals (Brendan)</w:t>
      </w:r>
    </w:p>
    <w:bookmarkEnd w:id="28"/>
    <w:bookmarkStart w:id="29" w:name="X1934a01dca617640c62902cb6b54ad742133dfc"/>
    <w:p>
      <w:pPr>
        <w:pStyle w:val="Heading3"/>
      </w:pPr>
      <w:r>
        <w:t xml:space="preserve">Competition can impact thermal sensitivity of plants and animals (James? Feel free to add a different section title here.)</w:t>
      </w:r>
    </w:p>
    <w:p>
      <w:pPr>
        <w:pStyle w:val="Compact"/>
        <w:numPr>
          <w:ilvl w:val="0"/>
          <w:numId w:val="1004"/>
        </w:numPr>
      </w:pPr>
      <w:r>
        <w:t xml:space="preserve">James. Added some text around a few examples below. Feel fre eto use/integrate or completely throw away. Or, we can move some of this into other sections.</w:t>
      </w:r>
      <w:r>
        <w:t xml:space="preserve"> </w:t>
      </w:r>
      <w:r>
        <w:t xml:space="preserve">Competition among species within a community can influence a focal species’ tolerance to heat stress. Competition can influence microhabitat selection and the availability of thermal refugia which can protect against thermal extremes, the diet of a focal species that can indirectly influence physiological tolerance of temperature stress, and the availability of resources that can help buffer against heat stress. For example, Li</w:t>
      </w:r>
      <w:r>
        <w:t xml:space="preserve"> </w:t>
      </w:r>
      <w:r>
        <w:rPr>
          <w:i/>
          <w:iCs/>
        </w:rPr>
        <w:t xml:space="preserve">et al.</w:t>
      </w:r>
      <w:r>
        <w:t xml:space="preserve"> </w:t>
      </w:r>
      <w:r>
        <w:t xml:space="preserve">[74]</w:t>
      </w:r>
      <w:r>
        <w:t xml:space="preserve"> </w:t>
      </w:r>
      <w:r>
        <w:t xml:space="preserve">measured the thermal tolerance landscape for three aphid species that are pests for cereal crops globally to understand whether they could predict changes in community abundance. Using a thermal death time (TDT) approach to estimate the cumulative impacts of heat stress on survival they found that one species,</w:t>
      </w:r>
      <w:r>
        <w:t xml:space="preserve"> </w:t>
      </w:r>
      <w:r>
        <w:rPr>
          <w:i/>
          <w:iCs/>
        </w:rPr>
        <w:t xml:space="preserve">Rhopalosiphum padi</w:t>
      </w:r>
      <w:r>
        <w:t xml:space="preserve">, showed high heat tolerance and accumulated less injury over natural temperature fluctuations. The ability to maintain high relative abundance in the face of extreme heat may allow this species to outcompete other aphids explaining why it dominates in southern parts of its range.</w:t>
      </w:r>
    </w:p>
    <w:p>
      <w:pPr>
        <w:pStyle w:val="FirstParagraph"/>
      </w:pPr>
      <w:r>
        <w:t xml:space="preserve">Li</w:t>
      </w:r>
      <w:r>
        <w:t xml:space="preserve"> </w:t>
      </w:r>
      <w:r>
        <w:rPr>
          <w:i/>
          <w:iCs/>
        </w:rPr>
        <w:t xml:space="preserve">et al.</w:t>
      </w:r>
      <w:r>
        <w:t xml:space="preserve"> </w:t>
      </w:r>
      <w:r>
        <w:t xml:space="preserve">[74]</w:t>
      </w:r>
      <w:r>
        <w:t xml:space="preserve"> </w:t>
      </w:r>
      <w:r>
        <w:t xml:space="preserve">also found that different life-stages were affected differently by heat stress, with adults being more thermally tolerant than early developmental stages emphasising the need for models to capture such variation. However, such findings do not incorporate acclimation to heat stress or different microhabitat choice by the different species, which are both likely to be important for predicting the impacts of heat stress on community structure. It also ignores how interspecific interactions between competing aphid species will also likely mediate species abundance. It would be worth while integrating thermal tolerance landscapes with ecological models that capture interspecific interactions to better predict how heat stress will affect community structure.</w:t>
      </w:r>
    </w:p>
    <w:bookmarkEnd w:id="29"/>
    <w:bookmarkStart w:id="30" w:name="Xdbc91e02dcd505372e716f3d2147fb46ffba4bf"/>
    <w:p>
      <w:pPr>
        <w:pStyle w:val="Heading3"/>
      </w:pPr>
      <w:r>
        <w:t xml:space="preserve">Acclimation can impact thermal sensitivity of plants and animals (Everyone)</w:t>
      </w:r>
    </w:p>
    <w:p>
      <w:pPr>
        <w:pStyle w:val="FirstParagraph"/>
      </w:pPr>
      <w:r>
        <w:t xml:space="preserve">A very important paper</w:t>
      </w:r>
      <w:r>
        <w:t xml:space="preserve"> </w:t>
      </w:r>
      <w:r>
        <w:t xml:space="preserve">[75]</w:t>
      </w:r>
      <w:r>
        <w:t xml:space="preserve">. Connects heat tolerance to population matrix models. And, shows acclimation responses (heat hardening).</w:t>
      </w:r>
    </w:p>
    <w:bookmarkEnd w:id="30"/>
    <w:bookmarkStart w:id="31" w:name="X1f820984f57b727edc20965138ee13069f96c01"/>
    <w:p>
      <w:pPr>
        <w:pStyle w:val="Heading3"/>
      </w:pPr>
      <w:r>
        <w:t xml:space="preserve">Phenology and activity pattern shifts mediating interactions (James?)</w:t>
      </w:r>
    </w:p>
    <w:bookmarkEnd w:id="31"/>
    <w:bookmarkEnd w:id="32"/>
    <w:bookmarkStart w:id="33" w:name="X42ca7aa69937316dee7b1e100d4320aa777518f"/>
    <w:p>
      <w:pPr>
        <w:pStyle w:val="Heading1"/>
      </w:pPr>
      <w:r>
        <w:t xml:space="preserve">‘</w:t>
      </w:r>
      <w:r>
        <w:t xml:space="preserve">Hot</w:t>
      </w:r>
      <w:r>
        <w:t xml:space="preserve">’</w:t>
      </w:r>
      <w:r>
        <w:t xml:space="preserve"> </w:t>
      </w:r>
      <w:r>
        <w:t xml:space="preserve">solutions for a changing world (Alison, Owen and Belinda, Mike)</w:t>
      </w:r>
    </w:p>
    <w:p>
      <w:pPr>
        <w:pStyle w:val="Compact"/>
        <w:numPr>
          <w:ilvl w:val="0"/>
          <w:numId w:val="1005"/>
        </w:numPr>
      </w:pPr>
      <w:r>
        <w:t xml:space="preserve">Here, we bring in what we can do with these models, I think we highlight some of the key elements of the solutions strand ideas where we can apply the models in the agricultural and natural space.</w:t>
      </w:r>
    </w:p>
    <w:p>
      <w:pPr>
        <w:pStyle w:val="Compact"/>
        <w:numPr>
          <w:ilvl w:val="0"/>
          <w:numId w:val="1005"/>
        </w:numPr>
      </w:pPr>
      <w:r>
        <w:t xml:space="preserve">Enhancing resilience</w:t>
      </w:r>
      <w:r>
        <w:t xml:space="preserve"> </w:t>
      </w:r>
      <w:r>
        <w:t xml:space="preserve">-</w:t>
      </w:r>
      <w:r>
        <w:rPr>
          <w:i/>
          <w:iCs/>
        </w:rPr>
        <w:t xml:space="preserve">Selective breeding</w:t>
      </w:r>
      <w:r>
        <w:t xml:space="preserve">: Artificial selection will be a useful avenue for both plants and animals to enhance thermal tolerance. Models can help evaluate how changes in sensitivity can cascade to influence community structure and function (Alison, Owen, Dani, Others)</w:t>
      </w:r>
    </w:p>
    <w:p>
      <w:pPr>
        <w:pStyle w:val="Compact"/>
        <w:numPr>
          <w:ilvl w:val="1"/>
          <w:numId w:val="1006"/>
        </w:numPr>
      </w:pPr>
      <w:r>
        <w:t xml:space="preserve">Microbial recruitment (Braj)</w:t>
      </w:r>
    </w:p>
    <w:p>
      <w:pPr>
        <w:pStyle w:val="Compact"/>
        <w:numPr>
          <w:ilvl w:val="1"/>
          <w:numId w:val="1006"/>
        </w:numPr>
      </w:pPr>
      <w:r>
        <w:t xml:space="preserve">Pollinator services (James, Margie)</w:t>
      </w:r>
    </w:p>
    <w:p>
      <w:pPr>
        <w:pStyle w:val="Compact"/>
        <w:numPr>
          <w:ilvl w:val="0"/>
          <w:numId w:val="1005"/>
        </w:numPr>
      </w:pPr>
      <w:r>
        <w:t xml:space="preserve">Cooler landscapes</w:t>
      </w:r>
    </w:p>
    <w:p>
      <w:pPr>
        <w:pStyle w:val="Compact"/>
        <w:numPr>
          <w:ilvl w:val="1"/>
          <w:numId w:val="1007"/>
        </w:numPr>
      </w:pPr>
      <w:r>
        <w:rPr>
          <w:i/>
          <w:iCs/>
        </w:rPr>
        <w:t xml:space="preserve">Cooler landscapes</w:t>
      </w:r>
      <w:r>
        <w:t xml:space="preserve">: Landscapes can be designed to provide thermal refugia for plants and animals. For example, planting trees in urban areas can provide shade and reduce the urban heat island effect. Similarly, planting hedgerows in agricultural landscapes can provide thermal refugia for beneficial insects and pollinators. (Mike, Belinda)</w:t>
      </w:r>
    </w:p>
    <w:p>
      <w:pPr>
        <w:pStyle w:val="Compact"/>
        <w:numPr>
          <w:ilvl w:val="0"/>
          <w:numId w:val="1005"/>
        </w:numPr>
      </w:pPr>
      <w:r>
        <w:t xml:space="preserve">Pest and disease prediction and control. (Ary)</w:t>
      </w:r>
    </w:p>
    <w:p>
      <w:pPr>
        <w:pStyle w:val="Compact"/>
        <w:numPr>
          <w:ilvl w:val="0"/>
          <w:numId w:val="1005"/>
        </w:numPr>
      </w:pPr>
      <w:r>
        <w:t xml:space="preserve">Conservation (Adrienne?)</w:t>
      </w:r>
    </w:p>
    <w:bookmarkEnd w:id="33"/>
    <w:bookmarkStart w:id="34" w:name="Xf9650dc0ea0b351fc010b34968d2cf3bde51c90"/>
    <w:p>
      <w:pPr>
        <w:pStyle w:val="Heading1"/>
      </w:pPr>
      <w:r>
        <w:t xml:space="preserve">Interacting species interacting with people: social-ecological systems (Steven and Xuemei) (~300-500 words)</w:t>
      </w:r>
    </w:p>
    <w:p>
      <w:pPr>
        <w:pStyle w:val="FirstParagraph"/>
      </w:pPr>
      <w:r>
        <w:t xml:space="preserve">Thermal stress to ecosystems may threaten the services those ecosystems provide to people</w:t>
      </w:r>
      <w:r>
        <w:t xml:space="preserve"> </w:t>
      </w:r>
      <w:r>
        <w:t xml:space="preserve">[76]</w:t>
      </w:r>
      <w:r>
        <w:t xml:space="preserve">. For example, loss of output from production ecosystems will have substantial economic consequences for the local area. Degradation of natural ecosystems may affect their regulating services, such as flood mitigation, affecting nearby areas. Impacts on cultural services may be severe for communities that are closely connected to a landscape.</w:t>
      </w:r>
    </w:p>
    <w:p>
      <w:pPr>
        <w:pStyle w:val="BodyText"/>
      </w:pPr>
      <w:r>
        <w:t xml:space="preserve">In turn, people may respond to thermal risks to ecosystems in a variety of ways. For example, farmers or ecosystem managers may introduce new species or alter management practices; partial loss of ecosystems may lead farmers to farm remaining production ecosystems more intensively; and thermal stress may lead people to leave those areas where the stress is occurring, potentially leaving remaining communities more vulnerable to the impacts of thermal stress</w:t>
      </w:r>
      <w:r>
        <w:t xml:space="preserve"> </w:t>
      </w:r>
      <w:r>
        <w:t xml:space="preserve">[77]</w:t>
      </w:r>
      <w:r>
        <w:t xml:space="preserve">. Thermal stressors may even influence producers’ psychological beliefs about their level of control over land management, and perceived resources available for management practices</w:t>
      </w:r>
      <w:r>
        <w:t xml:space="preserve"> </w:t>
      </w:r>
      <w:r>
        <w:t xml:space="preserve">[78]</w:t>
      </w:r>
      <w:r>
        <w:t xml:space="preserve">. Thermal risks to ecosystems may also precipitate declines in individual wellbeing, and these consequences may accrue differently across regions and across peoples</w:t>
      </w:r>
      <w:r>
        <w:t xml:space="preserve"> </w:t>
      </w:r>
      <w:r>
        <w:t xml:space="preserve">[79]</w:t>
      </w:r>
      <w:r>
        <w:t xml:space="preserve">, and compound or accelerate the prior responses. Many of these impacts and responses, however, are poorly understood.</w:t>
      </w:r>
    </w:p>
    <w:p>
      <w:pPr>
        <w:pStyle w:val="BodyText"/>
      </w:pPr>
      <w:r>
        <w:t xml:space="preserve">The impacts of thermal stress on ecosystems can affect not only nearby communities but also human dominant systems such as cities far away from the affected ecosystems. Cities are human dominant complex systems that are intrinsically connected to and relying on other regions to maintain their functionality</w:t>
      </w:r>
      <w:r>
        <w:t xml:space="preserve"> </w:t>
      </w:r>
      <w:r>
        <w:t xml:space="preserve">[80,81]</w:t>
      </w:r>
      <w:r>
        <w:t xml:space="preserve">. On the other hand, adapting thermal risks in upper stream producers may also be influenced by the perception and behaviour of downstream consumers</w:t>
      </w:r>
      <w:r>
        <w:t xml:space="preserve"> </w:t>
      </w:r>
      <w:r>
        <w:t xml:space="preserve">[82]</w:t>
      </w:r>
      <w:r>
        <w:t xml:space="preserve">. The cascading</w:t>
      </w:r>
      <w:r>
        <w:t xml:space="preserve"> </w:t>
      </w:r>
      <w:r>
        <w:t xml:space="preserve">[83]</w:t>
      </w:r>
      <w:r>
        <w:t xml:space="preserve"> </w:t>
      </w:r>
      <w:r>
        <w:t xml:space="preserve">and telecoupled</w:t>
      </w:r>
      <w:r>
        <w:t xml:space="preserve"> </w:t>
      </w:r>
      <w:r>
        <w:t xml:space="preserve">[84]</w:t>
      </w:r>
      <w:r>
        <w:t xml:space="preserve"> </w:t>
      </w:r>
      <w:r>
        <w:t xml:space="preserve">impacts on urban systems can be manifested through multiple ways. For example, extreme heat stress may affect essential ecosystem services such as food production (ref), which can in turn affect price and access to food to people living in urban centers, with financial, economic and health consequences. The impacts on local communities could lead to loss of livelihood, which forms a pressure that push rural people to migrate to cities</w:t>
      </w:r>
      <w:r>
        <w:t xml:space="preserve"> </w:t>
      </w:r>
      <w:r>
        <w:t xml:space="preserve">[85]</w:t>
      </w:r>
      <w:r>
        <w:t xml:space="preserve">. These external pressures will interact with a system that is already constraint by multiple stressors, including direct impacts imposed by extreme heat and other aspects of clime change- to maintaining its normal functionality and the health and wellbeing of its citizens. If sufficiently widespread, economic and political destabilisation may occur as already observed in other parts of the world</w:t>
      </w:r>
      <w:r>
        <w:t xml:space="preserve"> </w:t>
      </w:r>
      <w:r>
        <w:t xml:space="preserve">[86]</w:t>
      </w:r>
      <w:r>
        <w:t xml:space="preserve">, which could in turn affect the management of the original ecosystems.</w:t>
      </w:r>
    </w:p>
    <w:p>
      <w:pPr>
        <w:pStyle w:val="BodyText"/>
      </w:pPr>
      <w:r>
        <w:t xml:space="preserve">Understand these relationships between people and nature requires adopting a social-ecological systems perspective, where people and nature are interdependent and intertwined</w:t>
      </w:r>
      <w:r>
        <w:t xml:space="preserve"> </w:t>
      </w:r>
      <w:r>
        <w:t xml:space="preserve">[87]</w:t>
      </w:r>
      <w:r>
        <w:t xml:space="preserve">. Social-ecological models aim to capture the social systems, natural systems and their interactions</w:t>
      </w:r>
      <w:r>
        <w:t xml:space="preserve"> </w:t>
      </w:r>
      <w:r>
        <w:t xml:space="preserve">[88]</w:t>
      </w:r>
      <w:r>
        <w:t xml:space="preserve">. Such models can display non-trivial emergent behaviour resulting from complex interactions within the social-ecological systems. For example, responding to decreased productivity from thermal stress by farming more intensively could lead to a maladaptation or</w:t>
      </w:r>
      <w:r>
        <w:t xml:space="preserve"> </w:t>
      </w:r>
      <w:r>
        <w:t xml:space="preserve">‘</w:t>
      </w:r>
      <w:r>
        <w:t xml:space="preserve">lock-in</w:t>
      </w:r>
      <w:r>
        <w:t xml:space="preserve">’</w:t>
      </w:r>
      <w:r>
        <w:t xml:space="preserve"> </w:t>
      </w:r>
      <w:r>
        <w:t xml:space="preserve">from which it is difficult to escape</w:t>
      </w:r>
      <w:r>
        <w:t xml:space="preserve"> </w:t>
      </w:r>
      <w:r>
        <w:t xml:space="preserve">[89]</w:t>
      </w:r>
      <w:r>
        <w:t xml:space="preserve">.</w:t>
      </w:r>
    </w:p>
    <w:bookmarkEnd w:id="34"/>
    <w:bookmarkStart w:id="40" w:name="X78b08fde953bb9dcb9bb22555137d822070b4a9"/>
    <w:p>
      <w:pPr>
        <w:pStyle w:val="Heading1"/>
      </w:pPr>
      <w:r>
        <w:t xml:space="preserve">Future directions: modelling challenges, gaps and possible solutions</w:t>
      </w:r>
    </w:p>
    <w:bookmarkStart w:id="35" w:name="Xfdf6778d6c1a7f88e581fd361ab93058637952f"/>
    <w:p>
      <w:pPr>
        <w:pStyle w:val="Heading4"/>
      </w:pPr>
      <w:r>
        <w:rPr>
          <w:i/>
          <w:iCs/>
        </w:rPr>
        <w:t xml:space="preserve">Data Limitations for Applying DEB Theory</w:t>
      </w:r>
      <w:r>
        <w:t xml:space="preserve">: (Mike) Requires lots of information on a given species to model life-cycles, challenges in applying stage-structured populations (metamorphosis) others….Solutions?</w:t>
      </w:r>
    </w:p>
    <w:bookmarkEnd w:id="35"/>
    <w:bookmarkStart w:id="36" w:name="X31af800422944976d7563c55da852b974856f47"/>
    <w:p>
      <w:pPr>
        <w:pStyle w:val="Heading4"/>
      </w:pPr>
      <w:r>
        <w:rPr>
          <w:i/>
          <w:iCs/>
        </w:rPr>
        <w:t xml:space="preserve">Better understanding of the mechanisms enhancing thermal tolerance in plants and animals</w:t>
      </w:r>
      <w:r>
        <w:t xml:space="preserve">: We need to understand the genomic, cellular and physiological processes that confer greater thermal tolerance and help prepare organisms for future heat stress events.</w:t>
      </w:r>
    </w:p>
    <w:bookmarkEnd w:id="36"/>
    <w:bookmarkStart w:id="37" w:name="Xbb6a1781224964eec5409b3879f03550788dea1"/>
    <w:p>
      <w:pPr>
        <w:pStyle w:val="Heading4"/>
      </w:pPr>
      <w:r>
        <w:rPr>
          <w:i/>
          <w:iCs/>
        </w:rPr>
        <w:t xml:space="preserve">Behavioural responses to heat stress</w:t>
      </w:r>
      <w:r>
        <w:t xml:space="preserve">: Animals behave. We need to model that. How do changes in behaviour impact interactions with other species and the environment. How might this impact plant productivity (Mike, Dan, DEB models)</w:t>
      </w:r>
    </w:p>
    <w:bookmarkEnd w:id="37"/>
    <w:bookmarkStart w:id="38" w:name="Xebf598c8d62402443261428456b1d908a4618f8"/>
    <w:p>
      <w:pPr>
        <w:pStyle w:val="Heading4"/>
      </w:pPr>
      <w:r>
        <w:rPr>
          <w:i/>
          <w:iCs/>
        </w:rPr>
        <w:t xml:space="preserve">Evolutionary dynamics leading to changes in thermal sensitivity and exposure</w:t>
      </w:r>
      <w:r>
        <w:t xml:space="preserve">: We need to understand how thermal sensitivity and exposure will evolve in response to climate change. Probably could cite</w:t>
      </w:r>
      <w:r>
        <w:t xml:space="preserve"> </w:t>
      </w:r>
      <w:r>
        <w:t xml:space="preserve">[90]</w:t>
      </w:r>
      <w:r>
        <w:t xml:space="preserve"> </w:t>
      </w:r>
      <w:r>
        <w:t xml:space="preserve">(Ary)</w:t>
      </w:r>
    </w:p>
    <w:bookmarkEnd w:id="38"/>
    <w:bookmarkStart w:id="39" w:name="Xf716fb10002f9360210b8203424711763374548"/>
    <w:p>
      <w:pPr>
        <w:pStyle w:val="Heading4"/>
      </w:pPr>
      <w:r>
        <w:rPr>
          <w:i/>
          <w:iCs/>
        </w:rPr>
        <w:t xml:space="preserve">Trade-offs between thermal tolerance and other traits</w:t>
      </w:r>
      <w:r>
        <w:t xml:space="preserve">: We need to understand the trade-offs between thermal tolerance and other traits such as growth rate, reproduction, and competitive ability. It is fine to confer greater thermal tolerance resistance but if this comes at a cost to reproduction, growth or biomass accumulation, then it may not be beneficial. (Dani, James, Brendan)</w:t>
      </w:r>
    </w:p>
    <w:bookmarkEnd w:id="39"/>
    <w:bookmarkEnd w:id="40"/>
    <w:bookmarkStart w:id="132" w:name="references"/>
    <w:p>
      <w:pPr>
        <w:pStyle w:val="Heading1"/>
      </w:pPr>
      <w:r>
        <w:t xml:space="preserve">References</w:t>
      </w:r>
    </w:p>
    <w:bookmarkStart w:id="131" w:name="refs"/>
    <w:bookmarkStart w:id="41" w:name="ref-Barriopedro2023"/>
    <w:p>
      <w:pPr>
        <w:pStyle w:val="Bibliography"/>
      </w:pPr>
      <w:r>
        <w:t xml:space="preserve">1.</w:t>
      </w:r>
      <w:r>
        <w:t xml:space="preserve"> </w:t>
      </w:r>
      <w:r>
        <w:t xml:space="preserve">	</w:t>
      </w:r>
      <w:r>
        <w:t xml:space="preserve">Barriopedro, D.</w:t>
      </w:r>
      <w:r>
        <w:t xml:space="preserve"> </w:t>
      </w:r>
      <w:r>
        <w:rPr>
          <w:i/>
          <w:iCs/>
        </w:rPr>
        <w:t xml:space="preserve">et al.</w:t>
      </w:r>
      <w:r>
        <w:t xml:space="preserve"> </w:t>
      </w:r>
      <w:r>
        <w:t xml:space="preserve">(2023) Heat waves: Physical understanding and scientific challenges.</w:t>
      </w:r>
      <w:r>
        <w:t xml:space="preserve"> </w:t>
      </w:r>
      <w:r>
        <w:rPr>
          <w:i/>
          <w:iCs/>
        </w:rPr>
        <w:t xml:space="preserve">Rev. Geophys.</w:t>
      </w:r>
      <w:r>
        <w:t xml:space="preserve"> </w:t>
      </w:r>
      <w:r>
        <w:t xml:space="preserve">61, e2022RG000780</w:t>
      </w:r>
    </w:p>
    <w:bookmarkEnd w:id="41"/>
    <w:bookmarkStart w:id="42" w:name="ref-Aglas-Leitner2024"/>
    <w:p>
      <w:pPr>
        <w:pStyle w:val="Bibliography"/>
      </w:pPr>
      <w:r>
        <w:t xml:space="preserve">2.</w:t>
      </w:r>
      <w:r>
        <w:t xml:space="preserve"> </w:t>
      </w:r>
      <w:r>
        <w:t xml:space="preserve">	</w:t>
      </w:r>
      <w:r>
        <w:t xml:space="preserve">Aglas-Leitner, P.</w:t>
      </w:r>
      <w:r>
        <w:t xml:space="preserve"> </w:t>
      </w:r>
      <w:r>
        <w:rPr>
          <w:i/>
          <w:iCs/>
        </w:rPr>
        <w:t xml:space="preserve">et al.</w:t>
      </w:r>
      <w:r>
        <w:t xml:space="preserve"> </w:t>
      </w:r>
      <w:r>
        <w:t xml:space="preserve">(2024)</w:t>
      </w:r>
      <w:r>
        <w:t xml:space="preserve"> </w:t>
      </w:r>
      <w:r>
        <w:rPr>
          <w:i/>
          <w:iCs/>
        </w:rPr>
        <w:t xml:space="preserve">Recent extreme heatwaves dwarfed by projected future events</w:t>
      </w:r>
      <w:r>
        <w:t xml:space="preserve">, Copernicus Meetings</w:t>
      </w:r>
    </w:p>
    <w:bookmarkEnd w:id="42"/>
    <w:bookmarkStart w:id="43" w:name="ref-Reichstein2007"/>
    <w:p>
      <w:pPr>
        <w:pStyle w:val="Bibliography"/>
      </w:pPr>
      <w:r>
        <w:t xml:space="preserve">3.</w:t>
      </w:r>
      <w:r>
        <w:t xml:space="preserve"> </w:t>
      </w:r>
      <w:r>
        <w:t xml:space="preserve">	</w:t>
      </w:r>
      <w:r>
        <w:t xml:space="preserve">Reichstein, M.</w:t>
      </w:r>
      <w:r>
        <w:t xml:space="preserve"> </w:t>
      </w:r>
      <w:r>
        <w:rPr>
          <w:i/>
          <w:iCs/>
        </w:rPr>
        <w:t xml:space="preserve">et al.</w:t>
      </w:r>
      <w:r>
        <w:t xml:space="preserve"> </w:t>
      </w:r>
      <w:r>
        <w:t xml:space="preserve">(2007) Reduction of ecosystem productivity and respiration during the european summer 2003 climate anomaly: A joint flux tower, remote sensing and modelling analysis.</w:t>
      </w:r>
      <w:r>
        <w:t xml:space="preserve"> </w:t>
      </w:r>
      <w:r>
        <w:rPr>
          <w:i/>
          <w:iCs/>
        </w:rPr>
        <w:t xml:space="preserve">Global Change Biology</w:t>
      </w:r>
      <w:r>
        <w:t xml:space="preserve"> </w:t>
      </w:r>
      <w:r>
        <w:t xml:space="preserve">13, 634–651</w:t>
      </w:r>
    </w:p>
    <w:bookmarkEnd w:id="43"/>
    <w:bookmarkStart w:id="44" w:name="ref-Margalef-Marrase2020"/>
    <w:p>
      <w:pPr>
        <w:pStyle w:val="Bibliography"/>
      </w:pPr>
      <w:r>
        <w:t xml:space="preserve">4.</w:t>
      </w:r>
      <w:r>
        <w:t xml:space="preserve"> </w:t>
      </w:r>
      <w:r>
        <w:t xml:space="preserve">	</w:t>
      </w:r>
      <w:r>
        <w:t xml:space="preserve">Margalef-Marrase, J.</w:t>
      </w:r>
      <w:r>
        <w:t xml:space="preserve"> </w:t>
      </w:r>
      <w:r>
        <w:rPr>
          <w:i/>
          <w:iCs/>
        </w:rPr>
        <w:t xml:space="preserve">et al.</w:t>
      </w:r>
      <w:r>
        <w:t xml:space="preserve"> </w:t>
      </w:r>
      <w:r>
        <w:t xml:space="preserve">(2020) Relationship between heatwave-induced forest die-off and climatic suitability in multiple tree species.</w:t>
      </w:r>
      <w:r>
        <w:t xml:space="preserve"> </w:t>
      </w:r>
      <w:r>
        <w:rPr>
          <w:i/>
          <w:iCs/>
        </w:rPr>
        <w:t xml:space="preserve">Global Change Biology</w:t>
      </w:r>
      <w:r>
        <w:t xml:space="preserve"> </w:t>
      </w:r>
      <w:r>
        <w:t xml:space="preserve">26, 3134–3146</w:t>
      </w:r>
    </w:p>
    <w:bookmarkEnd w:id="44"/>
    <w:bookmarkStart w:id="45" w:name="ref-Kazenel2024"/>
    <w:p>
      <w:pPr>
        <w:pStyle w:val="Bibliography"/>
      </w:pPr>
      <w:r>
        <w:t xml:space="preserve">5.</w:t>
      </w:r>
      <w:r>
        <w:t xml:space="preserve"> </w:t>
      </w:r>
      <w:r>
        <w:t xml:space="preserve">	</w:t>
      </w:r>
      <w:r>
        <w:t xml:space="preserve">Kazenel, M.R.</w:t>
      </w:r>
      <w:r>
        <w:t xml:space="preserve"> </w:t>
      </w:r>
      <w:r>
        <w:rPr>
          <w:i/>
          <w:iCs/>
        </w:rPr>
        <w:t xml:space="preserve">et al.</w:t>
      </w:r>
      <w:r>
        <w:t xml:space="preserve"> </w:t>
      </w:r>
      <w:r>
        <w:t xml:space="preserve">(2024) Heat and desiccation tolerances predict bee abundance under climate change.</w:t>
      </w:r>
      <w:r>
        <w:t xml:space="preserve"> </w:t>
      </w:r>
      <w:r>
        <w:rPr>
          <w:i/>
          <w:iCs/>
        </w:rPr>
        <w:t xml:space="preserve">Nature</w:t>
      </w:r>
    </w:p>
    <w:bookmarkEnd w:id="45"/>
    <w:bookmarkStart w:id="46" w:name="ref-Zhao2017"/>
    <w:p>
      <w:pPr>
        <w:pStyle w:val="Bibliography"/>
      </w:pPr>
      <w:r>
        <w:t xml:space="preserve">6.</w:t>
      </w:r>
      <w:r>
        <w:t xml:space="preserve"> </w:t>
      </w:r>
      <w:r>
        <w:t xml:space="preserve">	</w:t>
      </w:r>
      <w:r>
        <w:t xml:space="preserve">Zhao, C.</w:t>
      </w:r>
      <w:r>
        <w:t xml:space="preserve"> </w:t>
      </w:r>
      <w:r>
        <w:rPr>
          <w:i/>
          <w:iCs/>
        </w:rPr>
        <w:t xml:space="preserve">et al.</w:t>
      </w:r>
      <w:r>
        <w:t xml:space="preserve"> </w:t>
      </w:r>
      <w:r>
        <w:t xml:space="preserve">(2017) Temperature increase reduces global yields of major crops in four independent estimates.</w:t>
      </w:r>
      <w:r>
        <w:t xml:space="preserve"> </w:t>
      </w:r>
      <w:r>
        <w:rPr>
          <w:i/>
          <w:iCs/>
        </w:rPr>
        <w:t xml:space="preserve">Proc. Natl. Acad. Sci. U. S. A.</w:t>
      </w:r>
      <w:r>
        <w:t xml:space="preserve"> </w:t>
      </w:r>
      <w:r>
        <w:t xml:space="preserve">114, 9326–9331</w:t>
      </w:r>
    </w:p>
    <w:bookmarkEnd w:id="46"/>
    <w:bookmarkStart w:id="47" w:name="ref-Tito2018"/>
    <w:p>
      <w:pPr>
        <w:pStyle w:val="Bibliography"/>
      </w:pPr>
      <w:r>
        <w:t xml:space="preserve">7.</w:t>
      </w:r>
      <w:r>
        <w:t xml:space="preserve"> </w:t>
      </w:r>
      <w:r>
        <w:t xml:space="preserve">	</w:t>
      </w:r>
      <w:r>
        <w:t xml:space="preserve">Tito, R.</w:t>
      </w:r>
      <w:r>
        <w:t xml:space="preserve"> </w:t>
      </w:r>
      <w:r>
        <w:rPr>
          <w:i/>
          <w:iCs/>
        </w:rPr>
        <w:t xml:space="preserve">et al.</w:t>
      </w:r>
      <w:r>
        <w:t xml:space="preserve"> </w:t>
      </w:r>
      <w:r>
        <w:t xml:space="preserve">(2018) Global climate change increases risk of crop yield losses and food insecurity in the tropical andes.</w:t>
      </w:r>
      <w:r>
        <w:t xml:space="preserve"> </w:t>
      </w:r>
      <w:r>
        <w:rPr>
          <w:i/>
          <w:iCs/>
        </w:rPr>
        <w:t xml:space="preserve">Global change biology</w:t>
      </w:r>
      <w:r>
        <w:t xml:space="preserve"> </w:t>
      </w:r>
      <w:r>
        <w:t xml:space="preserve">24, e592–e602</w:t>
      </w:r>
    </w:p>
    <w:bookmarkEnd w:id="47"/>
    <w:bookmarkStart w:id="48" w:name="ref-Bastos2014"/>
    <w:p>
      <w:pPr>
        <w:pStyle w:val="Bibliography"/>
      </w:pPr>
      <w:r>
        <w:t xml:space="preserve">8.</w:t>
      </w:r>
      <w:r>
        <w:t xml:space="preserve"> </w:t>
      </w:r>
      <w:r>
        <w:t xml:space="preserve">	</w:t>
      </w:r>
      <w:r>
        <w:t xml:space="preserve">Bastos, A.</w:t>
      </w:r>
      <w:r>
        <w:t xml:space="preserve"> </w:t>
      </w:r>
      <w:r>
        <w:rPr>
          <w:i/>
          <w:iCs/>
        </w:rPr>
        <w:t xml:space="preserve">et al.</w:t>
      </w:r>
      <w:r>
        <w:t xml:space="preserve"> </w:t>
      </w:r>
      <w:r>
        <w:t xml:space="preserve">(2014) Analysing the spatio-temporal impacts of the 2003 and 2010 extreme heatwaves on plant productivity in europe.</w:t>
      </w:r>
      <w:r>
        <w:t xml:space="preserve"> </w:t>
      </w:r>
      <w:r>
        <w:rPr>
          <w:i/>
          <w:iCs/>
        </w:rPr>
        <w:t xml:space="preserve">Biogeosciences</w:t>
      </w:r>
      <w:r>
        <w:t xml:space="preserve"> </w:t>
      </w:r>
      <w:r>
        <w:t xml:space="preserve">11, 3421–3435</w:t>
      </w:r>
    </w:p>
    <w:bookmarkEnd w:id="48"/>
    <w:bookmarkStart w:id="49" w:name="ref-Hesketh2023"/>
    <w:p>
      <w:pPr>
        <w:pStyle w:val="Bibliography"/>
      </w:pPr>
      <w:r>
        <w:t xml:space="preserve">9.</w:t>
      </w:r>
      <w:r>
        <w:t xml:space="preserve"> </w:t>
      </w:r>
      <w:r>
        <w:t xml:space="preserve">	</w:t>
      </w:r>
      <w:r>
        <w:t xml:space="preserve">Hesketh, A.V. and Harley, C.D.G. (2023) Extreme heatwave drives topography-dependent patterns of mortality in a bed-forming intertidal barnacle, with implications for associated community structure.</w:t>
      </w:r>
      <w:r>
        <w:t xml:space="preserve"> </w:t>
      </w:r>
      <w:r>
        <w:rPr>
          <w:i/>
          <w:iCs/>
        </w:rPr>
        <w:t xml:space="preserve">Global Change Biology</w:t>
      </w:r>
      <w:r>
        <w:t xml:space="preserve"> </w:t>
      </w:r>
      <w:r>
        <w:t xml:space="preserve">29, 165–178</w:t>
      </w:r>
    </w:p>
    <w:bookmarkEnd w:id="49"/>
    <w:bookmarkStart w:id="50" w:name="ref-Martinez2023"/>
    <w:p>
      <w:pPr>
        <w:pStyle w:val="Bibliography"/>
      </w:pPr>
      <w:r>
        <w:t xml:space="preserve">10.</w:t>
      </w:r>
      <w:r>
        <w:t xml:space="preserve"> </w:t>
      </w:r>
      <w:r>
        <w:t xml:space="preserve">	</w:t>
      </w:r>
      <w:r>
        <w:t xml:space="preserve">Martinez, L.D.</w:t>
      </w:r>
      <w:r>
        <w:t xml:space="preserve"> </w:t>
      </w:r>
      <w:r>
        <w:rPr>
          <w:i/>
          <w:iCs/>
        </w:rPr>
        <w:t xml:space="preserve">et al.</w:t>
      </w:r>
      <w:r>
        <w:t xml:space="preserve"> </w:t>
      </w:r>
      <w:r>
        <w:t xml:space="preserve">(2023) Effect of simulated heat waves on the behaviour of two mirid predators.</w:t>
      </w:r>
      <w:r>
        <w:t xml:space="preserve"> </w:t>
      </w:r>
      <w:r>
        <w:rPr>
          <w:i/>
          <w:iCs/>
        </w:rPr>
        <w:t xml:space="preserve">J. Appl. Entomol.</w:t>
      </w:r>
    </w:p>
    <w:bookmarkEnd w:id="50"/>
    <w:bookmarkStart w:id="51" w:name="ref-Rezende2020"/>
    <w:p>
      <w:pPr>
        <w:pStyle w:val="Bibliography"/>
      </w:pPr>
      <w:r>
        <w:t xml:space="preserve">11.</w:t>
      </w:r>
      <w:r>
        <w:t xml:space="preserve"> </w:t>
      </w:r>
      <w:r>
        <w:t xml:space="preserve">	</w:t>
      </w:r>
      <w:r>
        <w:t xml:space="preserve">Rezende, E.L.</w:t>
      </w:r>
      <w:r>
        <w:t xml:space="preserve"> </w:t>
      </w:r>
      <w:r>
        <w:rPr>
          <w:i/>
          <w:iCs/>
        </w:rPr>
        <w:t xml:space="preserve">et al.</w:t>
      </w:r>
      <w:r>
        <w:t xml:space="preserve"> </w:t>
      </w:r>
      <w:r>
        <w:t xml:space="preserve">(2020) Predicting temperature mortality and selection in natural drosophila populations.</w:t>
      </w:r>
      <w:r>
        <w:t xml:space="preserve"> </w:t>
      </w:r>
      <w:r>
        <w:rPr>
          <w:i/>
          <w:iCs/>
        </w:rPr>
        <w:t xml:space="preserve">Science</w:t>
      </w:r>
      <w:r>
        <w:t xml:space="preserve"> </w:t>
      </w:r>
      <w:r>
        <w:t xml:space="preserve">369, 1242–1245</w:t>
      </w:r>
    </w:p>
    <w:bookmarkEnd w:id="51"/>
    <w:bookmarkStart w:id="52" w:name="ref-Orsted2024"/>
    <w:p>
      <w:pPr>
        <w:pStyle w:val="Bibliography"/>
      </w:pPr>
      <w:r>
        <w:t xml:space="preserve">12.</w:t>
      </w:r>
      <w:r>
        <w:t xml:space="preserve"> </w:t>
      </w:r>
      <w:r>
        <w:t xml:space="preserve">	</w:t>
      </w:r>
      <w:r>
        <w:t xml:space="preserve">Ørsted, M.</w:t>
      </w:r>
      <w:r>
        <w:t xml:space="preserve"> </w:t>
      </w:r>
      <w:r>
        <w:rPr>
          <w:i/>
          <w:iCs/>
        </w:rPr>
        <w:t xml:space="preserve">et al.</w:t>
      </w:r>
      <w:r>
        <w:t xml:space="preserve"> </w:t>
      </w:r>
      <w:r>
        <w:t xml:space="preserve">(2024) Thermal limits of survival and reproduction depend on stress duration: A case study of drosophila suzukii.</w:t>
      </w:r>
      <w:r>
        <w:t xml:space="preserve"> </w:t>
      </w:r>
      <w:r>
        <w:rPr>
          <w:i/>
          <w:iCs/>
        </w:rPr>
        <w:t xml:space="preserve">Ecol. Lett.</w:t>
      </w:r>
      <w:r>
        <w:t xml:space="preserve"> </w:t>
      </w:r>
      <w:r>
        <w:t xml:space="preserve">27, e14421</w:t>
      </w:r>
    </w:p>
    <w:bookmarkEnd w:id="52"/>
    <w:bookmarkStart w:id="53" w:name="ref-Lopez-Goldar2024"/>
    <w:p>
      <w:pPr>
        <w:pStyle w:val="Bibliography"/>
      </w:pPr>
      <w:r>
        <w:t xml:space="preserve">13.</w:t>
      </w:r>
      <w:r>
        <w:t xml:space="preserve"> </w:t>
      </w:r>
      <w:r>
        <w:t xml:space="preserve">	</w:t>
      </w:r>
      <w:r>
        <w:t xml:space="preserve">López-Goldar, X.</w:t>
      </w:r>
      <w:r>
        <w:t xml:space="preserve"> </w:t>
      </w:r>
      <w:r>
        <w:rPr>
          <w:i/>
          <w:iCs/>
        </w:rPr>
        <w:t xml:space="preserve">et al.</w:t>
      </w:r>
      <w:r>
        <w:t xml:space="preserve"> </w:t>
      </w:r>
      <w:r>
        <w:t xml:space="preserve">(2024) Heat waves induce milkweed resistance to a specialist herbivore via increased toxicity and reduced nutrient content.</w:t>
      </w:r>
      <w:r>
        <w:t xml:space="preserve"> </w:t>
      </w:r>
      <w:r>
        <w:rPr>
          <w:i/>
          <w:iCs/>
        </w:rPr>
        <w:t xml:space="preserve">Plant Cell Environ.</w:t>
      </w:r>
    </w:p>
    <w:bookmarkEnd w:id="53"/>
    <w:bookmarkStart w:id="54" w:name="ref-Huynh2024"/>
    <w:p>
      <w:pPr>
        <w:pStyle w:val="Bibliography"/>
      </w:pPr>
      <w:r>
        <w:t xml:space="preserve">14.</w:t>
      </w:r>
      <w:r>
        <w:t xml:space="preserve"> </w:t>
      </w:r>
      <w:r>
        <w:t xml:space="preserve">	</w:t>
      </w:r>
      <w:r>
        <w:t xml:space="preserve">Huỳnh, T.-H.</w:t>
      </w:r>
      <w:r>
        <w:t xml:space="preserve"> </w:t>
      </w:r>
      <w:r>
        <w:rPr>
          <w:i/>
          <w:iCs/>
        </w:rPr>
        <w:t xml:space="preserve">et al.</w:t>
      </w:r>
      <w:r>
        <w:t xml:space="preserve"> </w:t>
      </w:r>
      <w:r>
        <w:t xml:space="preserve">(2024) Heatwave-induced functional shifts in zooplankton communities result in weaker top-down control on phytoplankton.</w:t>
      </w:r>
      <w:r>
        <w:t xml:space="preserve"> </w:t>
      </w:r>
      <w:r>
        <w:rPr>
          <w:i/>
          <w:iCs/>
        </w:rPr>
        <w:t xml:space="preserve">Ecol. Evol.</w:t>
      </w:r>
      <w:r>
        <w:t xml:space="preserve"> </w:t>
      </w:r>
      <w:r>
        <w:t xml:space="preserve">14, e70096</w:t>
      </w:r>
    </w:p>
    <w:bookmarkEnd w:id="54"/>
    <w:bookmarkStart w:id="55" w:name="ref-Trivedi2022"/>
    <w:p>
      <w:pPr>
        <w:pStyle w:val="Bibliography"/>
      </w:pPr>
      <w:r>
        <w:t xml:space="preserve">15.</w:t>
      </w:r>
      <w:r>
        <w:t xml:space="preserve"> </w:t>
      </w:r>
      <w:r>
        <w:t xml:space="preserve">	</w:t>
      </w:r>
      <w:r>
        <w:t xml:space="preserve">Trivedi, P.</w:t>
      </w:r>
      <w:r>
        <w:t xml:space="preserve"> </w:t>
      </w:r>
      <w:r>
        <w:rPr>
          <w:i/>
          <w:iCs/>
        </w:rPr>
        <w:t xml:space="preserve">et al.</w:t>
      </w:r>
      <w:r>
        <w:t xml:space="preserve"> </w:t>
      </w:r>
      <w:r>
        <w:t xml:space="preserve">(2022) Plant–microbiome interactions under a changing world: Responses, consequences and perspectives.</w:t>
      </w:r>
      <w:r>
        <w:t xml:space="preserve"> </w:t>
      </w:r>
      <w:r>
        <w:rPr>
          <w:i/>
          <w:iCs/>
        </w:rPr>
        <w:t xml:space="preserve">New Phytol.</w:t>
      </w:r>
      <w:r>
        <w:t xml:space="preserve"> </w:t>
      </w:r>
      <w:r>
        <w:t xml:space="preserve">234, 1951–1959</w:t>
      </w:r>
    </w:p>
    <w:bookmarkEnd w:id="55"/>
    <w:bookmarkStart w:id="56" w:name="ref-Kooijman2010"/>
    <w:p>
      <w:pPr>
        <w:pStyle w:val="Bibliography"/>
      </w:pPr>
      <w:r>
        <w:t xml:space="preserve">16.</w:t>
      </w:r>
      <w:r>
        <w:t xml:space="preserve"> </w:t>
      </w:r>
      <w:r>
        <w:t xml:space="preserve">	</w:t>
      </w:r>
      <w:r>
        <w:t xml:space="preserve">Kooijman, S.A.L.M. (2010)</w:t>
      </w:r>
      <w:r>
        <w:t xml:space="preserve"> </w:t>
      </w:r>
      <w:r>
        <w:rPr>
          <w:i/>
          <w:iCs/>
        </w:rPr>
        <w:t xml:space="preserve">Dynamic energy budget theory for metabolic organisation</w:t>
      </w:r>
      <w:r>
        <w:t xml:space="preserve">, Cambridge university press</w:t>
      </w:r>
    </w:p>
    <w:bookmarkEnd w:id="56"/>
    <w:bookmarkStart w:id="57" w:name="ref-Kearney2009b"/>
    <w:p>
      <w:pPr>
        <w:pStyle w:val="Bibliography"/>
      </w:pPr>
      <w:r>
        <w:t xml:space="preserve">17.</w:t>
      </w:r>
      <w:r>
        <w:t xml:space="preserve"> </w:t>
      </w:r>
      <w:r>
        <w:t xml:space="preserve">	</w:t>
      </w:r>
      <w:r>
        <w:t xml:space="preserve">Kearney, M. and Porter, W. (2009) Mechanistic niche modelling: Combining physiological and spatial data to predict species’ ranges.</w:t>
      </w:r>
      <w:r>
        <w:t xml:space="preserve"> </w:t>
      </w:r>
      <w:r>
        <w:rPr>
          <w:i/>
          <w:iCs/>
        </w:rPr>
        <w:t xml:space="preserve">Ecol. Lett.</w:t>
      </w:r>
      <w:r>
        <w:t xml:space="preserve"> </w:t>
      </w:r>
      <w:r>
        <w:t xml:space="preserve">12, 334–350</w:t>
      </w:r>
    </w:p>
    <w:bookmarkEnd w:id="57"/>
    <w:bookmarkStart w:id="58" w:name="ref-Jusup2024"/>
    <w:p>
      <w:pPr>
        <w:pStyle w:val="Bibliography"/>
      </w:pPr>
      <w:r>
        <w:t xml:space="preserve">18.</w:t>
      </w:r>
      <w:r>
        <w:t xml:space="preserve"> </w:t>
      </w:r>
      <w:r>
        <w:t xml:space="preserve">	</w:t>
      </w:r>
      <w:r>
        <w:t xml:space="preserve">Jusup, M. and Kearney, M.R. (2024) The untapped power of a general theory of organismal metabolism.</w:t>
      </w:r>
      <w:r>
        <w:t xml:space="preserve"> </w:t>
      </w:r>
      <w:r>
        <w:rPr>
          <w:i/>
          <w:iCs/>
        </w:rPr>
        <w:t xml:space="preserve">arXiv preprint arXiv:2408. 13998</w:t>
      </w:r>
    </w:p>
    <w:bookmarkEnd w:id="58"/>
    <w:bookmarkStart w:id="59" w:name="ref-Kearney2024"/>
    <w:p>
      <w:pPr>
        <w:pStyle w:val="Bibliography"/>
      </w:pPr>
      <w:r>
        <w:t xml:space="preserve">19.</w:t>
      </w:r>
      <w:r>
        <w:t xml:space="preserve"> </w:t>
      </w:r>
      <w:r>
        <w:t xml:space="preserve">	</w:t>
      </w:r>
      <w:r>
        <w:t xml:space="preserve">Kearney, M.R. and Leigh, A. (2024) Fast, accurate and accessible calculations of leaf temperature and its physiological consequences with</w:t>
      </w:r>
      <w:r>
        <w:t xml:space="preserve"> </w:t>
      </w:r>
      <w:r>
        <w:t xml:space="preserve">NicheMapR</w:t>
      </w:r>
      <w:r>
        <w:t xml:space="preserve">.</w:t>
      </w:r>
      <w:r>
        <w:t xml:space="preserve"> </w:t>
      </w:r>
      <w:r>
        <w:rPr>
          <w:i/>
          <w:iCs/>
        </w:rPr>
        <w:t xml:space="preserve">Methods Ecol. Evol.</w:t>
      </w:r>
      <w:r>
        <w:t xml:space="preserve"> </w:t>
      </w:r>
      <w:r>
        <w:t xml:space="preserve">15, 1516–1531</w:t>
      </w:r>
    </w:p>
    <w:bookmarkEnd w:id="59"/>
    <w:bookmarkStart w:id="60" w:name="ref-Briscoe2023"/>
    <w:p>
      <w:pPr>
        <w:pStyle w:val="Bibliography"/>
      </w:pPr>
      <w:r>
        <w:t xml:space="preserve">20.</w:t>
      </w:r>
      <w:r>
        <w:t xml:space="preserve"> </w:t>
      </w:r>
      <w:r>
        <w:t xml:space="preserve">	</w:t>
      </w:r>
      <w:r>
        <w:t xml:space="preserve">Briscoe, N.J.</w:t>
      </w:r>
      <w:r>
        <w:t xml:space="preserve"> </w:t>
      </w:r>
      <w:r>
        <w:rPr>
          <w:i/>
          <w:iCs/>
        </w:rPr>
        <w:t xml:space="preserve">et al.</w:t>
      </w:r>
      <w:r>
        <w:t xml:space="preserve"> </w:t>
      </w:r>
      <w:r>
        <w:t xml:space="preserve">(2023) Mechanistic forecasts of species responses to climate change: The promise of biophysical ecology.</w:t>
      </w:r>
      <w:r>
        <w:t xml:space="preserve"> </w:t>
      </w:r>
      <w:r>
        <w:rPr>
          <w:i/>
          <w:iCs/>
        </w:rPr>
        <w:t xml:space="preserve">Global Change Biology</w:t>
      </w:r>
      <w:r>
        <w:t xml:space="preserve"> </w:t>
      </w:r>
      <w:r>
        <w:t xml:space="preserve">29, 1451–1470</w:t>
      </w:r>
    </w:p>
    <w:bookmarkEnd w:id="60"/>
    <w:bookmarkStart w:id="61" w:name="ref-Rezende2014"/>
    <w:p>
      <w:pPr>
        <w:pStyle w:val="Bibliography"/>
      </w:pPr>
      <w:r>
        <w:t xml:space="preserve">21.</w:t>
      </w:r>
      <w:r>
        <w:t xml:space="preserve"> </w:t>
      </w:r>
      <w:r>
        <w:t xml:space="preserve">	</w:t>
      </w:r>
      <w:r>
        <w:t xml:space="preserve">Rezende, E.L.</w:t>
      </w:r>
      <w:r>
        <w:t xml:space="preserve"> </w:t>
      </w:r>
      <w:r>
        <w:rPr>
          <w:i/>
          <w:iCs/>
        </w:rPr>
        <w:t xml:space="preserve">et al.</w:t>
      </w:r>
      <w:r>
        <w:t xml:space="preserve"> </w:t>
      </w:r>
      <w:r>
        <w:t xml:space="preserve">(2014) Tolerance landscapes in thermal ecology.</w:t>
      </w:r>
      <w:r>
        <w:t xml:space="preserve"> </w:t>
      </w:r>
      <w:r>
        <w:rPr>
          <w:i/>
          <w:iCs/>
        </w:rPr>
        <w:t xml:space="preserve">Funct. Ecol.</w:t>
      </w:r>
      <w:r>
        <w:t xml:space="preserve"> </w:t>
      </w:r>
      <w:r>
        <w:t xml:space="preserve">28, 799–809</w:t>
      </w:r>
    </w:p>
    <w:bookmarkEnd w:id="61"/>
    <w:bookmarkStart w:id="62" w:name="ref-Bimler2018"/>
    <w:p>
      <w:pPr>
        <w:pStyle w:val="Bibliography"/>
      </w:pPr>
      <w:r>
        <w:t xml:space="preserve">22.</w:t>
      </w:r>
      <w:r>
        <w:t xml:space="preserve"> </w:t>
      </w:r>
      <w:r>
        <w:t xml:space="preserve">	</w:t>
      </w:r>
      <w:r>
        <w:t xml:space="preserve">Bimler, M.D.</w:t>
      </w:r>
      <w:r>
        <w:t xml:space="preserve"> </w:t>
      </w:r>
      <w:r>
        <w:rPr>
          <w:i/>
          <w:iCs/>
        </w:rPr>
        <w:t xml:space="preserve">et al.</w:t>
      </w:r>
      <w:r>
        <w:t xml:space="preserve"> </w:t>
      </w:r>
      <w:r>
        <w:t xml:space="preserve">(2018) Accurate predictions of coexistence in natural systems require the inclusion of facilitative interactions and environmental dependency.</w:t>
      </w:r>
      <w:r>
        <w:t xml:space="preserve"> </w:t>
      </w:r>
      <w:r>
        <w:rPr>
          <w:i/>
          <w:iCs/>
        </w:rPr>
        <w:t xml:space="preserve">J. Ecol.</w:t>
      </w:r>
      <w:r>
        <w:t xml:space="preserve"> </w:t>
      </w:r>
      <w:r>
        <w:t xml:space="preserve">106, 1839–1852</w:t>
      </w:r>
    </w:p>
    <w:bookmarkEnd w:id="62"/>
    <w:bookmarkStart w:id="63" w:name="ref-Bowler2022"/>
    <w:p>
      <w:pPr>
        <w:pStyle w:val="Bibliography"/>
      </w:pPr>
      <w:r>
        <w:t xml:space="preserve">23.</w:t>
      </w:r>
      <w:r>
        <w:t xml:space="preserve"> </w:t>
      </w:r>
      <w:r>
        <w:t xml:space="preserve">	</w:t>
      </w:r>
      <w:r>
        <w:t xml:space="preserve">Bowler, C.H.</w:t>
      </w:r>
      <w:r>
        <w:t xml:space="preserve"> </w:t>
      </w:r>
      <w:r>
        <w:rPr>
          <w:i/>
          <w:iCs/>
        </w:rPr>
        <w:t xml:space="preserve">et al.</w:t>
      </w:r>
      <w:r>
        <w:t xml:space="preserve"> </w:t>
      </w:r>
      <w:r>
        <w:t xml:space="preserve">(2022) Accounting for demographic uncertainty increases predictions for species coexistence: A case study with annual plants.</w:t>
      </w:r>
      <w:r>
        <w:t xml:space="preserve"> </w:t>
      </w:r>
      <w:r>
        <w:rPr>
          <w:i/>
          <w:iCs/>
        </w:rPr>
        <w:t xml:space="preserve">Ecol. Lett.</w:t>
      </w:r>
      <w:r>
        <w:t xml:space="preserve"> </w:t>
      </w:r>
      <w:r>
        <w:t xml:space="preserve">25, 1618–1628</w:t>
      </w:r>
    </w:p>
    <w:bookmarkEnd w:id="63"/>
    <w:bookmarkStart w:id="64" w:name="ref-Orsted2022"/>
    <w:p>
      <w:pPr>
        <w:pStyle w:val="Bibliography"/>
      </w:pPr>
      <w:r>
        <w:t xml:space="preserve">24.</w:t>
      </w:r>
      <w:r>
        <w:t xml:space="preserve"> </w:t>
      </w:r>
      <w:r>
        <w:t xml:space="preserve">	</w:t>
      </w:r>
      <w:r>
        <w:t xml:space="preserve">Ørsted, M.</w:t>
      </w:r>
      <w:r>
        <w:t xml:space="preserve"> </w:t>
      </w:r>
      <w:r>
        <w:rPr>
          <w:i/>
          <w:iCs/>
        </w:rPr>
        <w:t xml:space="preserve">et al.</w:t>
      </w:r>
      <w:r>
        <w:t xml:space="preserve"> </w:t>
      </w:r>
      <w:r>
        <w:t xml:space="preserve">(2022) Finding the right thermal limit: A framework to reconcile ecological, physiological and methodological aspects of</w:t>
      </w:r>
      <w:r>
        <w:t xml:space="preserve"> </w:t>
      </w:r>
      <w:r>
        <w:t xml:space="preserve">CTmax</w:t>
      </w:r>
      <w:r>
        <w:t xml:space="preserve"> </w:t>
      </w:r>
      <w:r>
        <w:t xml:space="preserve">in ectotherms.</w:t>
      </w:r>
      <w:r>
        <w:t xml:space="preserve"> </w:t>
      </w:r>
      <w:r>
        <w:rPr>
          <w:i/>
          <w:iCs/>
        </w:rPr>
        <w:t xml:space="preserve">J. Exp. Biol.</w:t>
      </w:r>
      <w:r>
        <w:t xml:space="preserve"> </w:t>
      </w:r>
      <w:r>
        <w:t xml:space="preserve">225, jeb244514</w:t>
      </w:r>
    </w:p>
    <w:bookmarkEnd w:id="64"/>
    <w:bookmarkStart w:id="65" w:name="ref-Faber2024"/>
    <w:p>
      <w:pPr>
        <w:pStyle w:val="Bibliography"/>
      </w:pPr>
      <w:r>
        <w:t xml:space="preserve">25.</w:t>
      </w:r>
      <w:r>
        <w:t xml:space="preserve"> </w:t>
      </w:r>
      <w:r>
        <w:t xml:space="preserve">	</w:t>
      </w:r>
      <w:r>
        <w:t xml:space="preserve">Faber, A.H.</w:t>
      </w:r>
      <w:r>
        <w:t xml:space="preserve"> </w:t>
      </w:r>
      <w:r>
        <w:rPr>
          <w:i/>
          <w:iCs/>
        </w:rPr>
        <w:t xml:space="preserve">et al.</w:t>
      </w:r>
      <w:r>
        <w:t xml:space="preserve"> </w:t>
      </w:r>
      <w:r>
        <w:t xml:space="preserve">(2024) Application of the thermal death time model in predicting thermal damage accumulation in plants.</w:t>
      </w:r>
      <w:r>
        <w:t xml:space="preserve"> </w:t>
      </w:r>
      <w:r>
        <w:rPr>
          <w:i/>
          <w:iCs/>
        </w:rPr>
        <w:t xml:space="preserve">J. Exp. Bot.</w:t>
      </w:r>
      <w:r>
        <w:t xml:space="preserve"> </w:t>
      </w:r>
      <w:r>
        <w:t xml:space="preserve">75, 3467–3482</w:t>
      </w:r>
    </w:p>
    <w:bookmarkEnd w:id="65"/>
    <w:bookmarkStart w:id="66" w:name="ref-Martinez-De_Leon2024"/>
    <w:p>
      <w:pPr>
        <w:pStyle w:val="Bibliography"/>
      </w:pPr>
      <w:r>
        <w:t xml:space="preserve">26.</w:t>
      </w:r>
      <w:r>
        <w:t xml:space="preserve"> </w:t>
      </w:r>
      <w:r>
        <w:t xml:space="preserve">	</w:t>
      </w:r>
      <w:r>
        <w:t xml:space="preserve">Martínez-De León, G. and Thakur, M.P. (2024) Ecological debts induced by heat extremes.</w:t>
      </w:r>
      <w:r>
        <w:t xml:space="preserve"> </w:t>
      </w:r>
      <w:r>
        <w:rPr>
          <w:i/>
          <w:iCs/>
        </w:rPr>
        <w:t xml:space="preserve">Trends Ecol. Evol.</w:t>
      </w:r>
    </w:p>
    <w:bookmarkEnd w:id="66"/>
    <w:bookmarkStart w:id="67" w:name="ref-Fontaine2022"/>
    <w:p>
      <w:pPr>
        <w:pStyle w:val="Bibliography"/>
      </w:pPr>
      <w:r>
        <w:t xml:space="preserve">27.</w:t>
      </w:r>
      <w:r>
        <w:t xml:space="preserve"> </w:t>
      </w:r>
      <w:r>
        <w:t xml:space="preserve">	</w:t>
      </w:r>
      <w:r>
        <w:t xml:space="preserve">Fontaine, S.S.</w:t>
      </w:r>
      <w:r>
        <w:t xml:space="preserve"> </w:t>
      </w:r>
      <w:r>
        <w:rPr>
          <w:i/>
          <w:iCs/>
        </w:rPr>
        <w:t xml:space="preserve">et al.</w:t>
      </w:r>
      <w:r>
        <w:t xml:space="preserve"> </w:t>
      </w:r>
      <w:r>
        <w:t xml:space="preserve">(2022) Experimental manipulation of microbiota reduces host thermal tolerance and fitness under heat stress in a vertebrate ectotherm.</w:t>
      </w:r>
      <w:r>
        <w:t xml:space="preserve"> </w:t>
      </w:r>
      <w:r>
        <w:rPr>
          <w:i/>
          <w:iCs/>
        </w:rPr>
        <w:t xml:space="preserve">Nat. Ecol. Evol.</w:t>
      </w:r>
      <w:r>
        <w:t xml:space="preserve"> </w:t>
      </w:r>
      <w:r>
        <w:t xml:space="preserve">6, 405–417</w:t>
      </w:r>
    </w:p>
    <w:bookmarkEnd w:id="67"/>
    <w:bookmarkStart w:id="68" w:name="ref-Fontaine2023"/>
    <w:p>
      <w:pPr>
        <w:pStyle w:val="Bibliography"/>
      </w:pPr>
      <w:r>
        <w:t xml:space="preserve">28.</w:t>
      </w:r>
      <w:r>
        <w:t xml:space="preserve"> </w:t>
      </w:r>
      <w:r>
        <w:t xml:space="preserve">	</w:t>
      </w:r>
      <w:r>
        <w:t xml:space="preserve">Fontaine, S.S. and Kohl, K.D. (2023) The microbiome buffers tadpole hosts from heat stress: A hologenomic approach to understand host-microbe interactions under warming.</w:t>
      </w:r>
      <w:r>
        <w:t xml:space="preserve"> </w:t>
      </w:r>
      <w:r>
        <w:rPr>
          <w:i/>
          <w:iCs/>
        </w:rPr>
        <w:t xml:space="preserve">J. Exp. Biol.</w:t>
      </w:r>
      <w:r>
        <w:t xml:space="preserve"> </w:t>
      </w:r>
      <w:r>
        <w:t xml:space="preserve">226, jeb245191</w:t>
      </w:r>
    </w:p>
    <w:bookmarkEnd w:id="68"/>
    <w:bookmarkStart w:id="69" w:name="ref-Hoang2019"/>
    <w:p>
      <w:pPr>
        <w:pStyle w:val="Bibliography"/>
      </w:pPr>
      <w:r>
        <w:t xml:space="preserve">29.</w:t>
      </w:r>
      <w:r>
        <w:t xml:space="preserve"> </w:t>
      </w:r>
      <w:r>
        <w:t xml:space="preserve">	</w:t>
      </w:r>
      <w:r>
        <w:t xml:space="preserve">Hoang, K.L.</w:t>
      </w:r>
      <w:r>
        <w:t xml:space="preserve"> </w:t>
      </w:r>
      <w:r>
        <w:rPr>
          <w:i/>
          <w:iCs/>
        </w:rPr>
        <w:t xml:space="preserve">et al.</w:t>
      </w:r>
      <w:r>
        <w:t xml:space="preserve"> </w:t>
      </w:r>
      <w:r>
        <w:t xml:space="preserve">(2019) The effects of bacillus subtilis on caenorhabditis elegans fitness after heat stress.</w:t>
      </w:r>
      <w:r>
        <w:t xml:space="preserve"> </w:t>
      </w:r>
      <w:r>
        <w:rPr>
          <w:i/>
          <w:iCs/>
        </w:rPr>
        <w:t xml:space="preserve">Ecol. Evol.</w:t>
      </w:r>
      <w:r>
        <w:t xml:space="preserve"> </w:t>
      </w:r>
      <w:r>
        <w:t xml:space="preserve">9, 3491–3499</w:t>
      </w:r>
    </w:p>
    <w:bookmarkEnd w:id="69"/>
    <w:bookmarkStart w:id="70" w:name="ref-Gehman2019"/>
    <w:p>
      <w:pPr>
        <w:pStyle w:val="Bibliography"/>
      </w:pPr>
      <w:r>
        <w:t xml:space="preserve">30.</w:t>
      </w:r>
      <w:r>
        <w:t xml:space="preserve"> </w:t>
      </w:r>
      <w:r>
        <w:t xml:space="preserve">	</w:t>
      </w:r>
      <w:r>
        <w:t xml:space="preserve">Gehman, A.-L.M. and Harley, C.D.G. (2019) Symbiotic endolithic microbes alter host morphology and reduce host vulnerability to high environmental temperatures.</w:t>
      </w:r>
      <w:r>
        <w:t xml:space="preserve"> </w:t>
      </w:r>
      <w:r>
        <w:rPr>
          <w:i/>
          <w:iCs/>
        </w:rPr>
        <w:t xml:space="preserve">Ecosphere</w:t>
      </w:r>
      <w:r>
        <w:t xml:space="preserve"> </w:t>
      </w:r>
      <w:r>
        <w:t xml:space="preserve">10, e02683</w:t>
      </w:r>
    </w:p>
    <w:bookmarkEnd w:id="70"/>
    <w:bookmarkStart w:id="71" w:name="ref-Hoang2021"/>
    <w:p>
      <w:pPr>
        <w:pStyle w:val="Bibliography"/>
      </w:pPr>
      <w:r>
        <w:t xml:space="preserve">31.</w:t>
      </w:r>
      <w:r>
        <w:t xml:space="preserve"> </w:t>
      </w:r>
      <w:r>
        <w:t xml:space="preserve">	</w:t>
      </w:r>
      <w:r>
        <w:t xml:space="preserve">Hoang, K.L.</w:t>
      </w:r>
      <w:r>
        <w:t xml:space="preserve"> </w:t>
      </w:r>
      <w:r>
        <w:rPr>
          <w:i/>
          <w:iCs/>
        </w:rPr>
        <w:t xml:space="preserve">et al.</w:t>
      </w:r>
      <w:r>
        <w:t xml:space="preserve"> </w:t>
      </w:r>
      <w:r>
        <w:t xml:space="preserve">(2021) Association with a novel protective microbe facilitates host adaptation to a stressful environment.</w:t>
      </w:r>
      <w:r>
        <w:t xml:space="preserve"> </w:t>
      </w:r>
      <w:r>
        <w:rPr>
          <w:i/>
          <w:iCs/>
        </w:rPr>
        <w:t xml:space="preserve">Evol. Lett.</w:t>
      </w:r>
      <w:r>
        <w:t xml:space="preserve"> </w:t>
      </w:r>
      <w:r>
        <w:t xml:space="preserve">5, 118–129</w:t>
      </w:r>
    </w:p>
    <w:bookmarkEnd w:id="71"/>
    <w:bookmarkStart w:id="72" w:name="ref-Corbin2016"/>
    <w:p>
      <w:pPr>
        <w:pStyle w:val="Bibliography"/>
      </w:pPr>
      <w:r>
        <w:t xml:space="preserve">32.</w:t>
      </w:r>
      <w:r>
        <w:t xml:space="preserve"> </w:t>
      </w:r>
      <w:r>
        <w:t xml:space="preserve">	</w:t>
      </w:r>
      <w:r>
        <w:t xml:space="preserve">Corbin, C.</w:t>
      </w:r>
      <w:r>
        <w:t xml:space="preserve"> </w:t>
      </w:r>
      <w:r>
        <w:rPr>
          <w:i/>
          <w:iCs/>
        </w:rPr>
        <w:t xml:space="preserve">et al.</w:t>
      </w:r>
      <w:r>
        <w:t xml:space="preserve"> </w:t>
      </w:r>
      <w:r>
        <w:t xml:space="preserve">(2016) Heritable symbionts in a world of varying temperature.</w:t>
      </w:r>
      <w:r>
        <w:t xml:space="preserve"> </w:t>
      </w:r>
      <w:r>
        <w:rPr>
          <w:i/>
          <w:iCs/>
        </w:rPr>
        <w:t xml:space="preserve">Heredity (Edinb.)</w:t>
      </w:r>
      <w:r>
        <w:t xml:space="preserve"> </w:t>
      </w:r>
      <w:r>
        <w:t xml:space="preserve">118, 10–20</w:t>
      </w:r>
    </w:p>
    <w:bookmarkEnd w:id="72"/>
    <w:bookmarkStart w:id="73" w:name="ref-Zhang2019"/>
    <w:p>
      <w:pPr>
        <w:pStyle w:val="Bibliography"/>
      </w:pPr>
      <w:r>
        <w:t xml:space="preserve">33.</w:t>
      </w:r>
      <w:r>
        <w:t xml:space="preserve"> </w:t>
      </w:r>
      <w:r>
        <w:t xml:space="preserve">	</w:t>
      </w:r>
      <w:r>
        <w:t xml:space="preserve">Zhang, B.</w:t>
      </w:r>
      <w:r>
        <w:t xml:space="preserve"> </w:t>
      </w:r>
      <w:r>
        <w:rPr>
          <w:i/>
          <w:iCs/>
        </w:rPr>
        <w:t xml:space="preserve">et al.</w:t>
      </w:r>
      <w:r>
        <w:t xml:space="preserve"> </w:t>
      </w:r>
      <w:r>
        <w:t xml:space="preserve">(2019) Obligate bacterial endosymbionts limit thermal tolerance of insect host species.</w:t>
      </w:r>
      <w:r>
        <w:t xml:space="preserve"> </w:t>
      </w:r>
      <w:r>
        <w:rPr>
          <w:i/>
          <w:iCs/>
        </w:rPr>
        <w:t xml:space="preserve">Proc. Natl. Acad. Sci. U. S. A.</w:t>
      </w:r>
      <w:r>
        <w:t xml:space="preserve"> </w:t>
      </w:r>
      <w:r>
        <w:t xml:space="preserve">116, 24712–24718</w:t>
      </w:r>
    </w:p>
    <w:bookmarkEnd w:id="73"/>
    <w:bookmarkStart w:id="74" w:name="ref-Dunbar2007"/>
    <w:p>
      <w:pPr>
        <w:pStyle w:val="Bibliography"/>
      </w:pPr>
      <w:r>
        <w:t xml:space="preserve">34.</w:t>
      </w:r>
      <w:r>
        <w:t xml:space="preserve"> </w:t>
      </w:r>
      <w:r>
        <w:t xml:space="preserve">	</w:t>
      </w:r>
      <w:r>
        <w:t xml:space="preserve">Dunbar, H.E.</w:t>
      </w:r>
      <w:r>
        <w:t xml:space="preserve"> </w:t>
      </w:r>
      <w:r>
        <w:rPr>
          <w:i/>
          <w:iCs/>
        </w:rPr>
        <w:t xml:space="preserve">et al.</w:t>
      </w:r>
      <w:r>
        <w:t xml:space="preserve"> </w:t>
      </w:r>
      <w:r>
        <w:t xml:space="preserve">(2007) Aphid thermal tolerance is governed by a point mutation in bacterial symbionts.</w:t>
      </w:r>
      <w:r>
        <w:t xml:space="preserve"> </w:t>
      </w:r>
      <w:r>
        <w:rPr>
          <w:i/>
          <w:iCs/>
        </w:rPr>
        <w:t xml:space="preserve">PLoS Biol.</w:t>
      </w:r>
      <w:r>
        <w:t xml:space="preserve"> </w:t>
      </w:r>
      <w:r>
        <w:t xml:space="preserve">5, e96</w:t>
      </w:r>
    </w:p>
    <w:bookmarkEnd w:id="74"/>
    <w:bookmarkStart w:id="75" w:name="ref-Chouhan2023"/>
    <w:p>
      <w:pPr>
        <w:pStyle w:val="Bibliography"/>
      </w:pPr>
      <w:r>
        <w:t xml:space="preserve">35.</w:t>
      </w:r>
      <w:r>
        <w:t xml:space="preserve"> </w:t>
      </w:r>
      <w:r>
        <w:t xml:space="preserve">	</w:t>
      </w:r>
      <w:r>
        <w:t xml:space="preserve">Chouhan, D.</w:t>
      </w:r>
      <w:r>
        <w:t xml:space="preserve"> </w:t>
      </w:r>
      <w:r>
        <w:rPr>
          <w:i/>
          <w:iCs/>
        </w:rPr>
        <w:t xml:space="preserve">et al.</w:t>
      </w:r>
      <w:r>
        <w:t xml:space="preserve"> </w:t>
      </w:r>
      <w:r>
        <w:t xml:space="preserve">(2023) Plant-microbe interaction and their role in mitigation of heat stress. In</w:t>
      </w:r>
      <w:r>
        <w:t xml:space="preserve"> </w:t>
      </w:r>
      <w:r>
        <w:rPr>
          <w:i/>
          <w:iCs/>
        </w:rPr>
        <w:t xml:space="preserve">Rhizosphere biology</w:t>
      </w:r>
      <w:r>
        <w:t xml:space="preserve">, pp. 127–147, Springer Nature Singapore</w:t>
      </w:r>
    </w:p>
    <w:bookmarkEnd w:id="75"/>
    <w:bookmarkStart w:id="76" w:name="ref-Liu2025"/>
    <w:p>
      <w:pPr>
        <w:pStyle w:val="Bibliography"/>
      </w:pPr>
      <w:r>
        <w:t xml:space="preserve">36.</w:t>
      </w:r>
      <w:r>
        <w:t xml:space="preserve"> </w:t>
      </w:r>
      <w:r>
        <w:t xml:space="preserve">	</w:t>
      </w:r>
      <w:r>
        <w:t xml:space="preserve">Liu, Y.</w:t>
      </w:r>
      <w:r>
        <w:t xml:space="preserve"> </w:t>
      </w:r>
      <w:r>
        <w:rPr>
          <w:i/>
          <w:iCs/>
        </w:rPr>
        <w:t xml:space="preserve">et al.</w:t>
      </w:r>
      <w:r>
        <w:t xml:space="preserve"> </w:t>
      </w:r>
      <w:r>
        <w:t xml:space="preserve">(2025) Beneficial microorganisms: Regulating growth and defense for plant welfare.</w:t>
      </w:r>
      <w:r>
        <w:t xml:space="preserve"> </w:t>
      </w:r>
      <w:r>
        <w:rPr>
          <w:i/>
          <w:iCs/>
        </w:rPr>
        <w:t xml:space="preserve">Plant Biotechnol. J.</w:t>
      </w:r>
      <w:r>
        <w:t xml:space="preserve"> </w:t>
      </w:r>
      <w:r>
        <w:t xml:space="preserve">23, 986–998</w:t>
      </w:r>
    </w:p>
    <w:bookmarkEnd w:id="76"/>
    <w:bookmarkStart w:id="77" w:name="ref-Marquez2007"/>
    <w:p>
      <w:pPr>
        <w:pStyle w:val="Bibliography"/>
      </w:pPr>
      <w:r>
        <w:t xml:space="preserve">37.</w:t>
      </w:r>
      <w:r>
        <w:t xml:space="preserve"> </w:t>
      </w:r>
      <w:r>
        <w:t xml:space="preserve">	</w:t>
      </w:r>
      <w:r>
        <w:t xml:space="preserve">Márquez, L.M.</w:t>
      </w:r>
      <w:r>
        <w:t xml:space="preserve"> </w:t>
      </w:r>
      <w:r>
        <w:rPr>
          <w:i/>
          <w:iCs/>
        </w:rPr>
        <w:t xml:space="preserve">et al.</w:t>
      </w:r>
      <w:r>
        <w:t xml:space="preserve"> </w:t>
      </w:r>
      <w:r>
        <w:t xml:space="preserve">(2007) A virus in a fungus in a plant: Three-way symbiosis required for thermal tolerance.</w:t>
      </w:r>
      <w:r>
        <w:t xml:space="preserve"> </w:t>
      </w:r>
      <w:r>
        <w:rPr>
          <w:i/>
          <w:iCs/>
        </w:rPr>
        <w:t xml:space="preserve">Science</w:t>
      </w:r>
      <w:r>
        <w:t xml:space="preserve"> </w:t>
      </w:r>
      <w:r>
        <w:t xml:space="preserve">315, 513–515</w:t>
      </w:r>
    </w:p>
    <w:bookmarkEnd w:id="77"/>
    <w:bookmarkStart w:id="78" w:name="ref-Huang2019"/>
    <w:p>
      <w:pPr>
        <w:pStyle w:val="Bibliography"/>
      </w:pPr>
      <w:r>
        <w:t xml:space="preserve">38.</w:t>
      </w:r>
      <w:r>
        <w:t xml:space="preserve"> </w:t>
      </w:r>
      <w:r>
        <w:t xml:space="preserve">	</w:t>
      </w:r>
      <w:r>
        <w:t xml:space="preserve">Huang, A.C.</w:t>
      </w:r>
      <w:r>
        <w:t xml:space="preserve"> </w:t>
      </w:r>
      <w:r>
        <w:rPr>
          <w:i/>
          <w:iCs/>
        </w:rPr>
        <w:t xml:space="preserve">et al.</w:t>
      </w:r>
      <w:r>
        <w:t xml:space="preserve"> </w:t>
      </w:r>
      <w:r>
        <w:t xml:space="preserve">(2019) A specialized metabolic network selectively modulates arabidopsis root microbiota.</w:t>
      </w:r>
      <w:r>
        <w:t xml:space="preserve"> </w:t>
      </w:r>
      <w:r>
        <w:rPr>
          <w:i/>
          <w:iCs/>
        </w:rPr>
        <w:t xml:space="preserve">Science</w:t>
      </w:r>
      <w:r>
        <w:t xml:space="preserve"> </w:t>
      </w:r>
      <w:r>
        <w:t xml:space="preserve">364, eaau6389</w:t>
      </w:r>
    </w:p>
    <w:bookmarkEnd w:id="78"/>
    <w:bookmarkStart w:id="79" w:name="ref-Dastogeer2022"/>
    <w:p>
      <w:pPr>
        <w:pStyle w:val="Bibliography"/>
      </w:pPr>
      <w:r>
        <w:t xml:space="preserve">39.</w:t>
      </w:r>
      <w:r>
        <w:t xml:space="preserve"> </w:t>
      </w:r>
      <w:r>
        <w:t xml:space="preserve">	</w:t>
      </w:r>
      <w:r>
        <w:t xml:space="preserve">Dastogeer, K.M.G.</w:t>
      </w:r>
      <w:r>
        <w:t xml:space="preserve"> </w:t>
      </w:r>
      <w:r>
        <w:rPr>
          <w:i/>
          <w:iCs/>
        </w:rPr>
        <w:t xml:space="preserve">et al.</w:t>
      </w:r>
      <w:r>
        <w:t xml:space="preserve"> </w:t>
      </w:r>
      <w:r>
        <w:t xml:space="preserve">(2022) Microbe-mediated thermotolerance in plants and pertinent mechanisms- a meta-analysis and review.</w:t>
      </w:r>
      <w:r>
        <w:t xml:space="preserve"> </w:t>
      </w:r>
      <w:r>
        <w:rPr>
          <w:i/>
          <w:iCs/>
        </w:rPr>
        <w:t xml:space="preserve">Front. Microbiol.</w:t>
      </w:r>
      <w:r>
        <w:t xml:space="preserve"> </w:t>
      </w:r>
      <w:r>
        <w:t xml:space="preserve">13, 833566</w:t>
      </w:r>
    </w:p>
    <w:bookmarkEnd w:id="79"/>
    <w:bookmarkStart w:id="80" w:name="ref-Shekhawat2022"/>
    <w:p>
      <w:pPr>
        <w:pStyle w:val="Bibliography"/>
      </w:pPr>
      <w:r>
        <w:t xml:space="preserve">40.</w:t>
      </w:r>
      <w:r>
        <w:t xml:space="preserve"> </w:t>
      </w:r>
      <w:r>
        <w:t xml:space="preserve">	</w:t>
      </w:r>
      <w:r>
        <w:t xml:space="preserve">Shekhawat, K.</w:t>
      </w:r>
      <w:r>
        <w:t xml:space="preserve"> </w:t>
      </w:r>
      <w:r>
        <w:rPr>
          <w:i/>
          <w:iCs/>
        </w:rPr>
        <w:t xml:space="preserve">et al.</w:t>
      </w:r>
      <w:r>
        <w:t xml:space="preserve"> </w:t>
      </w:r>
      <w:r>
        <w:t xml:space="preserve">(2022) Beat the heat: Plant- and microbe-mediated strategies for crop thermotolerance.</w:t>
      </w:r>
      <w:r>
        <w:t xml:space="preserve"> </w:t>
      </w:r>
      <w:r>
        <w:rPr>
          <w:i/>
          <w:iCs/>
        </w:rPr>
        <w:t xml:space="preserve">Trends Plant Sci.</w:t>
      </w:r>
      <w:r>
        <w:t xml:space="preserve"> </w:t>
      </w:r>
      <w:r>
        <w:t xml:space="preserve">27, 802–813</w:t>
      </w:r>
    </w:p>
    <w:bookmarkEnd w:id="80"/>
    <w:bookmarkStart w:id="81" w:name="ref-Lobell2012"/>
    <w:p>
      <w:pPr>
        <w:pStyle w:val="Bibliography"/>
      </w:pPr>
      <w:r>
        <w:t xml:space="preserve">41.</w:t>
      </w:r>
      <w:r>
        <w:t xml:space="preserve"> </w:t>
      </w:r>
      <w:r>
        <w:t xml:space="preserve">	</w:t>
      </w:r>
      <w:r>
        <w:t xml:space="preserve">Lobell, D.B.</w:t>
      </w:r>
      <w:r>
        <w:t xml:space="preserve"> </w:t>
      </w:r>
      <w:r>
        <w:rPr>
          <w:i/>
          <w:iCs/>
        </w:rPr>
        <w:t xml:space="preserve">et al.</w:t>
      </w:r>
      <w:r>
        <w:t xml:space="preserve"> </w:t>
      </w:r>
      <w:r>
        <w:t xml:space="preserve">(2012) Extreme heat effects on wheat senescence in india.</w:t>
      </w:r>
      <w:r>
        <w:t xml:space="preserve"> </w:t>
      </w:r>
      <w:r>
        <w:rPr>
          <w:i/>
          <w:iCs/>
        </w:rPr>
        <w:t xml:space="preserve">Nat. Clim. Chang.</w:t>
      </w:r>
      <w:r>
        <w:t xml:space="preserve"> </w:t>
      </w:r>
      <w:r>
        <w:t xml:space="preserve">2, 186–189</w:t>
      </w:r>
    </w:p>
    <w:bookmarkEnd w:id="81"/>
    <w:bookmarkStart w:id="82" w:name="ref-Farooq2011"/>
    <w:p>
      <w:pPr>
        <w:pStyle w:val="Bibliography"/>
      </w:pPr>
      <w:r>
        <w:t xml:space="preserve">42.</w:t>
      </w:r>
      <w:r>
        <w:t xml:space="preserve"> </w:t>
      </w:r>
      <w:r>
        <w:t xml:space="preserve">	</w:t>
      </w:r>
      <w:r>
        <w:t xml:space="preserve">Farooq, M.</w:t>
      </w:r>
      <w:r>
        <w:t xml:space="preserve"> </w:t>
      </w:r>
      <w:r>
        <w:rPr>
          <w:i/>
          <w:iCs/>
        </w:rPr>
        <w:t xml:space="preserve">et al.</w:t>
      </w:r>
      <w:r>
        <w:t xml:space="preserve"> </w:t>
      </w:r>
      <w:r>
        <w:t xml:space="preserve">(2011) Heat stress in wheat during reproductive and grain-filling phases.</w:t>
      </w:r>
      <w:r>
        <w:t xml:space="preserve"> </w:t>
      </w:r>
      <w:r>
        <w:rPr>
          <w:i/>
          <w:iCs/>
        </w:rPr>
        <w:t xml:space="preserve">CRC Crit. Rev. Plant Sci.</w:t>
      </w:r>
      <w:r>
        <w:t xml:space="preserve"> </w:t>
      </w:r>
      <w:r>
        <w:t xml:space="preserve">30, 491–507</w:t>
      </w:r>
    </w:p>
    <w:bookmarkEnd w:id="82"/>
    <w:bookmarkStart w:id="83" w:name="ref-He2025"/>
    <w:p>
      <w:pPr>
        <w:pStyle w:val="Bibliography"/>
      </w:pPr>
      <w:r>
        <w:t xml:space="preserve">43.</w:t>
      </w:r>
      <w:r>
        <w:t xml:space="preserve"> </w:t>
      </w:r>
      <w:r>
        <w:t xml:space="preserve">	</w:t>
      </w:r>
      <w:r>
        <w:t xml:space="preserve">He, J.</w:t>
      </w:r>
      <w:r>
        <w:t xml:space="preserve"> </w:t>
      </w:r>
      <w:r>
        <w:rPr>
          <w:i/>
          <w:iCs/>
        </w:rPr>
        <w:t xml:space="preserve">et al.</w:t>
      </w:r>
      <w:r>
        <w:t xml:space="preserve"> </w:t>
      </w:r>
      <w:r>
        <w:t xml:space="preserve">(2025) Technological advances on imaging and modelling of leaf structural traits: A review on heat stress in wheat.</w:t>
      </w:r>
      <w:r>
        <w:t xml:space="preserve"> </w:t>
      </w:r>
      <w:r>
        <w:rPr>
          <w:i/>
          <w:iCs/>
        </w:rPr>
        <w:t xml:space="preserve">Journal of Experimental Botany (in press)</w:t>
      </w:r>
    </w:p>
    <w:bookmarkEnd w:id="83"/>
    <w:bookmarkStart w:id="84" w:name="ref-Zhang2021"/>
    <w:p>
      <w:pPr>
        <w:pStyle w:val="Bibliography"/>
      </w:pPr>
      <w:r>
        <w:t xml:space="preserve">44.</w:t>
      </w:r>
      <w:r>
        <w:t xml:space="preserve"> </w:t>
      </w:r>
      <w:r>
        <w:t xml:space="preserve">	</w:t>
      </w:r>
      <w:r>
        <w:t xml:space="preserve">Zhang, P.</w:t>
      </w:r>
      <w:r>
        <w:t xml:space="preserve"> </w:t>
      </w:r>
      <w:r>
        <w:rPr>
          <w:i/>
          <w:iCs/>
        </w:rPr>
        <w:t xml:space="preserve">et al.</w:t>
      </w:r>
      <w:r>
        <w:t xml:space="preserve"> </w:t>
      </w:r>
      <w:r>
        <w:t xml:space="preserve">(2021) Nanotechnology and artificial intelligence to enable sustainable and precision agriculture.</w:t>
      </w:r>
      <w:r>
        <w:t xml:space="preserve"> </w:t>
      </w:r>
      <w:r>
        <w:rPr>
          <w:i/>
          <w:iCs/>
        </w:rPr>
        <w:t xml:space="preserve">Nat. Plants</w:t>
      </w:r>
      <w:r>
        <w:t xml:space="preserve"> </w:t>
      </w:r>
      <w:r>
        <w:t xml:space="preserve">7, 864–876</w:t>
      </w:r>
    </w:p>
    <w:bookmarkEnd w:id="84"/>
    <w:bookmarkStart w:id="85" w:name="ref-Zhang2023a"/>
    <w:p>
      <w:pPr>
        <w:pStyle w:val="Bibliography"/>
      </w:pPr>
      <w:r>
        <w:t xml:space="preserve">45.</w:t>
      </w:r>
      <w:r>
        <w:t xml:space="preserve"> </w:t>
      </w:r>
      <w:r>
        <w:t xml:space="preserve">	</w:t>
      </w:r>
      <w:r>
        <w:t xml:space="preserve">Zhang, J.</w:t>
      </w:r>
      <w:r>
        <w:t xml:space="preserve"> </w:t>
      </w:r>
      <w:r>
        <w:rPr>
          <w:i/>
          <w:iCs/>
        </w:rPr>
        <w:t xml:space="preserve">et al.</w:t>
      </w:r>
      <w:r>
        <w:t xml:space="preserve"> </w:t>
      </w:r>
      <w:r>
        <w:t xml:space="preserve">(2023) Applications of artificial neural networks in microorganism image analysis: A comprehensive review from conventional multilayer perceptron to popular convolutional neural network and potential visual transformer.</w:t>
      </w:r>
      <w:r>
        <w:t xml:space="preserve"> </w:t>
      </w:r>
      <w:r>
        <w:rPr>
          <w:i/>
          <w:iCs/>
        </w:rPr>
        <w:t xml:space="preserve">Artif. Intell. Rev.</w:t>
      </w:r>
      <w:r>
        <w:t xml:space="preserve"> </w:t>
      </w:r>
      <w:r>
        <w:t xml:space="preserve">56, 1013–1070</w:t>
      </w:r>
    </w:p>
    <w:bookmarkEnd w:id="85"/>
    <w:bookmarkStart w:id="86" w:name="ref-Nisbet2000"/>
    <w:p>
      <w:pPr>
        <w:pStyle w:val="Bibliography"/>
      </w:pPr>
      <w:r>
        <w:t xml:space="preserve">46.</w:t>
      </w:r>
      <w:r>
        <w:t xml:space="preserve"> </w:t>
      </w:r>
      <w:r>
        <w:t xml:space="preserve">	</w:t>
      </w:r>
      <w:r>
        <w:t xml:space="preserve">Nisbet, R.</w:t>
      </w:r>
      <w:r>
        <w:t xml:space="preserve"> </w:t>
      </w:r>
      <w:r>
        <w:rPr>
          <w:i/>
          <w:iCs/>
        </w:rPr>
        <w:t xml:space="preserve">et al.</w:t>
      </w:r>
      <w:r>
        <w:t xml:space="preserve"> </w:t>
      </w:r>
      <w:r>
        <w:t xml:space="preserve">(2000) From molecules to ecosystems through dynamic energy budget models.</w:t>
      </w:r>
      <w:r>
        <w:t xml:space="preserve"> </w:t>
      </w:r>
      <w:r>
        <w:rPr>
          <w:i/>
          <w:iCs/>
        </w:rPr>
        <w:t xml:space="preserve">Journal of Animal Ecology</w:t>
      </w:r>
      <w:r>
        <w:t xml:space="preserve"> </w:t>
      </w:r>
      <w:r>
        <w:t xml:space="preserve">69, 913–926</w:t>
      </w:r>
    </w:p>
    <w:bookmarkEnd w:id="86"/>
    <w:bookmarkStart w:id="87" w:name="ref-Jager2020"/>
    <w:p>
      <w:pPr>
        <w:pStyle w:val="Bibliography"/>
      </w:pPr>
      <w:r>
        <w:t xml:space="preserve">47.</w:t>
      </w:r>
      <w:r>
        <w:t xml:space="preserve"> </w:t>
      </w:r>
      <w:r>
        <w:t xml:space="preserve">	</w:t>
      </w:r>
      <w:r>
        <w:t xml:space="preserve">Jager, T. (2020) Revisiting simplified</w:t>
      </w:r>
      <w:r>
        <w:t xml:space="preserve"> </w:t>
      </w:r>
      <w:r>
        <w:t xml:space="preserve">DEBtox</w:t>
      </w:r>
      <w:r>
        <w:t xml:space="preserve"> </w:t>
      </w:r>
      <w:r>
        <w:t xml:space="preserve">models for analysing ecotoxicity data.</w:t>
      </w:r>
      <w:r>
        <w:t xml:space="preserve"> </w:t>
      </w:r>
      <w:r>
        <w:rPr>
          <w:i/>
          <w:iCs/>
        </w:rPr>
        <w:t xml:space="preserve">Ecol. Modell.</w:t>
      </w:r>
      <w:r>
        <w:t xml:space="preserve"> </w:t>
      </w:r>
      <w:r>
        <w:t xml:space="preserve">416, 108904</w:t>
      </w:r>
    </w:p>
    <w:bookmarkEnd w:id="87"/>
    <w:bookmarkStart w:id="88" w:name="ref-Haberle2025"/>
    <w:p>
      <w:pPr>
        <w:pStyle w:val="Bibliography"/>
      </w:pPr>
      <w:r>
        <w:t xml:space="preserve">48.</w:t>
      </w:r>
      <w:r>
        <w:t xml:space="preserve"> </w:t>
      </w:r>
      <w:r>
        <w:t xml:space="preserve">	</w:t>
      </w:r>
      <w:r>
        <w:t xml:space="preserve">Haberle, I.</w:t>
      </w:r>
      <w:r>
        <w:t xml:space="preserve"> </w:t>
      </w:r>
      <w:r>
        <w:rPr>
          <w:i/>
          <w:iCs/>
        </w:rPr>
        <w:t xml:space="preserve">et al.</w:t>
      </w:r>
      <w:r>
        <w:t xml:space="preserve"> </w:t>
      </w:r>
      <w:r>
        <w:t xml:space="preserve">(2025) Comparing freshwater mussel responses to stress using life-history and dynamic energy budget theory.</w:t>
      </w:r>
      <w:r>
        <w:t xml:space="preserve"> </w:t>
      </w:r>
      <w:r>
        <w:rPr>
          <w:i/>
          <w:iCs/>
        </w:rPr>
        <w:t xml:space="preserve">Sci. Total Environ.</w:t>
      </w:r>
      <w:r>
        <w:t xml:space="preserve"> </w:t>
      </w:r>
      <w:r>
        <w:t xml:space="preserve">958, 177664</w:t>
      </w:r>
    </w:p>
    <w:bookmarkEnd w:id="88"/>
    <w:bookmarkStart w:id="89" w:name="ref-Kearney2013"/>
    <w:p>
      <w:pPr>
        <w:pStyle w:val="Bibliography"/>
      </w:pPr>
      <w:r>
        <w:t xml:space="preserve">49.</w:t>
      </w:r>
      <w:r>
        <w:t xml:space="preserve"> </w:t>
      </w:r>
      <w:r>
        <w:t xml:space="preserve">	</w:t>
      </w:r>
      <w:r>
        <w:t xml:space="preserve">Kearney, M.R.</w:t>
      </w:r>
      <w:r>
        <w:t xml:space="preserve"> </w:t>
      </w:r>
      <w:r>
        <w:rPr>
          <w:i/>
          <w:iCs/>
        </w:rPr>
        <w:t xml:space="preserve">et al.</w:t>
      </w:r>
      <w:r>
        <w:t xml:space="preserve"> </w:t>
      </w:r>
      <w:r>
        <w:t xml:space="preserve">(2013) Balancing heat, water and nutrients under environmental change: A thermodynamic niche framework.</w:t>
      </w:r>
      <w:r>
        <w:t xml:space="preserve"> </w:t>
      </w:r>
      <w:r>
        <w:rPr>
          <w:i/>
          <w:iCs/>
        </w:rPr>
        <w:t xml:space="preserve">Funct. Ecol.</w:t>
      </w:r>
      <w:r>
        <w:t xml:space="preserve"> </w:t>
      </w:r>
      <w:r>
        <w:t xml:space="preserve">27, 950–966</w:t>
      </w:r>
    </w:p>
    <w:bookmarkEnd w:id="89"/>
    <w:bookmarkStart w:id="90" w:name="ref-Kearney2010"/>
    <w:p>
      <w:pPr>
        <w:pStyle w:val="Bibliography"/>
      </w:pPr>
      <w:r>
        <w:t xml:space="preserve">50.</w:t>
      </w:r>
      <w:r>
        <w:t xml:space="preserve"> </w:t>
      </w:r>
      <w:r>
        <w:t xml:space="preserve">	</w:t>
      </w:r>
      <w:r>
        <w:t xml:space="preserve">Kearney, M.</w:t>
      </w:r>
      <w:r>
        <w:t xml:space="preserve"> </w:t>
      </w:r>
      <w:r>
        <w:rPr>
          <w:i/>
          <w:iCs/>
        </w:rPr>
        <w:t xml:space="preserve">et al.</w:t>
      </w:r>
      <w:r>
        <w:t xml:space="preserve"> </w:t>
      </w:r>
      <w:r>
        <w:t xml:space="preserve">(2010) Modelling the ecological niche from functional traits.</w:t>
      </w:r>
      <w:r>
        <w:t xml:space="preserve"> </w:t>
      </w:r>
      <w:r>
        <w:rPr>
          <w:i/>
          <w:iCs/>
        </w:rPr>
        <w:t xml:space="preserve">Philos. Trans. R. Soc. Lond. B Biol. Sci.</w:t>
      </w:r>
      <w:r>
        <w:t xml:space="preserve"> </w:t>
      </w:r>
      <w:r>
        <w:t xml:space="preserve">365, 3469–3483</w:t>
      </w:r>
    </w:p>
    <w:bookmarkEnd w:id="90"/>
    <w:bookmarkStart w:id="91" w:name="ref-Marques2018"/>
    <w:p>
      <w:pPr>
        <w:pStyle w:val="Bibliography"/>
      </w:pPr>
      <w:r>
        <w:t xml:space="preserve">51.</w:t>
      </w:r>
      <w:r>
        <w:t xml:space="preserve"> </w:t>
      </w:r>
      <w:r>
        <w:t xml:space="preserve">	</w:t>
      </w:r>
      <w:r>
        <w:t xml:space="preserve">Marques, G.M.</w:t>
      </w:r>
      <w:r>
        <w:t xml:space="preserve"> </w:t>
      </w:r>
      <w:r>
        <w:rPr>
          <w:i/>
          <w:iCs/>
        </w:rPr>
        <w:t xml:space="preserve">et al.</w:t>
      </w:r>
      <w:r>
        <w:t xml:space="preserve"> </w:t>
      </w:r>
      <w:r>
        <w:t xml:space="preserve">(2018) The</w:t>
      </w:r>
      <w:r>
        <w:t xml:space="preserve"> </w:t>
      </w:r>
      <w:r>
        <w:t xml:space="preserve">AmP</w:t>
      </w:r>
      <w:r>
        <w:t xml:space="preserve"> </w:t>
      </w:r>
      <w:r>
        <w:t xml:space="preserve">project: Comparing species on the basis of dynamic energy budget parameters.</w:t>
      </w:r>
      <w:r>
        <w:t xml:space="preserve"> </w:t>
      </w:r>
      <w:r>
        <w:rPr>
          <w:i/>
          <w:iCs/>
        </w:rPr>
        <w:t xml:space="preserve">PLoS Comput. Biol.</w:t>
      </w:r>
      <w:r>
        <w:t xml:space="preserve"> </w:t>
      </w:r>
      <w:r>
        <w:t xml:space="preserve">14, e1006100</w:t>
      </w:r>
    </w:p>
    <w:bookmarkEnd w:id="91"/>
    <w:bookmarkStart w:id="92" w:name="ref-Kooijman2021"/>
    <w:p>
      <w:pPr>
        <w:pStyle w:val="Bibliography"/>
      </w:pPr>
      <w:r>
        <w:t xml:space="preserve">52.</w:t>
      </w:r>
      <w:r>
        <w:t xml:space="preserve"> </w:t>
      </w:r>
      <w:r>
        <w:t xml:space="preserve">	</w:t>
      </w:r>
      <w:r>
        <w:t xml:space="preserve">Kooijman, S.A.L.M.</w:t>
      </w:r>
      <w:r>
        <w:t xml:space="preserve"> </w:t>
      </w:r>
      <w:r>
        <w:rPr>
          <w:i/>
          <w:iCs/>
        </w:rPr>
        <w:t xml:space="preserve">et al.</w:t>
      </w:r>
      <w:r>
        <w:t xml:space="preserve"> </w:t>
      </w:r>
      <w:r>
        <w:t xml:space="preserve">(2021) Multidimensional scaling for animal traits in the context of dynamic energy budget theory.</w:t>
      </w:r>
      <w:r>
        <w:t xml:space="preserve"> </w:t>
      </w:r>
      <w:r>
        <w:rPr>
          <w:i/>
          <w:iCs/>
        </w:rPr>
        <w:t xml:space="preserve">Conserv. Physiol.</w:t>
      </w:r>
      <w:r>
        <w:t xml:space="preserve"> </w:t>
      </w:r>
      <w:r>
        <w:t xml:space="preserve">9, coab086</w:t>
      </w:r>
    </w:p>
    <w:bookmarkEnd w:id="92"/>
    <w:bookmarkStart w:id="93" w:name="ref-Bruggeman2009"/>
    <w:p>
      <w:pPr>
        <w:pStyle w:val="Bibliography"/>
      </w:pPr>
      <w:r>
        <w:t xml:space="preserve">53.</w:t>
      </w:r>
      <w:r>
        <w:t xml:space="preserve"> </w:t>
      </w:r>
      <w:r>
        <w:t xml:space="preserve">	</w:t>
      </w:r>
      <w:r>
        <w:t xml:space="preserve">Bruggeman, J.</w:t>
      </w:r>
      <w:r>
        <w:t xml:space="preserve"> </w:t>
      </w:r>
      <w:r>
        <w:rPr>
          <w:i/>
          <w:iCs/>
        </w:rPr>
        <w:t xml:space="preserve">et al.</w:t>
      </w:r>
      <w:r>
        <w:t xml:space="preserve"> </w:t>
      </w:r>
      <w:r>
        <w:t xml:space="preserve">(2009)</w:t>
      </w:r>
      <w:r>
        <w:t xml:space="preserve"> </w:t>
      </w:r>
      <w:r>
        <w:t xml:space="preserve">PhyloPars</w:t>
      </w:r>
      <w:r>
        <w:t xml:space="preserve">: Estimation of missing parameter values using phylogeny.</w:t>
      </w:r>
      <w:r>
        <w:t xml:space="preserve"> </w:t>
      </w:r>
      <w:r>
        <w:rPr>
          <w:i/>
          <w:iCs/>
        </w:rPr>
        <w:t xml:space="preserve">Nucleic Acids Research</w:t>
      </w:r>
      <w:r>
        <w:t xml:space="preserve"> </w:t>
      </w:r>
      <w:r>
        <w:t xml:space="preserve">37, W179–W184</w:t>
      </w:r>
    </w:p>
    <w:bookmarkEnd w:id="93"/>
    <w:bookmarkStart w:id="94" w:name="ref-Kearney2017"/>
    <w:p>
      <w:pPr>
        <w:pStyle w:val="Bibliography"/>
      </w:pPr>
      <w:r>
        <w:t xml:space="preserve">54.</w:t>
      </w:r>
      <w:r>
        <w:t xml:space="preserve"> </w:t>
      </w:r>
      <w:r>
        <w:t xml:space="preserve">	</w:t>
      </w:r>
      <w:r>
        <w:t xml:space="preserve">Kearney, M.R. and Porter, W.P. (2017)</w:t>
      </w:r>
      <w:r>
        <w:t xml:space="preserve"> </w:t>
      </w:r>
      <w:r>
        <w:t xml:space="preserve">NicheMapR</w:t>
      </w:r>
      <w:r>
        <w:t xml:space="preserve"> </w:t>
      </w:r>
      <w:r>
        <w:t xml:space="preserve">– an</w:t>
      </w:r>
      <w:r>
        <w:t xml:space="preserve"> </w:t>
      </w:r>
      <w:r>
        <w:t xml:space="preserve">R</w:t>
      </w:r>
      <w:r>
        <w:t xml:space="preserve"> </w:t>
      </w:r>
      <w:r>
        <w:t xml:space="preserve">package for biophysical modelling: The microclimate model.</w:t>
      </w:r>
      <w:r>
        <w:t xml:space="preserve"> </w:t>
      </w:r>
      <w:r>
        <w:rPr>
          <w:i/>
          <w:iCs/>
        </w:rPr>
        <w:t xml:space="preserve">Ecography (Cop.)</w:t>
      </w:r>
      <w:r>
        <w:t xml:space="preserve"> </w:t>
      </w:r>
      <w:r>
        <w:t xml:space="preserve">40, 664–674</w:t>
      </w:r>
    </w:p>
    <w:bookmarkEnd w:id="94"/>
    <w:bookmarkStart w:id="95" w:name="ref-Kearney2020a"/>
    <w:p>
      <w:pPr>
        <w:pStyle w:val="Bibliography"/>
      </w:pPr>
      <w:r>
        <w:t xml:space="preserve">55.</w:t>
      </w:r>
      <w:r>
        <w:t xml:space="preserve"> </w:t>
      </w:r>
      <w:r>
        <w:t xml:space="preserve">	</w:t>
      </w:r>
      <w:r>
        <w:t xml:space="preserve">Kearney, M.R. and Porter, W.P. (2020)</w:t>
      </w:r>
      <w:r>
        <w:t xml:space="preserve"> </w:t>
      </w:r>
      <w:r>
        <w:t xml:space="preserve">NicheMapR</w:t>
      </w:r>
      <w:r>
        <w:t xml:space="preserve"> </w:t>
      </w:r>
      <w:r>
        <w:t xml:space="preserve">– an</w:t>
      </w:r>
      <w:r>
        <w:t xml:space="preserve"> </w:t>
      </w:r>
      <w:r>
        <w:t xml:space="preserve">R</w:t>
      </w:r>
      <w:r>
        <w:t xml:space="preserve"> </w:t>
      </w:r>
      <w:r>
        <w:t xml:space="preserve">package for biophysical modelling: The ectotherm and dynamic energy budget models.</w:t>
      </w:r>
      <w:r>
        <w:t xml:space="preserve"> </w:t>
      </w:r>
      <w:r>
        <w:rPr>
          <w:i/>
          <w:iCs/>
        </w:rPr>
        <w:t xml:space="preserve">Ecography (Cop.)</w:t>
      </w:r>
      <w:r>
        <w:t xml:space="preserve"> </w:t>
      </w:r>
      <w:r>
        <w:t xml:space="preserve">43, 85–96</w:t>
      </w:r>
    </w:p>
    <w:bookmarkEnd w:id="95"/>
    <w:bookmarkStart w:id="96" w:name="ref-Ricker1954a"/>
    <w:p>
      <w:pPr>
        <w:pStyle w:val="Bibliography"/>
      </w:pPr>
      <w:r>
        <w:t xml:space="preserve">56.</w:t>
      </w:r>
      <w:r>
        <w:t xml:space="preserve"> </w:t>
      </w:r>
      <w:r>
        <w:t xml:space="preserve">	</w:t>
      </w:r>
      <w:r>
        <w:t xml:space="preserve">Ricker, W.E. (1954) Stock and recruitment.</w:t>
      </w:r>
      <w:r>
        <w:t xml:space="preserve"> </w:t>
      </w:r>
      <w:r>
        <w:rPr>
          <w:i/>
          <w:iCs/>
        </w:rPr>
        <w:t xml:space="preserve">J. Fish. Res. Board Can.</w:t>
      </w:r>
      <w:r>
        <w:t xml:space="preserve"> </w:t>
      </w:r>
      <w:r>
        <w:t xml:space="preserve">11, 559–623</w:t>
      </w:r>
    </w:p>
    <w:bookmarkEnd w:id="96"/>
    <w:bookmarkStart w:id="97" w:name="ref-Beverton2012"/>
    <w:p>
      <w:pPr>
        <w:pStyle w:val="Bibliography"/>
      </w:pPr>
      <w:r>
        <w:t xml:space="preserve">57.</w:t>
      </w:r>
      <w:r>
        <w:t xml:space="preserve"> </w:t>
      </w:r>
      <w:r>
        <w:t xml:space="preserve">	</w:t>
      </w:r>
      <w:r>
        <w:t xml:space="preserve">Beverton, R.J.H. and Holt, S. (2012)</w:t>
      </w:r>
      <w:r>
        <w:t xml:space="preserve"> </w:t>
      </w:r>
      <w:r>
        <w:rPr>
          <w:i/>
          <w:iCs/>
        </w:rPr>
        <w:t xml:space="preserve">On the dynamics of exploited fish populations</w:t>
      </w:r>
      <w:r>
        <w:t xml:space="preserve">, Springer</w:t>
      </w:r>
    </w:p>
    <w:bookmarkEnd w:id="97"/>
    <w:bookmarkStart w:id="98" w:name="ref-Bertness1994"/>
    <w:p>
      <w:pPr>
        <w:pStyle w:val="Bibliography"/>
      </w:pPr>
      <w:r>
        <w:t xml:space="preserve">58.</w:t>
      </w:r>
      <w:r>
        <w:t xml:space="preserve"> </w:t>
      </w:r>
      <w:r>
        <w:t xml:space="preserve">	</w:t>
      </w:r>
      <w:r>
        <w:t xml:space="preserve">Bertness, M. and Callaway, R. (1994) Positive interactions in communities.</w:t>
      </w:r>
      <w:r>
        <w:t xml:space="preserve"> </w:t>
      </w:r>
      <w:r>
        <w:rPr>
          <w:i/>
          <w:iCs/>
        </w:rPr>
        <w:t xml:space="preserve">Trends Ecol. Evol.</w:t>
      </w:r>
      <w:r>
        <w:t xml:space="preserve"> </w:t>
      </w:r>
      <w:r>
        <w:t xml:space="preserve">9, 191–193</w:t>
      </w:r>
    </w:p>
    <w:bookmarkEnd w:id="98"/>
    <w:bookmarkStart w:id="99" w:name="ref-Weiss-Lehman2022"/>
    <w:p>
      <w:pPr>
        <w:pStyle w:val="Bibliography"/>
      </w:pPr>
      <w:r>
        <w:t xml:space="preserve">59.</w:t>
      </w:r>
      <w:r>
        <w:t xml:space="preserve"> </w:t>
      </w:r>
      <w:r>
        <w:t xml:space="preserve">	</w:t>
      </w:r>
      <w:r>
        <w:t xml:space="preserve">Weiss-Lehman, C.P.</w:t>
      </w:r>
      <w:r>
        <w:t xml:space="preserve"> </w:t>
      </w:r>
      <w:r>
        <w:rPr>
          <w:i/>
          <w:iCs/>
        </w:rPr>
        <w:t xml:space="preserve">et al.</w:t>
      </w:r>
      <w:r>
        <w:t xml:space="preserve"> </w:t>
      </w:r>
      <w:r>
        <w:t xml:space="preserve">(2022) Disentangling key species interactions in diverse and heterogeneous communities: A bayesian sparse modelling approach.</w:t>
      </w:r>
      <w:r>
        <w:t xml:space="preserve"> </w:t>
      </w:r>
      <w:r>
        <w:rPr>
          <w:i/>
          <w:iCs/>
        </w:rPr>
        <w:t xml:space="preserve">Ecol. Lett.</w:t>
      </w:r>
      <w:r>
        <w:t xml:space="preserve"> </w:t>
      </w:r>
      <w:r>
        <w:t xml:space="preserve">25, 1263–1276</w:t>
      </w:r>
    </w:p>
    <w:bookmarkEnd w:id="99"/>
    <w:bookmarkStart w:id="100" w:name="ref-Delmas2019"/>
    <w:p>
      <w:pPr>
        <w:pStyle w:val="Bibliography"/>
      </w:pPr>
      <w:r>
        <w:t xml:space="preserve">60.</w:t>
      </w:r>
      <w:r>
        <w:t xml:space="preserve"> </w:t>
      </w:r>
      <w:r>
        <w:t xml:space="preserve">	</w:t>
      </w:r>
      <w:r>
        <w:t xml:space="preserve">Delmas, E.</w:t>
      </w:r>
      <w:r>
        <w:t xml:space="preserve"> </w:t>
      </w:r>
      <w:r>
        <w:rPr>
          <w:i/>
          <w:iCs/>
        </w:rPr>
        <w:t xml:space="preserve">et al.</w:t>
      </w:r>
      <w:r>
        <w:t xml:space="preserve"> </w:t>
      </w:r>
      <w:r>
        <w:t xml:space="preserve">(2019) Analysing ecological networks of species interactions.</w:t>
      </w:r>
      <w:r>
        <w:t xml:space="preserve"> </w:t>
      </w:r>
      <w:r>
        <w:rPr>
          <w:i/>
          <w:iCs/>
        </w:rPr>
        <w:t xml:space="preserve">Biol. Rev. Camb. Philos. Soc.</w:t>
      </w:r>
      <w:r>
        <w:t xml:space="preserve"> </w:t>
      </w:r>
      <w:r>
        <w:t xml:space="preserve">94, 16–36</w:t>
      </w:r>
    </w:p>
    <w:bookmarkEnd w:id="100"/>
    <w:bookmarkStart w:id="101" w:name="ref-Godoy2019"/>
    <w:p>
      <w:pPr>
        <w:pStyle w:val="Bibliography"/>
      </w:pPr>
      <w:r>
        <w:t xml:space="preserve">61.</w:t>
      </w:r>
      <w:r>
        <w:t xml:space="preserve"> </w:t>
      </w:r>
      <w:r>
        <w:t xml:space="preserve">	</w:t>
      </w:r>
      <w:r>
        <w:t xml:space="preserve">Godoy, O. (2019) Coexistence theory as a tool to understand biological invasions in species interaction networks: Implications for the study of novel ecosystems.</w:t>
      </w:r>
      <w:r>
        <w:t xml:space="preserve"> </w:t>
      </w:r>
      <w:r>
        <w:rPr>
          <w:i/>
          <w:iCs/>
        </w:rPr>
        <w:t xml:space="preserve">Funct. Ecol.</w:t>
      </w:r>
      <w:r>
        <w:t xml:space="preserve"> </w:t>
      </w:r>
      <w:r>
        <w:t xml:space="preserve">33, 1190–1201</w:t>
      </w:r>
    </w:p>
    <w:bookmarkEnd w:id="101"/>
    <w:bookmarkStart w:id="102" w:name="ref-Poisot2021"/>
    <w:p>
      <w:pPr>
        <w:pStyle w:val="Bibliography"/>
      </w:pPr>
      <w:r>
        <w:t xml:space="preserve">62.</w:t>
      </w:r>
      <w:r>
        <w:t xml:space="preserve"> </w:t>
      </w:r>
      <w:r>
        <w:t xml:space="preserve">	</w:t>
      </w:r>
      <w:r>
        <w:t xml:space="preserve">Poisot, T.</w:t>
      </w:r>
      <w:r>
        <w:t xml:space="preserve"> </w:t>
      </w:r>
      <w:r>
        <w:rPr>
          <w:i/>
          <w:iCs/>
        </w:rPr>
        <w:t xml:space="preserve">et al.</w:t>
      </w:r>
      <w:r>
        <w:t xml:space="preserve"> </w:t>
      </w:r>
      <w:r>
        <w:t xml:space="preserve">(2021) Global knowledge gaps in species interaction networks data.</w:t>
      </w:r>
      <w:r>
        <w:t xml:space="preserve"> </w:t>
      </w:r>
      <w:r>
        <w:rPr>
          <w:i/>
          <w:iCs/>
        </w:rPr>
        <w:t xml:space="preserve">J. Biogeogr.</w:t>
      </w:r>
      <w:r>
        <w:t xml:space="preserve"> </w:t>
      </w:r>
      <w:r>
        <w:t xml:space="preserve">48, 1552–1563</w:t>
      </w:r>
    </w:p>
    <w:bookmarkEnd w:id="102"/>
    <w:bookmarkStart w:id="103" w:name="ref-Hui2019"/>
    <w:p>
      <w:pPr>
        <w:pStyle w:val="Bibliography"/>
      </w:pPr>
      <w:r>
        <w:t xml:space="preserve">63.</w:t>
      </w:r>
      <w:r>
        <w:t xml:space="preserve"> </w:t>
      </w:r>
      <w:r>
        <w:t xml:space="preserve">	</w:t>
      </w:r>
      <w:r>
        <w:t xml:space="preserve">Hui, C. and Richardson, D.M. (2019) How to invade an ecological network.</w:t>
      </w:r>
      <w:r>
        <w:t xml:space="preserve"> </w:t>
      </w:r>
      <w:r>
        <w:rPr>
          <w:i/>
          <w:iCs/>
        </w:rPr>
        <w:t xml:space="preserve">Trends Ecol. Evol.</w:t>
      </w:r>
      <w:r>
        <w:t xml:space="preserve"> </w:t>
      </w:r>
      <w:r>
        <w:t xml:space="preserve">34, 121–131</w:t>
      </w:r>
    </w:p>
    <w:bookmarkEnd w:id="103"/>
    <w:bookmarkStart w:id="104" w:name="ref-Gomez2023"/>
    <w:p>
      <w:pPr>
        <w:pStyle w:val="Bibliography"/>
      </w:pPr>
      <w:r>
        <w:t xml:space="preserve">64.</w:t>
      </w:r>
      <w:r>
        <w:t xml:space="preserve"> </w:t>
      </w:r>
      <w:r>
        <w:t xml:space="preserve">	</w:t>
      </w:r>
      <w:r>
        <w:t xml:space="preserve">Gómez, J.M.</w:t>
      </w:r>
      <w:r>
        <w:t xml:space="preserve"> </w:t>
      </w:r>
      <w:r>
        <w:rPr>
          <w:i/>
          <w:iCs/>
        </w:rPr>
        <w:t xml:space="preserve">et al.</w:t>
      </w:r>
      <w:r>
        <w:t xml:space="preserve"> </w:t>
      </w:r>
      <w:r>
        <w:t xml:space="preserve">(2023) The role of phenotypic plasticity in shaping ecological networks.</w:t>
      </w:r>
      <w:r>
        <w:t xml:space="preserve"> </w:t>
      </w:r>
      <w:r>
        <w:rPr>
          <w:i/>
          <w:iCs/>
        </w:rPr>
        <w:t xml:space="preserve">Ecol. Lett.</w:t>
      </w:r>
      <w:r>
        <w:t xml:space="preserve"> </w:t>
      </w:r>
      <w:r>
        <w:t xml:space="preserve">26, S47–S61</w:t>
      </w:r>
    </w:p>
    <w:bookmarkEnd w:id="104"/>
    <w:bookmarkStart w:id="105" w:name="ref-Lytle2023"/>
    <w:p>
      <w:pPr>
        <w:pStyle w:val="Bibliography"/>
      </w:pPr>
      <w:r>
        <w:t xml:space="preserve">65.</w:t>
      </w:r>
      <w:r>
        <w:t xml:space="preserve"> </w:t>
      </w:r>
      <w:r>
        <w:t xml:space="preserve">	</w:t>
      </w:r>
      <w:r>
        <w:t xml:space="preserve">Lytle, D.A. and Tonkin, J.D. (2023) Matrix community models for ecology and evolution.</w:t>
      </w:r>
      <w:r>
        <w:t xml:space="preserve"> </w:t>
      </w:r>
      <w:r>
        <w:rPr>
          <w:i/>
          <w:iCs/>
        </w:rPr>
        <w:t xml:space="preserve">npj Biodiversity</w:t>
      </w:r>
      <w:r>
        <w:t xml:space="preserve"> </w:t>
      </w:r>
      <w:r>
        <w:t xml:space="preserve">2, 26</w:t>
      </w:r>
    </w:p>
    <w:bookmarkEnd w:id="105"/>
    <w:bookmarkStart w:id="106" w:name="ref-Petsopoulos2021"/>
    <w:p>
      <w:pPr>
        <w:pStyle w:val="Bibliography"/>
      </w:pPr>
      <w:r>
        <w:t xml:space="preserve">66.</w:t>
      </w:r>
      <w:r>
        <w:t xml:space="preserve"> </w:t>
      </w:r>
      <w:r>
        <w:t xml:space="preserve">	</w:t>
      </w:r>
      <w:r>
        <w:t xml:space="preserve">Petsopoulos, D.</w:t>
      </w:r>
      <w:r>
        <w:t xml:space="preserve"> </w:t>
      </w:r>
      <w:r>
        <w:rPr>
          <w:i/>
          <w:iCs/>
        </w:rPr>
        <w:t xml:space="preserve">et al.</w:t>
      </w:r>
      <w:r>
        <w:t xml:space="preserve"> </w:t>
      </w:r>
      <w:r>
        <w:t xml:space="preserve">(2021) Using network ecology to understand and mitigate long-term insect declines.</w:t>
      </w:r>
      <w:r>
        <w:t xml:space="preserve"> </w:t>
      </w:r>
      <w:r>
        <w:rPr>
          <w:i/>
          <w:iCs/>
        </w:rPr>
        <w:t xml:space="preserve">Ecol. Entomol.</w:t>
      </w:r>
    </w:p>
    <w:bookmarkEnd w:id="106"/>
    <w:bookmarkStart w:id="107" w:name="ref-Dale2021"/>
    <w:p>
      <w:pPr>
        <w:pStyle w:val="Bibliography"/>
      </w:pPr>
      <w:r>
        <w:t xml:space="preserve">67.</w:t>
      </w:r>
      <w:r>
        <w:t xml:space="preserve"> </w:t>
      </w:r>
      <w:r>
        <w:t xml:space="preserve">	</w:t>
      </w:r>
      <w:r>
        <w:t xml:space="preserve">Dale, M.R.T. and Fortin, M.-J. (2021)</w:t>
      </w:r>
      <w:r>
        <w:t xml:space="preserve"> </w:t>
      </w:r>
      <w:r>
        <w:rPr>
          <w:i/>
          <w:iCs/>
        </w:rPr>
        <w:t xml:space="preserve">Quantitative analysis of ecological networks</w:t>
      </w:r>
      <w:r>
        <w:t xml:space="preserve">, Cambridge University Press</w:t>
      </w:r>
    </w:p>
    <w:bookmarkEnd w:id="107"/>
    <w:bookmarkStart w:id="108" w:name="ref-Lu2023"/>
    <w:p>
      <w:pPr>
        <w:pStyle w:val="Bibliography"/>
      </w:pPr>
      <w:r>
        <w:t xml:space="preserve">68.</w:t>
      </w:r>
      <w:r>
        <w:t xml:space="preserve"> </w:t>
      </w:r>
      <w:r>
        <w:t xml:space="preserve">	</w:t>
      </w:r>
      <w:r>
        <w:t xml:space="preserve">Lu, Q.</w:t>
      </w:r>
      <w:r>
        <w:t xml:space="preserve"> </w:t>
      </w:r>
      <w:r>
        <w:rPr>
          <w:i/>
          <w:iCs/>
        </w:rPr>
        <w:t xml:space="preserve">et al.</w:t>
      </w:r>
      <w:r>
        <w:t xml:space="preserve"> </w:t>
      </w:r>
      <w:r>
        <w:t xml:space="preserve">(2023) Food webs reveal coexistence mechanisms and community organization in carnivores.</w:t>
      </w:r>
      <w:r>
        <w:t xml:space="preserve"> </w:t>
      </w:r>
      <w:r>
        <w:rPr>
          <w:i/>
          <w:iCs/>
        </w:rPr>
        <w:t xml:space="preserve">Curr. Biol.</w:t>
      </w:r>
      <w:r>
        <w:t xml:space="preserve"> </w:t>
      </w:r>
      <w:r>
        <w:t xml:space="preserve">33, 647–659</w:t>
      </w:r>
    </w:p>
    <w:bookmarkEnd w:id="108"/>
    <w:bookmarkStart w:id="109" w:name="ref-Carrara2015"/>
    <w:p>
      <w:pPr>
        <w:pStyle w:val="Bibliography"/>
      </w:pPr>
      <w:r>
        <w:t xml:space="preserve">69.</w:t>
      </w:r>
      <w:r>
        <w:t xml:space="preserve"> </w:t>
      </w:r>
      <w:r>
        <w:t xml:space="preserve">	</w:t>
      </w:r>
      <w:r>
        <w:t xml:space="preserve">Carrara, F.</w:t>
      </w:r>
      <w:r>
        <w:t xml:space="preserve"> </w:t>
      </w:r>
      <w:r>
        <w:rPr>
          <w:i/>
          <w:iCs/>
        </w:rPr>
        <w:t xml:space="preserve">et al.</w:t>
      </w:r>
      <w:r>
        <w:t xml:space="preserve"> </w:t>
      </w:r>
      <w:r>
        <w:t xml:space="preserve">(2015) Inferring species interactions in ecological communities: A comparison of methods at different levels of complexity.</w:t>
      </w:r>
      <w:r>
        <w:t xml:space="preserve"> </w:t>
      </w:r>
      <w:r>
        <w:rPr>
          <w:i/>
          <w:iCs/>
        </w:rPr>
        <w:t xml:space="preserve">Methods Ecol. Evol.</w:t>
      </w:r>
      <w:r>
        <w:t xml:space="preserve"> </w:t>
      </w:r>
      <w:r>
        <w:t xml:space="preserve">6, 895–906</w:t>
      </w:r>
    </w:p>
    <w:bookmarkEnd w:id="109"/>
    <w:bookmarkStart w:id="110" w:name="ref-Vitali2022"/>
    <w:p>
      <w:pPr>
        <w:pStyle w:val="Bibliography"/>
      </w:pPr>
      <w:r>
        <w:t xml:space="preserve">70.</w:t>
      </w:r>
      <w:r>
        <w:t xml:space="preserve"> </w:t>
      </w:r>
      <w:r>
        <w:t xml:space="preserve">	</w:t>
      </w:r>
      <w:r>
        <w:t xml:space="preserve">Vitali, A.</w:t>
      </w:r>
      <w:r>
        <w:t xml:space="preserve"> </w:t>
      </w:r>
      <w:r>
        <w:rPr>
          <w:i/>
          <w:iCs/>
        </w:rPr>
        <w:t xml:space="preserve">et al.</w:t>
      </w:r>
      <w:r>
        <w:t xml:space="preserve"> </w:t>
      </w:r>
      <w:r>
        <w:t xml:space="preserve">(2022) The disruption of a keystone interaction erodes pollination and seed dispersal networks.</w:t>
      </w:r>
      <w:r>
        <w:t xml:space="preserve"> </w:t>
      </w:r>
      <w:r>
        <w:rPr>
          <w:i/>
          <w:iCs/>
        </w:rPr>
        <w:t xml:space="preserve">Ecology</w:t>
      </w:r>
      <w:r>
        <w:t xml:space="preserve"> </w:t>
      </w:r>
      <w:r>
        <w:t xml:space="preserve">103, e03547</w:t>
      </w:r>
    </w:p>
    <w:bookmarkEnd w:id="110"/>
    <w:bookmarkStart w:id="111" w:name="ref-Riva2023"/>
    <w:p>
      <w:pPr>
        <w:pStyle w:val="Bibliography"/>
      </w:pPr>
      <w:r>
        <w:t xml:space="preserve">71.</w:t>
      </w:r>
      <w:r>
        <w:t xml:space="preserve"> </w:t>
      </w:r>
      <w:r>
        <w:t xml:space="preserve">	</w:t>
      </w:r>
      <w:r>
        <w:t xml:space="preserve">Riva, F.</w:t>
      </w:r>
      <w:r>
        <w:t xml:space="preserve"> </w:t>
      </w:r>
      <w:r>
        <w:rPr>
          <w:i/>
          <w:iCs/>
        </w:rPr>
        <w:t xml:space="preserve">et al.</w:t>
      </w:r>
      <w:r>
        <w:t xml:space="preserve"> </w:t>
      </w:r>
      <w:r>
        <w:t xml:space="preserve">(2023) Toward a cohesive understanding of ecological complexity.</w:t>
      </w:r>
      <w:r>
        <w:t xml:space="preserve"> </w:t>
      </w:r>
      <w:r>
        <w:rPr>
          <w:i/>
          <w:iCs/>
        </w:rPr>
        <w:t xml:space="preserve">Sci. Adv.</w:t>
      </w:r>
      <w:r>
        <w:t xml:space="preserve"> </w:t>
      </w:r>
      <w:r>
        <w:t xml:space="preserve">9, eabq4207</w:t>
      </w:r>
    </w:p>
    <w:bookmarkEnd w:id="111"/>
    <w:bookmarkStart w:id="112" w:name="ref-Terry2020"/>
    <w:p>
      <w:pPr>
        <w:pStyle w:val="Bibliography"/>
      </w:pPr>
      <w:r>
        <w:t xml:space="preserve">72.</w:t>
      </w:r>
      <w:r>
        <w:t xml:space="preserve"> </w:t>
      </w:r>
      <w:r>
        <w:t xml:space="preserve">	</w:t>
      </w:r>
      <w:r>
        <w:t xml:space="preserve">Terry, J.C.D. and Lewis, O.T. (2020) Finding missing links in interaction networks.</w:t>
      </w:r>
      <w:r>
        <w:t xml:space="preserve"> </w:t>
      </w:r>
      <w:r>
        <w:rPr>
          <w:i/>
          <w:iCs/>
        </w:rPr>
        <w:t xml:space="preserve">Ecology</w:t>
      </w:r>
      <w:r>
        <w:t xml:space="preserve"> </w:t>
      </w:r>
      <w:r>
        <w:t xml:space="preserve">101, e03047</w:t>
      </w:r>
    </w:p>
    <w:bookmarkEnd w:id="112"/>
    <w:bookmarkStart w:id="113" w:name="ref-Zou2024"/>
    <w:p>
      <w:pPr>
        <w:pStyle w:val="Bibliography"/>
      </w:pPr>
      <w:r>
        <w:t xml:space="preserve">73.</w:t>
      </w:r>
      <w:r>
        <w:t xml:space="preserve"> </w:t>
      </w:r>
      <w:r>
        <w:t xml:space="preserve">	</w:t>
      </w:r>
      <w:r>
        <w:t xml:space="preserve">Zou, H.-X.</w:t>
      </w:r>
      <w:r>
        <w:t xml:space="preserve"> </w:t>
      </w:r>
      <w:r>
        <w:rPr>
          <w:i/>
          <w:iCs/>
        </w:rPr>
        <w:t xml:space="preserve">et al.</w:t>
      </w:r>
      <w:r>
        <w:t xml:space="preserve"> </w:t>
      </w:r>
      <w:r>
        <w:t xml:space="preserve">(2024) Time-dependent interaction modification generated from plant–soil feedback.</w:t>
      </w:r>
      <w:r>
        <w:t xml:space="preserve"> </w:t>
      </w:r>
      <w:r>
        <w:rPr>
          <w:i/>
          <w:iCs/>
        </w:rPr>
        <w:t xml:space="preserve">Ecol. Lett.</w:t>
      </w:r>
      <w:r>
        <w:t xml:space="preserve"> </w:t>
      </w:r>
      <w:r>
        <w:t xml:space="preserve">27, e14432</w:t>
      </w:r>
    </w:p>
    <w:bookmarkEnd w:id="113"/>
    <w:bookmarkStart w:id="114" w:name="ref-Li2023"/>
    <w:p>
      <w:pPr>
        <w:pStyle w:val="Bibliography"/>
      </w:pPr>
      <w:r>
        <w:t xml:space="preserve">74.</w:t>
      </w:r>
      <w:r>
        <w:t xml:space="preserve"> </w:t>
      </w:r>
      <w:r>
        <w:t xml:space="preserve">	</w:t>
      </w:r>
      <w:r>
        <w:t xml:space="preserve">Li, Y.-J.</w:t>
      </w:r>
      <w:r>
        <w:t xml:space="preserve"> </w:t>
      </w:r>
      <w:r>
        <w:rPr>
          <w:i/>
          <w:iCs/>
        </w:rPr>
        <w:t xml:space="preserve">et al.</w:t>
      </w:r>
      <w:r>
        <w:t xml:space="preserve"> </w:t>
      </w:r>
      <w:r>
        <w:t xml:space="preserve">(2023) Interspecific differences in thermal tolerance landscape explain aphid community abundance under climate change.</w:t>
      </w:r>
      <w:r>
        <w:t xml:space="preserve"> </w:t>
      </w:r>
      <w:r>
        <w:rPr>
          <w:i/>
          <w:iCs/>
        </w:rPr>
        <w:t xml:space="preserve">J. Therm. Biol.</w:t>
      </w:r>
      <w:r>
        <w:t xml:space="preserve"> </w:t>
      </w:r>
      <w:r>
        <w:t xml:space="preserve">114, 103583</w:t>
      </w:r>
    </w:p>
    <w:bookmarkEnd w:id="114"/>
    <w:bookmarkStart w:id="115" w:name="ref-Zhu2024"/>
    <w:p>
      <w:pPr>
        <w:pStyle w:val="Bibliography"/>
      </w:pPr>
      <w:r>
        <w:t xml:space="preserve">75.</w:t>
      </w:r>
      <w:r>
        <w:t xml:space="preserve"> </w:t>
      </w:r>
      <w:r>
        <w:t xml:space="preserve">	</w:t>
      </w:r>
      <w:r>
        <w:t xml:space="preserve">Zhu, L.</w:t>
      </w:r>
      <w:r>
        <w:t xml:space="preserve"> </w:t>
      </w:r>
      <w:r>
        <w:rPr>
          <w:i/>
          <w:iCs/>
        </w:rPr>
        <w:t xml:space="preserve">et al.</w:t>
      </w:r>
      <w:r>
        <w:t xml:space="preserve"> </w:t>
      </w:r>
      <w:r>
        <w:t xml:space="preserve">(2024) Responses of a widespread pest insect to extreme high temperatures are stage-dependent and divergent among seasonal cohorts.</w:t>
      </w:r>
      <w:r>
        <w:t xml:space="preserve"> </w:t>
      </w:r>
      <w:r>
        <w:rPr>
          <w:i/>
          <w:iCs/>
        </w:rPr>
        <w:t xml:space="preserve">Funct. Ecol.</w:t>
      </w:r>
      <w:r>
        <w:t xml:space="preserve"> </w:t>
      </w:r>
      <w:r>
        <w:t xml:space="preserve">39, 165–180</w:t>
      </w:r>
    </w:p>
    <w:bookmarkEnd w:id="115"/>
    <w:bookmarkStart w:id="116" w:name="ref-Assessment_undated-fv"/>
    <w:p>
      <w:pPr>
        <w:pStyle w:val="Bibliography"/>
      </w:pPr>
      <w:r>
        <w:t xml:space="preserve">76.</w:t>
      </w:r>
      <w:r>
        <w:t xml:space="preserve"> </w:t>
      </w:r>
      <w:r>
        <w:t xml:space="preserve">	</w:t>
      </w:r>
      <w:r>
        <w:t xml:space="preserve">Assessment, M.E. (2005) Opportunities and challenges for business and industryunioviedo.es</w:t>
      </w:r>
    </w:p>
    <w:bookmarkEnd w:id="116"/>
    <w:bookmarkStart w:id="117" w:name="ref-Dandy2019"/>
    <w:p>
      <w:pPr>
        <w:pStyle w:val="Bibliography"/>
      </w:pPr>
      <w:r>
        <w:t xml:space="preserve">77.</w:t>
      </w:r>
      <w:r>
        <w:t xml:space="preserve"> </w:t>
      </w:r>
      <w:r>
        <w:t xml:space="preserve">	</w:t>
      </w:r>
      <w:r>
        <w:t xml:space="preserve">Dandy, J.</w:t>
      </w:r>
      <w:r>
        <w:t xml:space="preserve"> </w:t>
      </w:r>
      <w:r>
        <w:rPr>
          <w:i/>
          <w:iCs/>
        </w:rPr>
        <w:t xml:space="preserve">et al.</w:t>
      </w:r>
      <w:r>
        <w:t xml:space="preserve"> </w:t>
      </w:r>
      <w:r>
        <w:t xml:space="preserve">(2019) Leaving home: Place attachment and decisions to move in the face of environmental change.</w:t>
      </w:r>
      <w:r>
        <w:t xml:space="preserve"> </w:t>
      </w:r>
      <w:r>
        <w:rPr>
          <w:i/>
          <w:iCs/>
        </w:rPr>
        <w:t xml:space="preserve">Reg. Environ. Change</w:t>
      </w:r>
      <w:r>
        <w:t xml:space="preserve"> </w:t>
      </w:r>
      <w:r>
        <w:t xml:space="preserve">19, 615–620</w:t>
      </w:r>
    </w:p>
    <w:bookmarkEnd w:id="117"/>
    <w:bookmarkStart w:id="118" w:name="ref-Price2014"/>
    <w:p>
      <w:pPr>
        <w:pStyle w:val="Bibliography"/>
      </w:pPr>
      <w:r>
        <w:t xml:space="preserve">78.</w:t>
      </w:r>
      <w:r>
        <w:t xml:space="preserve"> </w:t>
      </w:r>
      <w:r>
        <w:t xml:space="preserve">	</w:t>
      </w:r>
      <w:r>
        <w:t xml:space="preserve">Price, J.C. and Leviston, Z. (2014) Predicting pro-environmental agricultural practices: The social, psychological and contextual influences on land management.</w:t>
      </w:r>
      <w:r>
        <w:t xml:space="preserve"> </w:t>
      </w:r>
      <w:r>
        <w:rPr>
          <w:i/>
          <w:iCs/>
        </w:rPr>
        <w:t xml:space="preserve">J. Rural Stud.</w:t>
      </w:r>
      <w:r>
        <w:t xml:space="preserve"> </w:t>
      </w:r>
      <w:r>
        <w:t xml:space="preserve">34, 65–78</w:t>
      </w:r>
    </w:p>
    <w:bookmarkEnd w:id="118"/>
    <w:bookmarkStart w:id="119" w:name="ref-Leviston2018"/>
    <w:p>
      <w:pPr>
        <w:pStyle w:val="Bibliography"/>
      </w:pPr>
      <w:r>
        <w:t xml:space="preserve">79.</w:t>
      </w:r>
      <w:r>
        <w:t xml:space="preserve"> </w:t>
      </w:r>
      <w:r>
        <w:t xml:space="preserve">	</w:t>
      </w:r>
      <w:r>
        <w:t xml:space="preserve">Leviston, Z.</w:t>
      </w:r>
      <w:r>
        <w:t xml:space="preserve"> </w:t>
      </w:r>
      <w:r>
        <w:rPr>
          <w:i/>
          <w:iCs/>
        </w:rPr>
        <w:t xml:space="preserve">et al.</w:t>
      </w:r>
      <w:r>
        <w:t xml:space="preserve"> </w:t>
      </w:r>
      <w:r>
        <w:t xml:space="preserve">(2018) Linkages between ecosystem services and human wellbeing: A nexus webs approach.</w:t>
      </w:r>
      <w:r>
        <w:t xml:space="preserve"> </w:t>
      </w:r>
      <w:r>
        <w:rPr>
          <w:i/>
          <w:iCs/>
        </w:rPr>
        <w:t xml:space="preserve">Ecol. Indic.</w:t>
      </w:r>
      <w:r>
        <w:t xml:space="preserve"> </w:t>
      </w:r>
      <w:r>
        <w:t xml:space="preserve">93, 658–668</w:t>
      </w:r>
    </w:p>
    <w:bookmarkEnd w:id="119"/>
    <w:bookmarkStart w:id="120" w:name="ref-Bai2016"/>
    <w:p>
      <w:pPr>
        <w:pStyle w:val="Bibliography"/>
      </w:pPr>
      <w:r>
        <w:t xml:space="preserve">80.</w:t>
      </w:r>
      <w:r>
        <w:t xml:space="preserve"> </w:t>
      </w:r>
      <w:r>
        <w:t xml:space="preserve">	</w:t>
      </w:r>
      <w:r>
        <w:t xml:space="preserve">Bai, X.</w:t>
      </w:r>
      <w:r>
        <w:t xml:space="preserve"> </w:t>
      </w:r>
      <w:r>
        <w:rPr>
          <w:i/>
          <w:iCs/>
        </w:rPr>
        <w:t xml:space="preserve">et al.</w:t>
      </w:r>
      <w:r>
        <w:t xml:space="preserve"> </w:t>
      </w:r>
      <w:r>
        <w:t xml:space="preserve">(2016) Defining and advancing a systems approach for sustainable cities.</w:t>
      </w:r>
      <w:r>
        <w:t xml:space="preserve"> </w:t>
      </w:r>
      <w:r>
        <w:rPr>
          <w:i/>
          <w:iCs/>
        </w:rPr>
        <w:t xml:space="preserve">Curr. Opin. Environ. Sustain.</w:t>
      </w:r>
      <w:r>
        <w:t xml:space="preserve"> </w:t>
      </w:r>
      <w:r>
        <w:t xml:space="preserve">23, 69–78</w:t>
      </w:r>
    </w:p>
    <w:bookmarkEnd w:id="120"/>
    <w:bookmarkStart w:id="121" w:name="ref-Grimm2008"/>
    <w:p>
      <w:pPr>
        <w:pStyle w:val="Bibliography"/>
      </w:pPr>
      <w:r>
        <w:t xml:space="preserve">81.</w:t>
      </w:r>
      <w:r>
        <w:t xml:space="preserve"> </w:t>
      </w:r>
      <w:r>
        <w:t xml:space="preserve">	</w:t>
      </w:r>
      <w:r>
        <w:t xml:space="preserve">Grimm, N.B.</w:t>
      </w:r>
      <w:r>
        <w:t xml:space="preserve"> </w:t>
      </w:r>
      <w:r>
        <w:rPr>
          <w:i/>
          <w:iCs/>
        </w:rPr>
        <w:t xml:space="preserve">et al.</w:t>
      </w:r>
      <w:r>
        <w:t xml:space="preserve"> </w:t>
      </w:r>
      <w:r>
        <w:t xml:space="preserve">(2008) Global change and the ecology of cities.</w:t>
      </w:r>
      <w:r>
        <w:t xml:space="preserve"> </w:t>
      </w:r>
      <w:r>
        <w:rPr>
          <w:i/>
          <w:iCs/>
        </w:rPr>
        <w:t xml:space="preserve">Science</w:t>
      </w:r>
      <w:r>
        <w:t xml:space="preserve"> </w:t>
      </w:r>
      <w:r>
        <w:t xml:space="preserve">319, 756–760</w:t>
      </w:r>
    </w:p>
    <w:bookmarkEnd w:id="121"/>
    <w:bookmarkStart w:id="122" w:name="ref-Hendricks2022"/>
    <w:p>
      <w:pPr>
        <w:pStyle w:val="Bibliography"/>
      </w:pPr>
      <w:r>
        <w:t xml:space="preserve">82.</w:t>
      </w:r>
      <w:r>
        <w:t xml:space="preserve"> </w:t>
      </w:r>
      <w:r>
        <w:t xml:space="preserve">	</w:t>
      </w:r>
      <w:r>
        <w:t xml:space="preserve">Hendricks, J.</w:t>
      </w:r>
      <w:r>
        <w:t xml:space="preserve"> </w:t>
      </w:r>
      <w:r>
        <w:rPr>
          <w:i/>
          <w:iCs/>
        </w:rPr>
        <w:t xml:space="preserve">et al.</w:t>
      </w:r>
      <w:r>
        <w:t xml:space="preserve"> </w:t>
      </w:r>
      <w:r>
        <w:t xml:space="preserve">(2022) Public perceptions of potential adaptations for mitigating heat stress on australian dairy farms.</w:t>
      </w:r>
      <w:r>
        <w:t xml:space="preserve"> </w:t>
      </w:r>
      <w:r>
        <w:rPr>
          <w:i/>
          <w:iCs/>
        </w:rPr>
        <w:t xml:space="preserve">J. Dairy Sci.</w:t>
      </w:r>
      <w:r>
        <w:t xml:space="preserve"> </w:t>
      </w:r>
      <w:r>
        <w:t xml:space="preserve">105, 5893–5908</w:t>
      </w:r>
    </w:p>
    <w:bookmarkEnd w:id="122"/>
    <w:bookmarkStart w:id="123" w:name="ref-Sutanto2020"/>
    <w:p>
      <w:pPr>
        <w:pStyle w:val="Bibliography"/>
      </w:pPr>
      <w:r>
        <w:t xml:space="preserve">83.</w:t>
      </w:r>
      <w:r>
        <w:t xml:space="preserve"> </w:t>
      </w:r>
      <w:r>
        <w:t xml:space="preserve">	</w:t>
      </w:r>
      <w:r>
        <w:t xml:space="preserve">Sutanto, S.J.</w:t>
      </w:r>
      <w:r>
        <w:t xml:space="preserve"> </w:t>
      </w:r>
      <w:r>
        <w:rPr>
          <w:i/>
          <w:iCs/>
        </w:rPr>
        <w:t xml:space="preserve">et al.</w:t>
      </w:r>
      <w:r>
        <w:t xml:space="preserve"> </w:t>
      </w:r>
      <w:r>
        <w:t xml:space="preserve">(2020) Heatwaves, droughts, and fires: Exploring compound and cascading dry hazards at the pan-european scale.</w:t>
      </w:r>
      <w:r>
        <w:t xml:space="preserve"> </w:t>
      </w:r>
      <w:r>
        <w:rPr>
          <w:i/>
          <w:iCs/>
        </w:rPr>
        <w:t xml:space="preserve">Environ. Int.</w:t>
      </w:r>
      <w:r>
        <w:t xml:space="preserve"> </w:t>
      </w:r>
      <w:r>
        <w:t xml:space="preserve">134, 105276</w:t>
      </w:r>
    </w:p>
    <w:bookmarkEnd w:id="123"/>
    <w:bookmarkStart w:id="124" w:name="ref-Liu2007"/>
    <w:p>
      <w:pPr>
        <w:pStyle w:val="Bibliography"/>
      </w:pPr>
      <w:r>
        <w:t xml:space="preserve">84.</w:t>
      </w:r>
      <w:r>
        <w:t xml:space="preserve"> </w:t>
      </w:r>
      <w:r>
        <w:t xml:space="preserve">	</w:t>
      </w:r>
      <w:r>
        <w:t xml:space="preserve">Liu, J.</w:t>
      </w:r>
      <w:r>
        <w:t xml:space="preserve"> </w:t>
      </w:r>
      <w:r>
        <w:rPr>
          <w:i/>
          <w:iCs/>
        </w:rPr>
        <w:t xml:space="preserve">et al.</w:t>
      </w:r>
      <w:r>
        <w:t xml:space="preserve"> </w:t>
      </w:r>
      <w:r>
        <w:t xml:space="preserve">(2007) Coupled human and natural systems.</w:t>
      </w:r>
      <w:r>
        <w:t xml:space="preserve"> </w:t>
      </w:r>
      <w:r>
        <w:rPr>
          <w:i/>
          <w:iCs/>
        </w:rPr>
        <w:t xml:space="preserve">Ambio</w:t>
      </w:r>
      <w:r>
        <w:t xml:space="preserve"> </w:t>
      </w:r>
      <w:r>
        <w:t xml:space="preserve">36, 639–649</w:t>
      </w:r>
    </w:p>
    <w:bookmarkEnd w:id="124"/>
    <w:bookmarkStart w:id="125" w:name="ref-Black2011"/>
    <w:p>
      <w:pPr>
        <w:pStyle w:val="Bibliography"/>
      </w:pPr>
      <w:r>
        <w:t xml:space="preserve">85.</w:t>
      </w:r>
      <w:r>
        <w:t xml:space="preserve"> </w:t>
      </w:r>
      <w:r>
        <w:t xml:space="preserve">	</w:t>
      </w:r>
      <w:r>
        <w:t xml:space="preserve">Black, R.</w:t>
      </w:r>
      <w:r>
        <w:t xml:space="preserve"> </w:t>
      </w:r>
      <w:r>
        <w:rPr>
          <w:i/>
          <w:iCs/>
        </w:rPr>
        <w:t xml:space="preserve">et al.</w:t>
      </w:r>
      <w:r>
        <w:t xml:space="preserve"> </w:t>
      </w:r>
      <w:r>
        <w:t xml:space="preserve">(2011) The effect of environmental change on human migration.</w:t>
      </w:r>
      <w:r>
        <w:t xml:space="preserve"> </w:t>
      </w:r>
      <w:r>
        <w:rPr>
          <w:i/>
          <w:iCs/>
        </w:rPr>
        <w:t xml:space="preserve">Glob. Environ. Change</w:t>
      </w:r>
      <w:r>
        <w:t xml:space="preserve"> </w:t>
      </w:r>
      <w:r>
        <w:t xml:space="preserve">21, S3–S11</w:t>
      </w:r>
    </w:p>
    <w:bookmarkEnd w:id="125"/>
    <w:bookmarkStart w:id="126" w:name="ref-Neil_Adger1999"/>
    <w:p>
      <w:pPr>
        <w:pStyle w:val="Bibliography"/>
      </w:pPr>
      <w:r>
        <w:t xml:space="preserve">86.</w:t>
      </w:r>
      <w:r>
        <w:t xml:space="preserve"> </w:t>
      </w:r>
      <w:r>
        <w:t xml:space="preserve">	</w:t>
      </w:r>
      <w:r>
        <w:t xml:space="preserve">Neil Adger, W. (1999) Social vulnerability to climate change and extremes in coastal vietnam.</w:t>
      </w:r>
      <w:r>
        <w:t xml:space="preserve"> </w:t>
      </w:r>
      <w:r>
        <w:rPr>
          <w:i/>
          <w:iCs/>
        </w:rPr>
        <w:t xml:space="preserve">World Dev.</w:t>
      </w:r>
      <w:r>
        <w:t xml:space="preserve"> </w:t>
      </w:r>
      <w:r>
        <w:t xml:space="preserve">27, 249–269</w:t>
      </w:r>
    </w:p>
    <w:bookmarkEnd w:id="126"/>
    <w:bookmarkStart w:id="127" w:name="ref-Folke2016"/>
    <w:p>
      <w:pPr>
        <w:pStyle w:val="Bibliography"/>
      </w:pPr>
      <w:r>
        <w:t xml:space="preserve">87.</w:t>
      </w:r>
      <w:r>
        <w:t xml:space="preserve"> </w:t>
      </w:r>
      <w:r>
        <w:t xml:space="preserve">	</w:t>
      </w:r>
      <w:r>
        <w:t xml:space="preserve">Folke, C.</w:t>
      </w:r>
      <w:r>
        <w:t xml:space="preserve"> </w:t>
      </w:r>
      <w:r>
        <w:rPr>
          <w:i/>
          <w:iCs/>
        </w:rPr>
        <w:t xml:space="preserve">et al.</w:t>
      </w:r>
      <w:r>
        <w:t xml:space="preserve"> </w:t>
      </w:r>
      <w:r>
        <w:t xml:space="preserve">(2016) Social-ecological resilience and biosphere-based sustainability science.</w:t>
      </w:r>
      <w:r>
        <w:t xml:space="preserve"> </w:t>
      </w:r>
      <w:r>
        <w:rPr>
          <w:i/>
          <w:iCs/>
        </w:rPr>
        <w:t xml:space="preserve">Ecology and Society</w:t>
      </w:r>
      <w:r>
        <w:t xml:space="preserve"> </w:t>
      </w:r>
      <w:r>
        <w:t xml:space="preserve">21</w:t>
      </w:r>
    </w:p>
    <w:bookmarkEnd w:id="127"/>
    <w:bookmarkStart w:id="128" w:name="ref-Schluter2012"/>
    <w:p>
      <w:pPr>
        <w:pStyle w:val="Bibliography"/>
      </w:pPr>
      <w:r>
        <w:t xml:space="preserve">88.</w:t>
      </w:r>
      <w:r>
        <w:t xml:space="preserve"> </w:t>
      </w:r>
      <w:r>
        <w:t xml:space="preserve">	</w:t>
      </w:r>
      <w:r>
        <w:t xml:space="preserve">Schlüter, M.</w:t>
      </w:r>
      <w:r>
        <w:t xml:space="preserve"> </w:t>
      </w:r>
      <w:r>
        <w:rPr>
          <w:i/>
          <w:iCs/>
        </w:rPr>
        <w:t xml:space="preserve">et al.</w:t>
      </w:r>
      <w:r>
        <w:t xml:space="preserve"> </w:t>
      </w:r>
      <w:r>
        <w:t xml:space="preserve">(2012) New horizons for managing the environment: A review of coupled social‐ecological systems modeling: Social-ecological systems modeling.</w:t>
      </w:r>
      <w:r>
        <w:t xml:space="preserve"> </w:t>
      </w:r>
      <w:r>
        <w:rPr>
          <w:i/>
          <w:iCs/>
        </w:rPr>
        <w:t xml:space="preserve">Nat. Resour. Model.</w:t>
      </w:r>
      <w:r>
        <w:t xml:space="preserve"> </w:t>
      </w:r>
      <w:r>
        <w:t xml:space="preserve">25, 219–272</w:t>
      </w:r>
    </w:p>
    <w:bookmarkEnd w:id="128"/>
    <w:bookmarkStart w:id="129" w:name="ref-Wise2014"/>
    <w:p>
      <w:pPr>
        <w:pStyle w:val="Bibliography"/>
      </w:pPr>
      <w:r>
        <w:t xml:space="preserve">89.</w:t>
      </w:r>
      <w:r>
        <w:t xml:space="preserve"> </w:t>
      </w:r>
      <w:r>
        <w:t xml:space="preserve">	</w:t>
      </w:r>
      <w:r>
        <w:t xml:space="preserve">Wise, R.M.</w:t>
      </w:r>
      <w:r>
        <w:t xml:space="preserve"> </w:t>
      </w:r>
      <w:r>
        <w:rPr>
          <w:i/>
          <w:iCs/>
        </w:rPr>
        <w:t xml:space="preserve">et al.</w:t>
      </w:r>
      <w:r>
        <w:t xml:space="preserve"> </w:t>
      </w:r>
      <w:r>
        <w:t xml:space="preserve">(2014) Reconceptualising adaptation to climate change as part of pathways of change and response.</w:t>
      </w:r>
      <w:r>
        <w:t xml:space="preserve"> </w:t>
      </w:r>
      <w:r>
        <w:rPr>
          <w:i/>
          <w:iCs/>
        </w:rPr>
        <w:t xml:space="preserve">Glob. Environ. Change</w:t>
      </w:r>
      <w:r>
        <w:t xml:space="preserve"> </w:t>
      </w:r>
      <w:r>
        <w:t xml:space="preserve">28, 325–336</w:t>
      </w:r>
    </w:p>
    <w:bookmarkEnd w:id="129"/>
    <w:bookmarkStart w:id="130" w:name="ref-Kearney2009a"/>
    <w:p>
      <w:pPr>
        <w:pStyle w:val="Bibliography"/>
      </w:pPr>
      <w:r>
        <w:t xml:space="preserve">90.</w:t>
      </w:r>
      <w:r>
        <w:t xml:space="preserve"> </w:t>
      </w:r>
      <w:r>
        <w:t xml:space="preserve">	</w:t>
      </w:r>
      <w:r>
        <w:t xml:space="preserve">Kearney, M.</w:t>
      </w:r>
      <w:r>
        <w:t xml:space="preserve"> </w:t>
      </w:r>
      <w:r>
        <w:rPr>
          <w:i/>
          <w:iCs/>
        </w:rPr>
        <w:t xml:space="preserve">et al.</w:t>
      </w:r>
      <w:r>
        <w:t xml:space="preserve"> </w:t>
      </w:r>
      <w:r>
        <w:t xml:space="preserve">(2009) Integrating biophysical models and evolutionary theory to predict climatic impacts on species’ ranges: The dengue mosquito aedes aegypti in australia.</w:t>
      </w:r>
      <w:r>
        <w:t xml:space="preserve"> </w:t>
      </w:r>
      <w:r>
        <w:rPr>
          <w:i/>
          <w:iCs/>
        </w:rPr>
        <w:t xml:space="preserve">Funct. Ecol.</w:t>
      </w:r>
      <w:r>
        <w:t xml:space="preserve"> </w:t>
      </w:r>
      <w:r>
        <w:t xml:space="preserve">23, 528–538</w:t>
      </w:r>
    </w:p>
    <w:bookmarkEnd w:id="130"/>
    <w:bookmarkEnd w:id="131"/>
    <w:bookmarkEnd w:id="132"/>
    <w:sectPr w:rsidR="00553B80" w:rsidSect="006A2A8B">
      <w:pgSz w:h="15840" w:w="12240"/>
      <w:pgMar w:bottom="851" w:footer="720" w:gutter="0" w:header="720" w:left="851" w:right="851" w:top="851"/>
      <w:lnNumType w:countBy="1" w:restart="continuous"/>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 w:name="Consolas">
    <w:panose1 w:val="020B0609020204030204"/>
    <w:charset w:val="00"/>
    <w:family w:val="modern"/>
    <w:pitch w:val="fixed"/>
    <w:sig w:usb0="E10002FF" w:usb1="4000FCFF" w:usb2="00000009" w:usb3="00000000" w:csb0="0000019F" w:csb1="00000000"/>
  </w:font>
  <w:font w:name="Cambria Math">
    <w:panose1 w:val="02040503050406030204"/>
    <w:charset w:val="00"/>
    <w:family w:val="roman"/>
    <w:pitch w:val="variable"/>
    <w:sig w:usb0="E00002FF" w:usb1="420024FF" w:usb2="00000000"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42341D2C"/>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83C0EBB2"/>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ACB060F0"/>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15746F52"/>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2720821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DCDC5C50"/>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CE0C2C48"/>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992CA44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C9F4440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4FC83692"/>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0000A990"/>
    <w:multiLevelType w:val="multilevel"/>
    <w:tmpl w:val="11704BD6"/>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15:restartNumberingAfterBreak="0" w:abstractNumId="11">
    <w:nsid w:val="0000A991"/>
    <w:multiLevelType w:val="multilevel"/>
    <w:tmpl w:val="217AB1BA"/>
    <w:lvl w:ilvl="0">
      <w:numFmt w:val="bullet"/>
      <w:lvlText w:val=""/>
      <w:lvlJc w:val="left"/>
      <w:pPr>
        <w:ind w:hanging="360" w:left="720"/>
      </w:pPr>
      <w:rPr>
        <w:rFonts w:ascii="Symbol" w:cs="Symbol" w:hAnsi="Symbol" w:hint="default"/>
      </w:rPr>
    </w:lvl>
    <w:lvl w:ilvl="1">
      <w:numFmt w:val="bullet"/>
      <w:lvlText w:val="o"/>
      <w:lvlJc w:val="left"/>
      <w:pPr>
        <w:ind w:hanging="360" w:left="1440"/>
      </w:pPr>
      <w:rPr>
        <w:rFonts w:ascii="Courier New" w:cs="Courier New" w:hAnsi="Courier New" w:hint="default"/>
      </w:rPr>
    </w:lvl>
    <w:lvl w:ilvl="2">
      <w:numFmt w:val="bullet"/>
      <w:lvlText w:val=""/>
      <w:lvlJc w:val="left"/>
      <w:pPr>
        <w:ind w:hanging="360" w:left="2160"/>
      </w:pPr>
      <w:rPr>
        <w:rFonts w:ascii="Wingdings" w:cs="Wingdings" w:hAnsi="Wingdings" w:hint="default"/>
      </w:rPr>
    </w:lvl>
    <w:lvl w:ilvl="3">
      <w:numFmt w:val="bullet"/>
      <w:lvlText w:val=""/>
      <w:lvlJc w:val="left"/>
      <w:pPr>
        <w:ind w:hanging="360" w:left="2880"/>
      </w:pPr>
      <w:rPr>
        <w:rFonts w:ascii="Symbol" w:cs="Symbol" w:hAnsi="Symbol" w:hint="default"/>
      </w:rPr>
    </w:lvl>
    <w:lvl w:ilvl="4">
      <w:numFmt w:val="bullet"/>
      <w:lvlText w:val="o"/>
      <w:lvlJc w:val="left"/>
      <w:pPr>
        <w:ind w:hanging="360" w:left="3600"/>
      </w:pPr>
      <w:rPr>
        <w:rFonts w:ascii="Courier New" w:cs="Courier New" w:hAnsi="Courier New" w:hint="default"/>
      </w:rPr>
    </w:lvl>
    <w:lvl w:ilvl="5">
      <w:numFmt w:val="bullet"/>
      <w:lvlText w:val=""/>
      <w:lvlJc w:val="left"/>
      <w:pPr>
        <w:ind w:hanging="360" w:left="4320"/>
      </w:pPr>
      <w:rPr>
        <w:rFonts w:ascii="Wingdings" w:cs="Wingdings" w:hAnsi="Wingdings" w:hint="default"/>
      </w:rPr>
    </w:lvl>
    <w:lvl w:ilvl="6">
      <w:numFmt w:val="bullet"/>
      <w:lvlText w:val=""/>
      <w:lvlJc w:val="left"/>
      <w:pPr>
        <w:ind w:hanging="360" w:left="5040"/>
      </w:pPr>
      <w:rPr>
        <w:rFonts w:ascii="Symbol" w:cs="Symbol" w:hAnsi="Symbol" w:hint="default"/>
      </w:rPr>
    </w:lvl>
    <w:lvl w:ilvl="7">
      <w:numFmt w:val="bullet"/>
      <w:lvlText w:val="o"/>
      <w:lvlJc w:val="left"/>
      <w:pPr>
        <w:ind w:hanging="360" w:left="5760"/>
      </w:pPr>
      <w:rPr>
        <w:rFonts w:ascii="Courier New" w:cs="Courier New" w:hAnsi="Courier New" w:hint="default"/>
      </w:rPr>
    </w:lvl>
    <w:lvl w:ilvl="8">
      <w:numFmt w:val="bullet"/>
      <w:lvlText w:val=""/>
      <w:lvlJc w:val="left"/>
      <w:pPr>
        <w:ind w:hanging="360" w:left="6480"/>
      </w:pPr>
      <w:rPr>
        <w:rFonts w:ascii="Wingdings" w:cs="Wingdings" w:hAnsi="Wingdings" w:hint="default"/>
      </w:rPr>
    </w:lvl>
  </w:abstractNum>
  <w:abstractNum w15:restartNumberingAfterBreak="0" w:abstractNumId="12">
    <w:nsid w:val="170CD2DE"/>
    <w:multiLevelType w:val="multilevel"/>
    <w:tmpl w:val="A7F01700"/>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15:restartNumberingAfterBreak="0" w:abstractNumId="13">
    <w:nsid w:val="2C1AE401"/>
    <w:multiLevelType w:val="multilevel"/>
    <w:tmpl w:val="BF2A585E"/>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423309980" w:numId="1">
    <w:abstractNumId w:val="12"/>
  </w:num>
  <w:num w16cid:durableId="1282882070" w:numId="2">
    <w:abstractNumId w:val="12"/>
  </w:num>
  <w:num w16cid:durableId="1172599916" w:numId="3">
    <w:abstractNumId w:val="13"/>
  </w:num>
  <w:num w16cid:durableId="1596982598" w:numId="4">
    <w:abstractNumId w:val="0"/>
  </w:num>
  <w:num w16cid:durableId="340819348" w:numId="5">
    <w:abstractNumId w:val="1"/>
  </w:num>
  <w:num w16cid:durableId="840313352" w:numId="6">
    <w:abstractNumId w:val="2"/>
  </w:num>
  <w:num w16cid:durableId="982465735" w:numId="7">
    <w:abstractNumId w:val="3"/>
  </w:num>
  <w:num w16cid:durableId="1976372737" w:numId="8">
    <w:abstractNumId w:val="8"/>
  </w:num>
  <w:num w16cid:durableId="143863577" w:numId="9">
    <w:abstractNumId w:val="4"/>
  </w:num>
  <w:num w16cid:durableId="933174805" w:numId="10">
    <w:abstractNumId w:val="5"/>
  </w:num>
  <w:num w16cid:durableId="213470915" w:numId="11">
    <w:abstractNumId w:val="6"/>
  </w:num>
  <w:num w16cid:durableId="1229265008" w:numId="12">
    <w:abstractNumId w:val="7"/>
  </w:num>
  <w:num w16cid:durableId="489179725" w:numId="13">
    <w:abstractNumId w:val="9"/>
  </w:num>
  <w:num w16cid:durableId="576476009" w:numId="14">
    <w:abstractNumId w:val="13"/>
  </w:num>
  <w:num w16cid:durableId="1146313701" w:numId="15">
    <w:abstractNumId w:val="13"/>
  </w:num>
  <w:num w16cid:durableId="5254960" w:numId="16">
    <w:abstractNumId w:val="10"/>
  </w:num>
  <w:num w16cid:durableId="383067562" w:numId="17">
    <w:abstractNumId w:val="10"/>
  </w:num>
  <w:num w16cid:durableId="658340780" w:numId="18">
    <w:abstractNumId w:val="10"/>
  </w:num>
  <w:num w16cid:durableId="371075431" w:numId="19">
    <w:abstractNumId w:val="0"/>
  </w:num>
  <w:num w16cid:durableId="415588733" w:numId="20">
    <w:abstractNumId w:val="1"/>
  </w:num>
  <w:num w16cid:durableId="1257589673" w:numId="21">
    <w:abstractNumId w:val="2"/>
  </w:num>
  <w:num w16cid:durableId="1897203934" w:numId="22">
    <w:abstractNumId w:val="3"/>
  </w:num>
  <w:num w16cid:durableId="1691561453" w:numId="23">
    <w:abstractNumId w:val="8"/>
  </w:num>
  <w:num w16cid:durableId="736362561" w:numId="24">
    <w:abstractNumId w:val="4"/>
  </w:num>
  <w:num w16cid:durableId="2135757592" w:numId="25">
    <w:abstractNumId w:val="5"/>
  </w:num>
  <w:num w16cid:durableId="1898322515" w:numId="26">
    <w:abstractNumId w:val="6"/>
  </w:num>
  <w:num w16cid:durableId="1128275467" w:numId="27">
    <w:abstractNumId w:val="7"/>
  </w:num>
  <w:num w16cid:durableId="698361003" w:numId="28">
    <w:abstractNumId w:val="9"/>
  </w:num>
  <w:num w16cid:durableId="155994403" w:numId="29">
    <w:abstractNumId w:val="0"/>
  </w:num>
  <w:num w16cid:durableId="1805003360" w:numId="30">
    <w:abstractNumId w:val="1"/>
  </w:num>
  <w:num w16cid:durableId="186254912" w:numId="31">
    <w:abstractNumId w:val="2"/>
  </w:num>
  <w:num w16cid:durableId="1214466077" w:numId="32">
    <w:abstractNumId w:val="3"/>
  </w:num>
  <w:num w16cid:durableId="914170502" w:numId="33">
    <w:abstractNumId w:val="8"/>
  </w:num>
  <w:num w16cid:durableId="722215050" w:numId="34">
    <w:abstractNumId w:val="4"/>
  </w:num>
  <w:num w16cid:durableId="659890079" w:numId="35">
    <w:abstractNumId w:val="5"/>
  </w:num>
  <w:num w16cid:durableId="996693005" w:numId="36">
    <w:abstractNumId w:val="6"/>
  </w:num>
  <w:num w16cid:durableId="227810579" w:numId="37">
    <w:abstractNumId w:val="7"/>
  </w:num>
  <w:num w16cid:durableId="1820922315" w:numId="38">
    <w:abstractNumId w:val="9"/>
  </w:num>
  <w:num w16cid:durableId="1860183" w:numId="39">
    <w:abstractNumId w:val="0"/>
  </w:num>
  <w:num w16cid:durableId="1595547831" w:numId="40">
    <w:abstractNumId w:val="1"/>
  </w:num>
  <w:num w16cid:durableId="186912092" w:numId="41">
    <w:abstractNumId w:val="2"/>
  </w:num>
  <w:num w16cid:durableId="1032463224" w:numId="42">
    <w:abstractNumId w:val="3"/>
  </w:num>
  <w:num w16cid:durableId="963657352" w:numId="43">
    <w:abstractNumId w:val="8"/>
  </w:num>
  <w:num w16cid:durableId="1453860417" w:numId="44">
    <w:abstractNumId w:val="4"/>
  </w:num>
  <w:num w16cid:durableId="1977443015" w:numId="45">
    <w:abstractNumId w:val="5"/>
  </w:num>
  <w:num w16cid:durableId="1364281595" w:numId="46">
    <w:abstractNumId w:val="6"/>
  </w:num>
  <w:num w16cid:durableId="401298941" w:numId="47">
    <w:abstractNumId w:val="7"/>
  </w:num>
  <w:num w16cid:durableId="1263881607" w:numId="48">
    <w:abstractNumId w:val="9"/>
  </w:num>
  <w:num w16cid:durableId="1427843227" w:numId="49">
    <w:abstractNumId w:val="10"/>
  </w:num>
  <w:num w16cid:durableId="1373993187" w:numId="50">
    <w:abstractNumId w:val="0"/>
  </w:num>
  <w:num w16cid:durableId="733771929" w:numId="51">
    <w:abstractNumId w:val="1"/>
  </w:num>
  <w:num w16cid:durableId="1209419939" w:numId="52">
    <w:abstractNumId w:val="2"/>
  </w:num>
  <w:num w16cid:durableId="749079101" w:numId="53">
    <w:abstractNumId w:val="3"/>
  </w:num>
  <w:num w16cid:durableId="1199707935" w:numId="54">
    <w:abstractNumId w:val="8"/>
  </w:num>
  <w:num w16cid:durableId="1665426357" w:numId="55">
    <w:abstractNumId w:val="4"/>
  </w:num>
  <w:num w16cid:durableId="2073194729" w:numId="56">
    <w:abstractNumId w:val="5"/>
  </w:num>
  <w:num w16cid:durableId="1343705359" w:numId="57">
    <w:abstractNumId w:val="6"/>
  </w:num>
  <w:num w16cid:durableId="56826465" w:numId="58">
    <w:abstractNumId w:val="7"/>
  </w:num>
  <w:num w16cid:durableId="1770999733" w:numId="59">
    <w:abstractNumId w:val="9"/>
  </w:num>
  <w:num w16cid:durableId="1379941093" w:numId="60">
    <w:abstractNumId w:val="0"/>
  </w:num>
  <w:num w16cid:durableId="1703743376" w:numId="61">
    <w:abstractNumId w:val="1"/>
  </w:num>
  <w:num w16cid:durableId="1086147133" w:numId="62">
    <w:abstractNumId w:val="2"/>
  </w:num>
  <w:num w16cid:durableId="72240046" w:numId="63">
    <w:abstractNumId w:val="3"/>
  </w:num>
  <w:num w16cid:durableId="442574108" w:numId="64">
    <w:abstractNumId w:val="8"/>
  </w:num>
  <w:num w16cid:durableId="731124937" w:numId="65">
    <w:abstractNumId w:val="4"/>
  </w:num>
  <w:num w16cid:durableId="502627846" w:numId="66">
    <w:abstractNumId w:val="5"/>
  </w:num>
  <w:num w16cid:durableId="1006860732" w:numId="67">
    <w:abstractNumId w:val="6"/>
  </w:num>
  <w:num w16cid:durableId="1767843397" w:numId="68">
    <w:abstractNumId w:val="7"/>
  </w:num>
  <w:num w16cid:durableId="117769239" w:numId="69">
    <w:abstractNumId w:val="9"/>
  </w:num>
  <w:num w16cid:durableId="1107967726" w:numId="70">
    <w:abstractNumId w:val="10"/>
  </w:num>
  <w:num w16cid:durableId="691801922" w:numId="71">
    <w:abstractNumId w:val="10"/>
  </w:num>
  <w:num w16cid:durableId="830564022" w:numId="72">
    <w:abstractNumId w:val="11"/>
  </w:num>
  <w:num w16cid:durableId="743769905" w:numId="73">
    <w:abstractNumId w:val="11"/>
  </w:num>
  <w:num w16cid:durableId="950361974" w:numId="74">
    <w:abstractNumId w:val="11"/>
  </w:num>
  <w:num w16cid:durableId="253586233" w:numId="75">
    <w:abstractNumId w:val="11"/>
  </w:num>
  <w:num w16cid:durableId="1703819558" w:numId="76">
    <w:abstractNumId w:val="11"/>
  </w:num>
  <w:num w16cid:durableId="1141578659" w:numId="77">
    <w:abstractNumId w:val="11"/>
  </w:num>
  <w:num w16cid:durableId="122239304" w:numId="78">
    <w:abstractNumId w:val="11"/>
  </w:num>
  <w:num w16cid:durableId="704140260" w:numId="79">
    <w:abstractNumId w:val="11"/>
  </w:num>
  <w:num w16cid:durableId="603147579" w:numId="80">
    <w:abstractNumId w:val="11"/>
  </w:num>
  <w:num w16cid:durableId="796293065" w:numId="81">
    <w:abstractNumId w:val="11"/>
  </w:num>
  <w:num w16cid:durableId="188492238" w:numId="82">
    <w:abstractNumId w:val="11"/>
  </w:num>
  <w:num w16cid:durableId="1491167990" w:numId="83">
    <w:abstractNumId w:val="11"/>
  </w:num>
  <w:num w16cid:durableId="565186891" w:numId="84">
    <w:abstractNumId w:val="11"/>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2"/>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51576"/>
    <w:rsid w:val="00553B80"/>
    <w:rsid w:val="005A5007"/>
    <w:rsid w:val="00676013"/>
    <w:rsid w:val="006A2A8B"/>
    <w:rsid w:val="008F43C3"/>
    <w:rsid w:val="00951576"/>
    <w:rsid w:val="00A5574C"/>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style>
  <w:style w:styleId="Heading1" w:type="paragraph">
    <w:name w:val="heading 1"/>
    <w:basedOn w:val="Normal"/>
    <w:next w:val="BodyText"/>
    <w:uiPriority w:val="9"/>
    <w:qFormat/>
    <w:rsid w:val="00BF6EC2"/>
    <w:pPr>
      <w:keepNext/>
      <w:keepLines/>
      <w:spacing w:after="0" w:before="480"/>
      <w:outlineLvl w:val="0"/>
    </w:pPr>
    <w:rPr>
      <w:rFonts w:ascii="Times New Roman" w:cstheme="majorBidi" w:eastAsiaTheme="majorEastAsia" w:hAnsi="Times New Roman"/>
      <w:b/>
      <w:bCs/>
      <w:color w:themeColor="text1" w:val="000000"/>
      <w:sz w:val="32"/>
      <w:szCs w:val="32"/>
    </w:rPr>
  </w:style>
  <w:style w:styleId="Heading2" w:type="paragraph">
    <w:name w:val="heading 2"/>
    <w:basedOn w:val="Normal"/>
    <w:next w:val="BodyText"/>
    <w:uiPriority w:val="9"/>
    <w:unhideWhenUsed/>
    <w:qFormat/>
    <w:rsid w:val="00F610CE"/>
    <w:pPr>
      <w:keepNext/>
      <w:keepLines/>
      <w:spacing w:after="0" w:before="200"/>
      <w:outlineLvl w:val="1"/>
    </w:pPr>
    <w:rPr>
      <w:rFonts w:ascii="Times New Roman" w:cstheme="majorBidi" w:eastAsiaTheme="majorEastAsia" w:hAnsi="Times New Roman"/>
      <w:b/>
      <w:bCs/>
      <w:color w:themeColor="text1" w:val="000000"/>
      <w:sz w:val="32"/>
      <w:szCs w:val="32"/>
    </w:rPr>
  </w:style>
  <w:style w:styleId="Heading3" w:type="paragraph">
    <w:name w:val="heading 3"/>
    <w:basedOn w:val="Normal"/>
    <w:next w:val="BodyText"/>
    <w:uiPriority w:val="9"/>
    <w:unhideWhenUsed/>
    <w:qFormat/>
    <w:rsid w:val="00F610CE"/>
    <w:pPr>
      <w:keepNext/>
      <w:keepLines/>
      <w:spacing w:after="0" w:before="200"/>
      <w:outlineLvl w:val="2"/>
    </w:pPr>
    <w:rPr>
      <w:rFonts w:ascii="Times New Roman" w:cstheme="majorBidi" w:eastAsiaTheme="majorEastAsia" w:hAnsi="Times New Roman"/>
      <w:b/>
      <w:bCs/>
      <w:color w:themeColor="text1" w:val="000000"/>
      <w:sz w:val="28"/>
      <w:szCs w:val="28"/>
    </w:rPr>
  </w:style>
  <w:style w:styleId="Heading4" w:type="paragraph">
    <w:name w:val="heading 4"/>
    <w:basedOn w:val="Normal"/>
    <w:next w:val="BodyText"/>
    <w:uiPriority w:val="9"/>
    <w:unhideWhenUsed/>
    <w:qFormat/>
    <w:rsid w:val="00947211"/>
    <w:pPr>
      <w:keepNext/>
      <w:keepLines/>
      <w:spacing w:after="0" w:before="200"/>
      <w:outlineLvl w:val="3"/>
    </w:pPr>
    <w:rPr>
      <w:rFonts w:ascii="Times New Roman" w:cstheme="majorBidi" w:eastAsiaTheme="majorEastAsia" w:hAnsi="Times New Roman"/>
      <w:b/>
      <w:bCs/>
      <w:color w:themeColor="text1" w:val="000000"/>
    </w:rPr>
  </w:style>
  <w:style w:styleId="Heading5" w:type="paragraph">
    <w:name w:val="heading 5"/>
    <w:basedOn w:val="Normal"/>
    <w:next w:val="BodyText"/>
    <w:uiPriority w:val="9"/>
    <w:unhideWhenUsed/>
    <w:qFormat/>
    <w:rsid w:val="00676013"/>
    <w:pPr>
      <w:keepNext/>
      <w:keepLines/>
      <w:spacing w:after="0" w:before="200"/>
      <w:outlineLvl w:val="4"/>
    </w:pPr>
    <w:rPr>
      <w:rFonts w:ascii="Times New Roman" w:cstheme="majorBidi" w:eastAsiaTheme="majorEastAsia" w:hAnsi="Times New Roman"/>
      <w:i/>
      <w:iCs/>
      <w:color w:themeColor="text1" w:val="000000"/>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1415C6"/>
    <w:pPr>
      <w:spacing w:after="180" w:before="180"/>
    </w:pPr>
    <w:rPr>
      <w:rFonts w:ascii="Times New Roman" w:hAnsi="Times New Roman"/>
    </w:rPr>
  </w:style>
  <w:style w:customStyle="1" w:styleId="FirstParagraph" w:type="paragraph">
    <w:name w:val="First Paragraph"/>
    <w:basedOn w:val="BodyText"/>
    <w:next w:val="BodyText"/>
    <w:qFormat/>
    <w:rsid w:val="00F610CE"/>
  </w:style>
  <w:style w:customStyle="1" w:styleId="Compact" w:type="paragraph">
    <w:name w:val="Compact"/>
    <w:basedOn w:val="BodyText"/>
    <w:qFormat/>
    <w:pPr>
      <w:spacing w:after="36" w:before="36"/>
    </w:pPr>
  </w:style>
  <w:style w:styleId="Title" w:type="paragraph">
    <w:name w:val="Title"/>
    <w:basedOn w:val="Normal"/>
    <w:next w:val="BodyText"/>
    <w:qFormat/>
    <w:rsid w:val="00F610CE"/>
    <w:pPr>
      <w:keepNext/>
      <w:keepLines/>
      <w:spacing w:after="240" w:before="480"/>
      <w:jc w:val="center"/>
    </w:pPr>
    <w:rPr>
      <w:rFonts w:ascii="Times New Roman" w:cstheme="majorBidi" w:eastAsiaTheme="majorEastAsia" w:hAnsi="Times New Roman"/>
      <w:b/>
      <w:bCs/>
      <w:color w:themeColor="text1" w:val="000000"/>
      <w:sz w:val="36"/>
      <w:szCs w:val="36"/>
    </w:rPr>
  </w:style>
  <w:style w:styleId="Subtitle" w:type="paragraph">
    <w:name w:val="Subtitle"/>
    <w:basedOn w:val="Title"/>
    <w:next w:val="BodyText"/>
    <w:qFormat/>
    <w:pPr>
      <w:spacing w:before="240"/>
    </w:pPr>
    <w:rPr>
      <w:sz w:val="30"/>
      <w:szCs w:val="30"/>
    </w:rPr>
  </w:style>
  <w:style w:customStyle="1" w:styleId="Author" w:type="paragraph">
    <w:name w:val="Author"/>
    <w:next w:val="BodyText"/>
    <w:qFormat/>
    <w:rsid w:val="00F610CE"/>
    <w:pPr>
      <w:keepNext/>
      <w:keepLines/>
      <w:jc w:val="center"/>
    </w:pPr>
    <w:rPr>
      <w:rFonts w:ascii="Times New Roman" w:hAnsi="Times New Roman"/>
    </w:rPr>
  </w:style>
  <w:style w:styleId="Date" w:type="paragraph">
    <w:name w:val="Date"/>
    <w:next w:val="BodyText"/>
    <w:qFormat/>
    <w:rsid w:val="00F610CE"/>
    <w:pPr>
      <w:keepNext/>
      <w:keepLines/>
      <w:jc w:val="center"/>
    </w:pPr>
    <w:rPr>
      <w:rFonts w:ascii="Times New Roman" w:hAnsi="Times New Roman"/>
    </w:r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qFormat/>
    <w:rsid w:val="00253A3A"/>
    <w:pPr>
      <w:ind w:hanging="227" w:left="227"/>
    </w:pPr>
    <w:rPr>
      <w:rFonts w:ascii="Times New Roman" w:hAnsi="Times New Roman"/>
    </w:rPr>
  </w:style>
  <w:style w:styleId="BlockText" w:type="paragraph">
    <w:name w:val="Block Text"/>
    <w:basedOn w:val="BodyText"/>
    <w:next w:val="BodyText"/>
    <w:uiPriority w:val="9"/>
    <w:unhideWhenUsed/>
    <w:qFormat/>
    <w:pPr>
      <w:spacing w:after="100" w:before="100"/>
    </w:pPr>
    <w:rPr>
      <w:rFonts w:asciiTheme="majorHAnsi" w:cstheme="majorBidi" w:eastAsiaTheme="majorEastAsia" w:hAnsiTheme="majorHAnsi"/>
      <w:bCs/>
      <w:sz w:val="20"/>
      <w:szCs w:val="20"/>
    </w:r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rsid w:val="00183ED8"/>
    <w:pPr>
      <w:keepNext/>
    </w:pPr>
    <w:rPr>
      <w:rFonts w:ascii="Times New Roman" w:hAnsi="Times New Roman"/>
      <w:i w:val="0"/>
    </w:rPr>
  </w:style>
  <w:style w:customStyle="1" w:styleId="ImageCaption" w:type="paragraph">
    <w:name w:val="Image Caption"/>
    <w:basedOn w:val="Caption"/>
    <w:rsid w:val="00BB46C2"/>
    <w:rPr>
      <w:rFonts w:ascii="Times New Roman" w:hAnsi="Times New Roman"/>
      <w:i w:val="0"/>
    </w:rPr>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link w:val="SourceCode"/>
    <w:rPr>
      <w:rFonts w:ascii="Consolas" w:hAnsi="Consolas"/>
      <w:sz w:val="22"/>
    </w:rPr>
  </w:style>
  <w:style w:styleId="FootnoteReference" w:type="character">
    <w:name w:val="footnote reference"/>
    <w:basedOn w:val="CaptionChar"/>
    <w:rPr>
      <w:vertAlign w:val="superscript"/>
    </w:rPr>
  </w:style>
  <w:style w:styleId="Hyperlink" w:type="character">
    <w:name w:val="Hyperlink"/>
    <w:basedOn w:val="CaptionChar"/>
    <w:uiPriority w:val="99"/>
    <w:rsid w:val="00F610CE"/>
    <w:rPr>
      <w:rFonts w:ascii="Times New Roman" w:hAnsi="Times New Roman"/>
      <w:color w:themeColor="text1" w:val="000000"/>
    </w:rPr>
  </w:style>
  <w:style w:styleId="TOCHeading" w:type="paragraph">
    <w:name w:val="TOC Heading"/>
    <w:basedOn w:val="Heading1"/>
    <w:next w:val="BodyText"/>
    <w:uiPriority w:val="39"/>
    <w:unhideWhenUsed/>
    <w:qFormat/>
    <w:rsid w:val="00F610CE"/>
    <w:pPr>
      <w:spacing w:before="240" w:line="259" w:lineRule="auto"/>
      <w:outlineLvl w:val="9"/>
    </w:pPr>
    <w:rPr>
      <w:b w:val="0"/>
      <w:bCs w:val="0"/>
    </w:rPr>
  </w:style>
  <w:style w:customStyle="1" w:styleId="SourceCode" w:type="paragraph">
    <w:name w:val="Source Code"/>
    <w:basedOn w:val="Normal"/>
    <w:link w:val="VerbatimChar"/>
    <w:pPr>
      <w:shd w:color="auto" w:fill="F8F8F8" w:val="clear"/>
      <w:wordWrap w:val="0"/>
    </w:pPr>
  </w:style>
  <w:style w:customStyle="1" w:styleId="KeywordTok" w:type="character">
    <w:name w:val="KeywordTok"/>
    <w:basedOn w:val="VerbatimChar"/>
    <w:rPr>
      <w:rFonts w:ascii="Consolas" w:hAnsi="Consolas"/>
      <w:b/>
      <w:color w:val="204A87"/>
      <w:sz w:val="22"/>
      <w:shd w:color="auto" w:fill="F8F8F8" w:val="clear"/>
    </w:rPr>
  </w:style>
  <w:style w:customStyle="1" w:styleId="DataTypeTok" w:type="character">
    <w:name w:val="DataTypeTok"/>
    <w:basedOn w:val="VerbatimChar"/>
    <w:rPr>
      <w:rFonts w:ascii="Consolas" w:hAnsi="Consolas"/>
      <w:color w:val="204A87"/>
      <w:sz w:val="22"/>
      <w:shd w:color="auto" w:fill="F8F8F8" w:val="clear"/>
    </w:rPr>
  </w:style>
  <w:style w:customStyle="1" w:styleId="DecValTok" w:type="character">
    <w:name w:val="DecValTok"/>
    <w:basedOn w:val="VerbatimChar"/>
    <w:rPr>
      <w:rFonts w:ascii="Consolas" w:hAnsi="Consolas"/>
      <w:color w:val="0000CF"/>
      <w:sz w:val="22"/>
      <w:shd w:color="auto" w:fill="F8F8F8" w:val="clear"/>
    </w:rPr>
  </w:style>
  <w:style w:customStyle="1" w:styleId="BaseNTok" w:type="character">
    <w:name w:val="BaseNTok"/>
    <w:basedOn w:val="VerbatimChar"/>
    <w:rPr>
      <w:rFonts w:ascii="Consolas" w:hAnsi="Consolas"/>
      <w:color w:val="0000CF"/>
      <w:sz w:val="22"/>
      <w:shd w:color="auto" w:fill="F8F8F8" w:val="clear"/>
    </w:rPr>
  </w:style>
  <w:style w:customStyle="1" w:styleId="FloatTok" w:type="character">
    <w:name w:val="FloatTok"/>
    <w:basedOn w:val="VerbatimChar"/>
    <w:rPr>
      <w:rFonts w:ascii="Consolas" w:hAnsi="Consolas"/>
      <w:color w:val="0000CF"/>
      <w:sz w:val="22"/>
      <w:shd w:color="auto" w:fill="F8F8F8" w:val="clear"/>
    </w:rPr>
  </w:style>
  <w:style w:customStyle="1" w:styleId="ConstantTok" w:type="character">
    <w:name w:val="ConstantTok"/>
    <w:basedOn w:val="VerbatimChar"/>
    <w:rPr>
      <w:rFonts w:ascii="Consolas" w:hAnsi="Consolas"/>
      <w:color w:val="000000"/>
      <w:sz w:val="22"/>
      <w:shd w:color="auto" w:fill="F8F8F8" w:val="clear"/>
    </w:rPr>
  </w:style>
  <w:style w:customStyle="1" w:styleId="CharTok" w:type="character">
    <w:name w:val="CharTok"/>
    <w:basedOn w:val="VerbatimChar"/>
    <w:rPr>
      <w:rFonts w:ascii="Consolas" w:hAnsi="Consolas"/>
      <w:color w:val="4E9A06"/>
      <w:sz w:val="22"/>
      <w:shd w:color="auto" w:fill="F8F8F8" w:val="clear"/>
    </w:rPr>
  </w:style>
  <w:style w:customStyle="1" w:styleId="SpecialCharTok" w:type="character">
    <w:name w:val="SpecialCharTok"/>
    <w:basedOn w:val="VerbatimChar"/>
    <w:rPr>
      <w:rFonts w:ascii="Consolas" w:hAnsi="Consolas"/>
      <w:color w:val="000000"/>
      <w:sz w:val="22"/>
      <w:shd w:color="auto" w:fill="F8F8F8" w:val="clear"/>
    </w:rPr>
  </w:style>
  <w:style w:customStyle="1" w:styleId="StringTok" w:type="character">
    <w:name w:val="StringTok"/>
    <w:basedOn w:val="VerbatimChar"/>
    <w:rPr>
      <w:rFonts w:ascii="Consolas" w:hAnsi="Consolas"/>
      <w:color w:val="4E9A06"/>
      <w:sz w:val="22"/>
      <w:shd w:color="auto" w:fill="F8F8F8" w:val="clear"/>
    </w:rPr>
  </w:style>
  <w:style w:customStyle="1" w:styleId="VerbatimStringTok" w:type="character">
    <w:name w:val="VerbatimStringTok"/>
    <w:basedOn w:val="VerbatimChar"/>
    <w:rPr>
      <w:rFonts w:ascii="Consolas" w:hAnsi="Consolas"/>
      <w:color w:val="4E9A06"/>
      <w:sz w:val="22"/>
      <w:shd w:color="auto" w:fill="F8F8F8" w:val="clear"/>
    </w:rPr>
  </w:style>
  <w:style w:customStyle="1" w:styleId="SpecialStringTok" w:type="character">
    <w:name w:val="SpecialStringTok"/>
    <w:basedOn w:val="VerbatimChar"/>
    <w:rPr>
      <w:rFonts w:ascii="Consolas" w:hAnsi="Consolas"/>
      <w:color w:val="4E9A06"/>
      <w:sz w:val="22"/>
      <w:shd w:color="auto" w:fill="F8F8F8" w:val="clear"/>
    </w:rPr>
  </w:style>
  <w:style w:customStyle="1" w:styleId="ImportTok" w:type="character">
    <w:name w:val="ImportTok"/>
    <w:basedOn w:val="VerbatimChar"/>
    <w:rPr>
      <w:rFonts w:ascii="Consolas" w:hAnsi="Consolas"/>
      <w:sz w:val="22"/>
      <w:shd w:color="auto" w:fill="F8F8F8" w:val="clear"/>
    </w:rPr>
  </w:style>
  <w:style w:customStyle="1" w:styleId="CommentTok" w:type="character">
    <w:name w:val="CommentTok"/>
    <w:basedOn w:val="VerbatimChar"/>
    <w:rPr>
      <w:rFonts w:ascii="Consolas" w:hAnsi="Consolas"/>
      <w:i/>
      <w:color w:val="8F5902"/>
      <w:sz w:val="22"/>
      <w:shd w:color="auto" w:fill="F8F8F8" w:val="clear"/>
    </w:rPr>
  </w:style>
  <w:style w:customStyle="1" w:styleId="DocumentationTok" w:type="character">
    <w:name w:val="DocumentationTok"/>
    <w:basedOn w:val="VerbatimChar"/>
    <w:rPr>
      <w:rFonts w:ascii="Consolas" w:hAnsi="Consolas"/>
      <w:b/>
      <w:i/>
      <w:color w:val="8F5902"/>
      <w:sz w:val="22"/>
      <w:shd w:color="auto" w:fill="F8F8F8" w:val="clear"/>
    </w:rPr>
  </w:style>
  <w:style w:customStyle="1" w:styleId="AnnotationTok" w:type="character">
    <w:name w:val="AnnotationTok"/>
    <w:basedOn w:val="VerbatimChar"/>
    <w:rPr>
      <w:rFonts w:ascii="Consolas" w:hAnsi="Consolas"/>
      <w:b/>
      <w:i/>
      <w:color w:val="8F5902"/>
      <w:sz w:val="22"/>
      <w:shd w:color="auto" w:fill="F8F8F8" w:val="clear"/>
    </w:rPr>
  </w:style>
  <w:style w:customStyle="1" w:styleId="CommentVarTok" w:type="character">
    <w:name w:val="CommentVarTok"/>
    <w:basedOn w:val="VerbatimChar"/>
    <w:rPr>
      <w:rFonts w:ascii="Consolas" w:hAnsi="Consolas"/>
      <w:b/>
      <w:i/>
      <w:color w:val="8F5902"/>
      <w:sz w:val="22"/>
      <w:shd w:color="auto" w:fill="F8F8F8" w:val="clear"/>
    </w:rPr>
  </w:style>
  <w:style w:customStyle="1" w:styleId="OtherTok" w:type="character">
    <w:name w:val="OtherTok"/>
    <w:basedOn w:val="VerbatimChar"/>
    <w:rPr>
      <w:rFonts w:ascii="Consolas" w:hAnsi="Consolas"/>
      <w:color w:val="8F5902"/>
      <w:sz w:val="22"/>
      <w:shd w:color="auto" w:fill="F8F8F8" w:val="clear"/>
    </w:rPr>
  </w:style>
  <w:style w:customStyle="1" w:styleId="FunctionTok" w:type="character">
    <w:name w:val="FunctionTok"/>
    <w:basedOn w:val="VerbatimChar"/>
    <w:rPr>
      <w:rFonts w:ascii="Consolas" w:hAnsi="Consolas"/>
      <w:color w:val="000000"/>
      <w:sz w:val="22"/>
      <w:shd w:color="auto" w:fill="F8F8F8" w:val="clear"/>
    </w:rPr>
  </w:style>
  <w:style w:customStyle="1" w:styleId="VariableTok" w:type="character">
    <w:name w:val="VariableTok"/>
    <w:basedOn w:val="VerbatimChar"/>
    <w:rPr>
      <w:rFonts w:ascii="Consolas" w:hAnsi="Consolas"/>
      <w:color w:val="000000"/>
      <w:sz w:val="22"/>
      <w:shd w:color="auto" w:fill="F8F8F8" w:val="clear"/>
    </w:rPr>
  </w:style>
  <w:style w:customStyle="1" w:styleId="ControlFlowTok" w:type="character">
    <w:name w:val="ControlFlowTok"/>
    <w:basedOn w:val="VerbatimChar"/>
    <w:rPr>
      <w:rFonts w:ascii="Consolas" w:hAnsi="Consolas"/>
      <w:b/>
      <w:color w:val="204A87"/>
      <w:sz w:val="22"/>
      <w:shd w:color="auto" w:fill="F8F8F8" w:val="clear"/>
    </w:rPr>
  </w:style>
  <w:style w:customStyle="1" w:styleId="OperatorTok" w:type="character">
    <w:name w:val="OperatorTok"/>
    <w:basedOn w:val="VerbatimChar"/>
    <w:rPr>
      <w:rFonts w:ascii="Consolas" w:hAnsi="Consolas"/>
      <w:b/>
      <w:color w:val="CE5C00"/>
      <w:sz w:val="22"/>
      <w:shd w:color="auto" w:fill="F8F8F8" w:val="clear"/>
    </w:rPr>
  </w:style>
  <w:style w:customStyle="1" w:styleId="BuiltInTok" w:type="character">
    <w:name w:val="BuiltInTok"/>
    <w:basedOn w:val="VerbatimChar"/>
    <w:rPr>
      <w:rFonts w:ascii="Consolas" w:hAnsi="Consolas"/>
      <w:sz w:val="22"/>
      <w:shd w:color="auto" w:fill="F8F8F8" w:val="clear"/>
    </w:rPr>
  </w:style>
  <w:style w:customStyle="1" w:styleId="ExtensionTok" w:type="character">
    <w:name w:val="ExtensionTok"/>
    <w:basedOn w:val="VerbatimChar"/>
    <w:rPr>
      <w:rFonts w:ascii="Consolas" w:hAnsi="Consolas"/>
      <w:sz w:val="22"/>
      <w:shd w:color="auto" w:fill="F8F8F8" w:val="clear"/>
    </w:rPr>
  </w:style>
  <w:style w:customStyle="1" w:styleId="PreprocessorTok" w:type="character">
    <w:name w:val="PreprocessorTok"/>
    <w:basedOn w:val="VerbatimChar"/>
    <w:rPr>
      <w:rFonts w:ascii="Consolas" w:hAnsi="Consolas"/>
      <w:i/>
      <w:color w:val="8F5902"/>
      <w:sz w:val="22"/>
      <w:shd w:color="auto" w:fill="F8F8F8" w:val="clear"/>
    </w:rPr>
  </w:style>
  <w:style w:customStyle="1" w:styleId="AttributeTok" w:type="character">
    <w:name w:val="AttributeTok"/>
    <w:basedOn w:val="VerbatimChar"/>
    <w:rPr>
      <w:rFonts w:ascii="Consolas" w:hAnsi="Consolas"/>
      <w:color w:val="C4A000"/>
      <w:sz w:val="22"/>
      <w:shd w:color="auto" w:fill="F8F8F8" w:val="clear"/>
    </w:rPr>
  </w:style>
  <w:style w:customStyle="1" w:styleId="RegionMarkerTok" w:type="character">
    <w:name w:val="RegionMarkerTok"/>
    <w:basedOn w:val="VerbatimChar"/>
    <w:rPr>
      <w:rFonts w:ascii="Consolas" w:hAnsi="Consolas"/>
      <w:sz w:val="22"/>
      <w:shd w:color="auto" w:fill="F8F8F8" w:val="clear"/>
    </w:rPr>
  </w:style>
  <w:style w:customStyle="1" w:styleId="InformationTok" w:type="character">
    <w:name w:val="InformationTok"/>
    <w:basedOn w:val="VerbatimChar"/>
    <w:rPr>
      <w:rFonts w:ascii="Consolas" w:hAnsi="Consolas"/>
      <w:b/>
      <w:i/>
      <w:color w:val="8F5902"/>
      <w:sz w:val="22"/>
      <w:shd w:color="auto" w:fill="F8F8F8" w:val="clear"/>
    </w:rPr>
  </w:style>
  <w:style w:customStyle="1" w:styleId="WarningTok" w:type="character">
    <w:name w:val="WarningTok"/>
    <w:basedOn w:val="VerbatimChar"/>
    <w:rPr>
      <w:rFonts w:ascii="Consolas" w:hAnsi="Consolas"/>
      <w:b/>
      <w:i/>
      <w:color w:val="8F5902"/>
      <w:sz w:val="22"/>
      <w:shd w:color="auto" w:fill="F8F8F8" w:val="clear"/>
    </w:rPr>
  </w:style>
  <w:style w:customStyle="1" w:styleId="AlertTok" w:type="character">
    <w:name w:val="AlertTok"/>
    <w:basedOn w:val="VerbatimChar"/>
    <w:rPr>
      <w:rFonts w:ascii="Consolas" w:hAnsi="Consolas"/>
      <w:color w:val="EF2929"/>
      <w:sz w:val="22"/>
      <w:shd w:color="auto" w:fill="F8F8F8" w:val="clear"/>
    </w:rPr>
  </w:style>
  <w:style w:customStyle="1" w:styleId="ErrorTok" w:type="character">
    <w:name w:val="ErrorTok"/>
    <w:basedOn w:val="VerbatimChar"/>
    <w:rPr>
      <w:rFonts w:ascii="Consolas" w:hAnsi="Consolas"/>
      <w:b/>
      <w:color w:val="A40000"/>
      <w:sz w:val="22"/>
      <w:shd w:color="auto" w:fill="F8F8F8" w:val="clear"/>
    </w:rPr>
  </w:style>
  <w:style w:customStyle="1" w:styleId="NormalTok" w:type="character">
    <w:name w:val="NormalTok"/>
    <w:basedOn w:val="VerbatimChar"/>
    <w:rPr>
      <w:rFonts w:ascii="Consolas" w:hAnsi="Consolas"/>
      <w:sz w:val="22"/>
      <w:shd w:color="auto" w:fill="F8F8F8" w:val="clear"/>
    </w:rPr>
  </w:style>
  <w:style w:styleId="TOC2" w:type="paragraph">
    <w:name w:val="toc 2"/>
    <w:basedOn w:val="Normal"/>
    <w:next w:val="Normal"/>
    <w:autoRedefine/>
    <w:uiPriority w:val="39"/>
    <w:unhideWhenUsed/>
    <w:rsid w:val="00B76D52"/>
    <w:pPr>
      <w:spacing w:after="100"/>
      <w:ind w:left="240"/>
    </w:pPr>
  </w:style>
  <w:style w:styleId="TOC3" w:type="paragraph">
    <w:name w:val="toc 3"/>
    <w:basedOn w:val="Normal"/>
    <w:next w:val="Normal"/>
    <w:autoRedefine/>
    <w:uiPriority w:val="39"/>
    <w:unhideWhenUsed/>
    <w:rsid w:val="00B76D52"/>
    <w:pPr>
      <w:spacing w:after="100"/>
      <w:ind w:left="480"/>
    </w:pPr>
  </w:style>
  <w:style w:customStyle="1" w:styleId="BodyTextChar" w:type="character">
    <w:name w:val="Body Text Char"/>
    <w:basedOn w:val="DefaultParagraphFont"/>
    <w:link w:val="BodyText"/>
    <w:rsid w:val="001415C6"/>
    <w:rPr>
      <w:rFonts w:ascii="Times New Roman" w:hAnsi="Times New Roman"/>
    </w:rPr>
  </w:style>
  <w:style w:styleId="LineNumber" w:type="character">
    <w:name w:val="line number"/>
    <w:basedOn w:val="DefaultParagraphFont"/>
    <w:semiHidden/>
    <w:unhideWhenUsed/>
    <w:rsid w:val="006A2A8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6</TotalTime>
  <Pages>10</Pages>
  <Words>4868</Words>
  <Characters>27751</Characters>
  <Application>Microsoft Office Word</Application>
  <DocSecurity>0</DocSecurity>
  <Lines>231</Lines>
  <Paragraphs>65</Paragraphs>
  <ScaleCrop>false</ScaleCrop>
  <HeadingPairs>
    <vt:vector size="2" baseType="variant">
      <vt:variant>
        <vt:lpstr>Title</vt:lpstr>
      </vt:variant>
      <vt:variant>
        <vt:i4>1</vt:i4>
      </vt:variant>
    </vt:vector>
  </HeadingPairs>
  <TitlesOfParts>
    <vt:vector size="1" baseType="lpstr">
      <vt:lpstr>A systems-modelling approach to predict biological responses to extreme heat</vt:lpstr>
    </vt:vector>
  </TitlesOfParts>
  <Company/>
  <LinksUpToDate>false</LinksUpToDate>
  <CharactersWithSpaces>32554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systems-modelling approach to predict biological responses to extreme heat</dc:title>
  <dc:creator/>
  <cp:keywords/>
  <dcterms:created xsi:type="dcterms:W3CDTF">2025-04-07T02:07:06Z</dcterms:created>
  <dcterms:modified xsi:type="dcterms:W3CDTF">2025-04-07T02:07:06Z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../bib/refs.bib</vt:lpwstr>
  </property>
  <property fmtid="{D5CDD505-2E9C-101B-9397-08002B2CF9AE}" pid="4" name="crossref">
    <vt:lpwstr/>
  </property>
  <property fmtid="{D5CDD505-2E9C-101B-9397-08002B2CF9AE}" pid="5" name="csl">
    <vt:lpwstr>../bib/trends-in-ecology-and-evolution.csl</vt:lpwstr>
  </property>
  <property fmtid="{D5CDD505-2E9C-101B-9397-08002B2CF9AE}" pid="6" name="editor_options">
    <vt:lpwstr/>
  </property>
  <property fmtid="{D5CDD505-2E9C-101B-9397-08002B2CF9AE}" pid="7" name="execute">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toc-title">
    <vt:lpwstr>Table of contents</vt:lpwstr>
  </property>
</Properties>
</file>