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Advisory Application</w:t>
      </w:r>
    </w:p>
    <w:p>
      <w:r>
        <w:t>Software Requirements Specification (SRS) &amp; Technical Architecture</w:t>
      </w:r>
    </w:p>
    <w:p>
      <w:r>
        <w:t>Version 1.0  |  27 October 2026  |  Draft for business and technical review</w:t>
      </w:r>
    </w:p>
    <w:p>
      <w:r>
        <w:t>Scope: client and consultant management, Excel migration, credit advisory case tracking, access controls, and consultant handover.</w:t>
      </w:r>
    </w:p>
    <w:p>
      <w:pPr>
        <w:pStyle w:val="Heading1"/>
      </w:pPr>
      <w:r>
        <w:t>Document control</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Item</w:t>
            </w:r>
          </w:p>
        </w:tc>
        <w:tc>
          <w:tcPr>
            <w:tcW w:type="dxa" w:w="4896"/>
            <w:vAlign w:val="center"/>
          </w:tcPr>
          <w:p>
            <w:pPr>
              <w:spacing w:after="40"/>
            </w:pPr>
            <w:r>
              <w:rPr>
                <w:sz w:val="16"/>
              </w:rPr>
              <w:t>Details</w:t>
            </w:r>
          </w:p>
        </w:tc>
      </w:tr>
      <w:tr>
        <w:tc>
          <w:tcPr>
            <w:tcW w:type="dxa" w:w="4896"/>
            <w:vAlign w:val="center"/>
          </w:tcPr>
          <w:p>
            <w:pPr>
              <w:spacing w:after="40"/>
            </w:pPr>
            <w:r>
              <w:rPr>
                <w:sz w:val="16"/>
              </w:rPr>
              <w:t>Status</w:t>
            </w:r>
          </w:p>
        </w:tc>
        <w:tc>
          <w:tcPr>
            <w:tcW w:type="dxa" w:w="4896"/>
            <w:vAlign w:val="center"/>
          </w:tcPr>
          <w:p>
            <w:pPr>
              <w:spacing w:after="40"/>
            </w:pPr>
            <w:r>
              <w:rPr>
                <w:sz w:val="16"/>
              </w:rPr>
              <w:t>Working draft; not yet business-approved</w:t>
            </w:r>
          </w:p>
        </w:tc>
      </w:tr>
      <w:tr>
        <w:tc>
          <w:tcPr>
            <w:tcW w:type="dxa" w:w="4896"/>
            <w:vAlign w:val="center"/>
          </w:tcPr>
          <w:p>
            <w:pPr>
              <w:spacing w:after="40"/>
            </w:pPr>
            <w:r>
              <w:rPr>
                <w:sz w:val="16"/>
              </w:rPr>
              <w:t>Audience</w:t>
            </w:r>
          </w:p>
        </w:tc>
        <w:tc>
          <w:tcPr>
            <w:tcW w:type="dxa" w:w="4896"/>
            <w:vAlign w:val="center"/>
          </w:tcPr>
          <w:p>
            <w:pPr>
              <w:spacing w:after="40"/>
            </w:pPr>
            <w:r>
              <w:rPr>
                <w:sz w:val="16"/>
              </w:rPr>
              <w:t>Business stakeholders, managers, administrators, developers, IT/security</w:t>
            </w:r>
          </w:p>
        </w:tc>
      </w:tr>
      <w:tr>
        <w:tc>
          <w:tcPr>
            <w:tcW w:type="dxa" w:w="4896"/>
            <w:vAlign w:val="center"/>
          </w:tcPr>
          <w:p>
            <w:pPr>
              <w:spacing w:after="40"/>
            </w:pPr>
            <w:r>
              <w:rPr>
                <w:sz w:val="16"/>
              </w:rPr>
              <w:t>Source</w:t>
            </w:r>
          </w:p>
        </w:tc>
        <w:tc>
          <w:tcPr>
            <w:tcW w:type="dxa" w:w="4896"/>
            <w:vAlign w:val="center"/>
          </w:tcPr>
          <w:p>
            <w:pPr>
              <w:spacing w:after="40"/>
            </w:pPr>
            <w:r>
              <w:rPr>
                <w:sz w:val="16"/>
              </w:rPr>
              <w:t>Requirements confirmed in project discussions; additional recommendations explicitly marked</w:t>
            </w:r>
          </w:p>
        </w:tc>
      </w:tr>
      <w:tr>
        <w:tc>
          <w:tcPr>
            <w:tcW w:type="dxa" w:w="4896"/>
            <w:vAlign w:val="center"/>
          </w:tcPr>
          <w:p>
            <w:pPr>
              <w:spacing w:after="40"/>
            </w:pPr>
            <w:r>
              <w:rPr>
                <w:sz w:val="16"/>
              </w:rPr>
              <w:t>Primary stack</w:t>
            </w:r>
          </w:p>
        </w:tc>
        <w:tc>
          <w:tcPr>
            <w:tcW w:type="dxa" w:w="4896"/>
            <w:vAlign w:val="center"/>
          </w:tcPr>
          <w:p>
            <w:pPr>
              <w:spacing w:after="40"/>
            </w:pPr>
            <w:r>
              <w:rPr>
                <w:sz w:val="16"/>
              </w:rPr>
              <w:t>Java 21 LTS, Spring Boot 4.x (verify supported release), PostgreSQL, React/TypeScript</w:t>
            </w:r>
          </w:p>
        </w:tc>
      </w:tr>
      <w:tr>
        <w:tc>
          <w:tcPr>
            <w:tcW w:type="dxa" w:w="4896"/>
            <w:vAlign w:val="center"/>
          </w:tcPr>
          <w:p>
            <w:pPr>
              <w:spacing w:after="40"/>
            </w:pPr>
            <w:r>
              <w:rPr>
                <w:sz w:val="16"/>
              </w:rPr>
              <w:t>Testing policy</w:t>
            </w:r>
          </w:p>
        </w:tc>
        <w:tc>
          <w:tcPr>
            <w:tcW w:type="dxa" w:w="4896"/>
            <w:vAlign w:val="center"/>
          </w:tcPr>
          <w:p>
            <w:pPr>
              <w:spacing w:after="40"/>
            </w:pPr>
            <w:r>
              <w:rPr>
                <w:sz w:val="16"/>
              </w:rPr>
              <w:t>No testing libraries included in requested initial dependency list; pre-production testing remains mandatory</w:t>
            </w:r>
          </w:p>
        </w:tc>
      </w:tr>
    </w:tbl>
    <w:p>
      <w:pPr>
        <w:pStyle w:val="Heading1"/>
      </w:pPr>
      <w:r>
        <w:t>1. Executive summary</w:t>
      </w:r>
    </w:p>
    <w:p>
      <w:r>
        <w:t>The application will replace manual spreadsheet-centered operations with a controlled web system. Existing clients and their assigned consultants will be imported from a single Excel worksheet. Clients are identified by South African ID number. Authorized assigned consultants must be able to enter and view the full ID number and maintain credit advisory records. Managers and administrators alone may reassign clients, including bulk handovers when a consultant leaves. Historical records and accountability must be preserved.</w:t>
      </w:r>
    </w:p>
    <w:p>
      <w:pPr>
        <w:pStyle w:val="Heading1"/>
      </w:pPr>
      <w:r>
        <w:t>2. Confirmed decisions versus proposed scope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Confirmed business decisions</w:t>
            </w:r>
          </w:p>
        </w:tc>
        <w:tc>
          <w:tcPr>
            <w:tcW w:type="dxa" w:w="4896"/>
            <w:vAlign w:val="center"/>
          </w:tcPr>
          <w:p>
            <w:pPr>
              <w:spacing w:after="40"/>
            </w:pPr>
            <w:r>
              <w:rPr>
                <w:sz w:val="16"/>
              </w:rPr>
              <w:t>Proposed / requires approval</w:t>
            </w:r>
          </w:p>
        </w:tc>
      </w:tr>
      <w:tr>
        <w:tc>
          <w:tcPr>
            <w:tcW w:type="dxa" w:w="4896"/>
            <w:vAlign w:val="center"/>
          </w:tcPr>
          <w:p>
            <w:pPr>
              <w:spacing w:after="40"/>
            </w:pPr>
            <w:r>
              <w:rPr>
                <w:sz w:val="16"/>
              </w:rPr>
              <w:t>One worksheet containing clients and their assigned consultants</w:t>
            </w:r>
          </w:p>
        </w:tc>
        <w:tc>
          <w:tcPr>
            <w:tcW w:type="dxa" w:w="4896"/>
            <w:vAlign w:val="center"/>
          </w:tcPr>
          <w:p>
            <w:pPr>
              <w:spacing w:after="40"/>
            </w:pPr>
            <w:r>
              <w:rPr>
                <w:sz w:val="16"/>
              </w:rPr>
              <w:t>Exact worksheet column names, template and error policies</w:t>
            </w:r>
          </w:p>
        </w:tc>
      </w:tr>
      <w:tr>
        <w:tc>
          <w:tcPr>
            <w:tcW w:type="dxa" w:w="4896"/>
            <w:vAlign w:val="center"/>
          </w:tcPr>
          <w:p>
            <w:pPr>
              <w:spacing w:after="40"/>
            </w:pPr>
            <w:r>
              <w:rPr>
                <w:sz w:val="16"/>
              </w:rPr>
              <w:t>SA ID number is the client unique business identifier</w:t>
            </w:r>
          </w:p>
        </w:tc>
        <w:tc>
          <w:tcPr>
            <w:tcW w:type="dxa" w:w="4896"/>
            <w:vAlign w:val="center"/>
          </w:tcPr>
          <w:p>
            <w:pPr>
              <w:spacing w:after="40"/>
            </w:pPr>
            <w:r>
              <w:rPr>
                <w:sz w:val="16"/>
              </w:rPr>
              <w:t>Checksum policy, exceptions, encryption architecture</w:t>
            </w:r>
          </w:p>
        </w:tc>
      </w:tr>
      <w:tr>
        <w:tc>
          <w:tcPr>
            <w:tcW w:type="dxa" w:w="4896"/>
            <w:vAlign w:val="center"/>
          </w:tcPr>
          <w:p>
            <w:pPr>
              <w:spacing w:after="40"/>
            </w:pPr>
            <w:r>
              <w:rPr>
                <w:sz w:val="16"/>
              </w:rPr>
              <w:t>Authorized consultant sees and enters full client ID</w:t>
            </w:r>
          </w:p>
        </w:tc>
        <w:tc>
          <w:tcPr>
            <w:tcW w:type="dxa" w:w="4896"/>
            <w:vAlign w:val="center"/>
          </w:tcPr>
          <w:p>
            <w:pPr>
              <w:spacing w:after="40"/>
            </w:pPr>
            <w:r>
              <w:rPr>
                <w:sz w:val="16"/>
              </w:rPr>
              <w:t>Exact scope of manager visibility and special permissions</w:t>
            </w:r>
          </w:p>
        </w:tc>
      </w:tr>
      <w:tr>
        <w:tc>
          <w:tcPr>
            <w:tcW w:type="dxa" w:w="4896"/>
            <w:vAlign w:val="center"/>
          </w:tcPr>
          <w:p>
            <w:pPr>
              <w:spacing w:after="40"/>
            </w:pPr>
            <w:r>
              <w:rPr>
                <w:sz w:val="16"/>
              </w:rPr>
              <w:t>Manager/Admin manually reassign clients</w:t>
            </w:r>
          </w:p>
        </w:tc>
        <w:tc>
          <w:tcPr>
            <w:tcW w:type="dxa" w:w="4896"/>
            <w:vAlign w:val="center"/>
          </w:tcPr>
          <w:p>
            <w:pPr>
              <w:spacing w:after="40"/>
            </w:pPr>
            <w:r>
              <w:rPr>
                <w:sz w:val="16"/>
              </w:rPr>
              <w:t>Transfer approval workflow and whether dual approval is required</w:t>
            </w:r>
          </w:p>
        </w:tc>
      </w:tr>
      <w:tr>
        <w:tc>
          <w:tcPr>
            <w:tcW w:type="dxa" w:w="4896"/>
            <w:vAlign w:val="center"/>
          </w:tcPr>
          <w:p>
            <w:pPr>
              <w:spacing w:after="40"/>
            </w:pPr>
            <w:r>
              <w:rPr>
                <w:sz w:val="16"/>
              </w:rPr>
              <w:t>Credit records survive handover</w:t>
            </w:r>
          </w:p>
        </w:tc>
        <w:tc>
          <w:tcPr>
            <w:tcW w:type="dxa" w:w="4896"/>
            <w:vAlign w:val="center"/>
          </w:tcPr>
          <w:p>
            <w:pPr>
              <w:spacing w:after="40"/>
            </w:pPr>
            <w:r>
              <w:rPr>
                <w:sz w:val="16"/>
              </w:rPr>
              <w:t>Detailed case fields, workflow stages, SLA targets</w:t>
            </w:r>
          </w:p>
        </w:tc>
      </w:tr>
      <w:tr>
        <w:tc>
          <w:tcPr>
            <w:tcW w:type="dxa" w:w="4896"/>
            <w:vAlign w:val="center"/>
          </w:tcPr>
          <w:p>
            <w:pPr>
              <w:spacing w:after="40"/>
            </w:pPr>
            <w:r>
              <w:rPr>
                <w:sz w:val="16"/>
              </w:rPr>
              <w:t>Consultant statuses ACTIVE / INACTIVE / SUSPENDED</w:t>
            </w:r>
          </w:p>
        </w:tc>
        <w:tc>
          <w:tcPr>
            <w:tcW w:type="dxa" w:w="4896"/>
            <w:vAlign w:val="center"/>
          </w:tcPr>
          <w:p>
            <w:pPr>
              <w:spacing w:after="40"/>
            </w:pPr>
            <w:r>
              <w:rPr>
                <w:sz w:val="16"/>
              </w:rPr>
              <w:t>Who can restore accounts, suspension notification rules</w:t>
            </w:r>
          </w:p>
        </w:tc>
      </w:tr>
      <w:tr>
        <w:tc>
          <w:tcPr>
            <w:tcW w:type="dxa" w:w="4896"/>
            <w:vAlign w:val="center"/>
          </w:tcPr>
          <w:p>
            <w:pPr>
              <w:spacing w:after="40"/>
            </w:pPr>
            <w:r>
              <w:rPr>
                <w:sz w:val="16"/>
              </w:rPr>
              <w:t>No automated consultant redistribution</w:t>
            </w:r>
          </w:p>
        </w:tc>
        <w:tc>
          <w:tcPr>
            <w:tcW w:type="dxa" w:w="4896"/>
            <w:vAlign w:val="center"/>
          </w:tcPr>
          <w:p>
            <w:pPr>
              <w:spacing w:after="40"/>
            </w:pPr>
            <w:r>
              <w:rPr>
                <w:sz w:val="16"/>
              </w:rPr>
              <w:t>Bulk-transfer maximums and performance thresholds</w:t>
            </w:r>
          </w:p>
        </w:tc>
      </w:tr>
    </w:tbl>
    <w:p>
      <w:pPr>
        <w:pStyle w:val="Heading1"/>
      </w:pPr>
      <w:r>
        <w:t>3. Goals, scope and exclusions</w:t>
      </w:r>
    </w:p>
    <w:p>
      <w:pPr>
        <w:pStyle w:val="ListBullet"/>
      </w:pPr>
      <w:r>
        <w:t>Deliver reliable client/consultant master data, import traceability, and role-controlled client assignments.</w:t>
      </w:r>
    </w:p>
    <w:p>
      <w:pPr>
        <w:pStyle w:val="ListBullet"/>
      </w:pPr>
      <w:r>
        <w:t>Allow assigned consultants to continue advisory work after handover without losing case notes or credit history.</w:t>
      </w:r>
    </w:p>
    <w:p>
      <w:pPr>
        <w:pStyle w:val="ListBullet"/>
      </w:pPr>
      <w:r>
        <w:t>Support dashboards, searching, and auditable administrative operations.</w:t>
      </w:r>
    </w:p>
    <w:p>
      <w:pPr>
        <w:pStyle w:val="ListBullet"/>
      </w:pPr>
      <w:r>
        <w:t>Out of scope for initial release unless approved: credit bureau integration, automated credit decisions, payment processing, WhatsApp, automated client distribution, and external customer portal.</w:t>
      </w:r>
    </w:p>
    <w:p>
      <w:pPr>
        <w:pStyle w:val="Heading1"/>
      </w:pPr>
      <w:r>
        <w:t>4. User roles and authorization</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40"/>
            </w:pPr>
            <w:r>
              <w:rPr>
                <w:sz w:val="16"/>
              </w:rPr>
              <w:t>Action</w:t>
            </w:r>
          </w:p>
        </w:tc>
        <w:tc>
          <w:tcPr>
            <w:tcW w:type="dxa" w:w="2448"/>
            <w:vAlign w:val="center"/>
          </w:tcPr>
          <w:p>
            <w:pPr>
              <w:spacing w:after="40"/>
            </w:pPr>
            <w:r>
              <w:rPr>
                <w:sz w:val="16"/>
              </w:rPr>
              <w:t>Consultant</w:t>
            </w:r>
          </w:p>
        </w:tc>
        <w:tc>
          <w:tcPr>
            <w:tcW w:type="dxa" w:w="2448"/>
            <w:vAlign w:val="center"/>
          </w:tcPr>
          <w:p>
            <w:pPr>
              <w:spacing w:after="40"/>
            </w:pPr>
            <w:r>
              <w:rPr>
                <w:sz w:val="16"/>
              </w:rPr>
              <w:t>Manager</w:t>
            </w:r>
          </w:p>
        </w:tc>
        <w:tc>
          <w:tcPr>
            <w:tcW w:type="dxa" w:w="2448"/>
            <w:vAlign w:val="center"/>
          </w:tcPr>
          <w:p>
            <w:pPr>
              <w:spacing w:after="40"/>
            </w:pPr>
            <w:r>
              <w:rPr>
                <w:sz w:val="16"/>
              </w:rPr>
              <w:t>Administrator</w:t>
            </w:r>
          </w:p>
        </w:tc>
      </w:tr>
      <w:tr>
        <w:tc>
          <w:tcPr>
            <w:tcW w:type="dxa" w:w="2448"/>
            <w:vAlign w:val="center"/>
          </w:tcPr>
          <w:p>
            <w:pPr>
              <w:spacing w:after="40"/>
            </w:pPr>
            <w:r>
              <w:rPr>
                <w:sz w:val="16"/>
              </w:rPr>
              <w:t>View/update assigned client profile and cases</w:t>
            </w:r>
          </w:p>
        </w:tc>
        <w:tc>
          <w:tcPr>
            <w:tcW w:type="dxa" w:w="2448"/>
            <w:vAlign w:val="center"/>
          </w:tcPr>
          <w:p>
            <w:pPr>
              <w:spacing w:after="40"/>
            </w:pPr>
            <w:r>
              <w:rPr>
                <w:sz w:val="16"/>
              </w:rPr>
              <w:t>Yes</w:t>
            </w:r>
          </w:p>
        </w:tc>
        <w:tc>
          <w:tcPr>
            <w:tcW w:type="dxa" w:w="2448"/>
            <w:vAlign w:val="center"/>
          </w:tcPr>
          <w:p>
            <w:pPr>
              <w:spacing w:after="40"/>
            </w:pPr>
            <w:r>
              <w:rPr>
                <w:sz w:val="16"/>
              </w:rPr>
              <w:t>Yes, authorized scope</w:t>
            </w:r>
          </w:p>
        </w:tc>
        <w:tc>
          <w:tcPr>
            <w:tcW w:type="dxa" w:w="2448"/>
            <w:vAlign w:val="center"/>
          </w:tcPr>
          <w:p>
            <w:pPr>
              <w:spacing w:after="40"/>
            </w:pPr>
            <w:r>
              <w:rPr>
                <w:sz w:val="16"/>
              </w:rPr>
              <w:t>Yes, authorized scope</w:t>
            </w:r>
          </w:p>
        </w:tc>
      </w:tr>
      <w:tr>
        <w:tc>
          <w:tcPr>
            <w:tcW w:type="dxa" w:w="2448"/>
            <w:vAlign w:val="center"/>
          </w:tcPr>
          <w:p>
            <w:pPr>
              <w:spacing w:after="40"/>
            </w:pPr>
            <w:r>
              <w:rPr>
                <w:sz w:val="16"/>
              </w:rPr>
              <w:t>View full SA ID for authorized client</w:t>
            </w:r>
          </w:p>
        </w:tc>
        <w:tc>
          <w:tcPr>
            <w:tcW w:type="dxa" w:w="2448"/>
            <w:vAlign w:val="center"/>
          </w:tcPr>
          <w:p>
            <w:pPr>
              <w:spacing w:after="40"/>
            </w:pPr>
            <w:r>
              <w:rPr>
                <w:sz w:val="16"/>
              </w:rPr>
              <w:t>Yes</w:t>
            </w:r>
          </w:p>
        </w:tc>
        <w:tc>
          <w:tcPr>
            <w:tcW w:type="dxa" w:w="2448"/>
            <w:vAlign w:val="center"/>
          </w:tcPr>
          <w:p>
            <w:pPr>
              <w:spacing w:after="40"/>
            </w:pPr>
            <w:r>
              <w:rPr>
                <w:sz w:val="16"/>
              </w:rPr>
              <w:t>Yes, authorized scope</w:t>
            </w:r>
          </w:p>
        </w:tc>
        <w:tc>
          <w:tcPr>
            <w:tcW w:type="dxa" w:w="2448"/>
            <w:vAlign w:val="center"/>
          </w:tcPr>
          <w:p>
            <w:pPr>
              <w:spacing w:after="40"/>
            </w:pPr>
            <w:r>
              <w:rPr>
                <w:sz w:val="16"/>
              </w:rPr>
              <w:t>Yes, authorized scope</w:t>
            </w:r>
          </w:p>
        </w:tc>
      </w:tr>
      <w:tr>
        <w:tc>
          <w:tcPr>
            <w:tcW w:type="dxa" w:w="2448"/>
            <w:vAlign w:val="center"/>
          </w:tcPr>
          <w:p>
            <w:pPr>
              <w:spacing w:after="40"/>
            </w:pPr>
            <w:r>
              <w:rPr>
                <w:sz w:val="16"/>
              </w:rPr>
              <w:t>Import Excel</w:t>
            </w:r>
          </w:p>
        </w:tc>
        <w:tc>
          <w:tcPr>
            <w:tcW w:type="dxa" w:w="2448"/>
            <w:vAlign w:val="center"/>
          </w:tcPr>
          <w:p>
            <w:pPr>
              <w:spacing w:after="40"/>
            </w:pPr>
            <w:r>
              <w:rPr>
                <w:sz w:val="16"/>
              </w:rPr>
              <w:t>No (proposed)</w:t>
            </w:r>
          </w:p>
        </w:tc>
        <w:tc>
          <w:tcPr>
            <w:tcW w:type="dxa" w:w="2448"/>
            <w:vAlign w:val="center"/>
          </w:tcPr>
          <w:p>
            <w:pPr>
              <w:spacing w:after="40"/>
            </w:pPr>
            <w:r>
              <w:rPr>
                <w:sz w:val="16"/>
              </w:rPr>
              <w:t>Yes (proposed)</w:t>
            </w:r>
          </w:p>
        </w:tc>
        <w:tc>
          <w:tcPr>
            <w:tcW w:type="dxa" w:w="2448"/>
            <w:vAlign w:val="center"/>
          </w:tcPr>
          <w:p>
            <w:pPr>
              <w:spacing w:after="40"/>
            </w:pPr>
            <w:r>
              <w:rPr>
                <w:sz w:val="16"/>
              </w:rPr>
              <w:t>Yes</w:t>
            </w:r>
          </w:p>
        </w:tc>
      </w:tr>
      <w:tr>
        <w:tc>
          <w:tcPr>
            <w:tcW w:type="dxa" w:w="2448"/>
            <w:vAlign w:val="center"/>
          </w:tcPr>
          <w:p>
            <w:pPr>
              <w:spacing w:after="40"/>
            </w:pPr>
            <w:r>
              <w:rPr>
                <w:sz w:val="16"/>
              </w:rPr>
              <w:t>Reassign clients / bulk handover</w:t>
            </w:r>
          </w:p>
        </w:tc>
        <w:tc>
          <w:tcPr>
            <w:tcW w:type="dxa" w:w="2448"/>
            <w:vAlign w:val="center"/>
          </w:tcPr>
          <w:p>
            <w:pPr>
              <w:spacing w:after="40"/>
            </w:pPr>
            <w:r>
              <w:rPr>
                <w:sz w:val="16"/>
              </w:rPr>
              <w:t>No</w:t>
            </w:r>
          </w:p>
        </w:tc>
        <w:tc>
          <w:tcPr>
            <w:tcW w:type="dxa" w:w="2448"/>
            <w:vAlign w:val="center"/>
          </w:tcPr>
          <w:p>
            <w:pPr>
              <w:spacing w:after="40"/>
            </w:pPr>
            <w:r>
              <w:rPr>
                <w:sz w:val="16"/>
              </w:rPr>
              <w:t>Yes</w:t>
            </w:r>
          </w:p>
        </w:tc>
        <w:tc>
          <w:tcPr>
            <w:tcW w:type="dxa" w:w="2448"/>
            <w:vAlign w:val="center"/>
          </w:tcPr>
          <w:p>
            <w:pPr>
              <w:spacing w:after="40"/>
            </w:pPr>
            <w:r>
              <w:rPr>
                <w:sz w:val="16"/>
              </w:rPr>
              <w:t>Yes</w:t>
            </w:r>
          </w:p>
        </w:tc>
      </w:tr>
      <w:tr>
        <w:tc>
          <w:tcPr>
            <w:tcW w:type="dxa" w:w="2448"/>
            <w:vAlign w:val="center"/>
          </w:tcPr>
          <w:p>
            <w:pPr>
              <w:spacing w:after="40"/>
            </w:pPr>
            <w:r>
              <w:rPr>
                <w:sz w:val="16"/>
              </w:rPr>
              <w:t>View reassignment history</w:t>
            </w:r>
          </w:p>
        </w:tc>
        <w:tc>
          <w:tcPr>
            <w:tcW w:type="dxa" w:w="2448"/>
            <w:vAlign w:val="center"/>
          </w:tcPr>
          <w:p>
            <w:pPr>
              <w:spacing w:after="40"/>
            </w:pPr>
            <w:r>
              <w:rPr>
                <w:sz w:val="16"/>
              </w:rPr>
              <w:t>No (proposed)</w:t>
            </w:r>
          </w:p>
        </w:tc>
        <w:tc>
          <w:tcPr>
            <w:tcW w:type="dxa" w:w="2448"/>
            <w:vAlign w:val="center"/>
          </w:tcPr>
          <w:p>
            <w:pPr>
              <w:spacing w:after="40"/>
            </w:pPr>
            <w:r>
              <w:rPr>
                <w:sz w:val="16"/>
              </w:rPr>
              <w:t>Yes</w:t>
            </w:r>
          </w:p>
        </w:tc>
        <w:tc>
          <w:tcPr>
            <w:tcW w:type="dxa" w:w="2448"/>
            <w:vAlign w:val="center"/>
          </w:tcPr>
          <w:p>
            <w:pPr>
              <w:spacing w:after="40"/>
            </w:pPr>
            <w:r>
              <w:rPr>
                <w:sz w:val="16"/>
              </w:rPr>
              <w:t>Yes</w:t>
            </w:r>
          </w:p>
        </w:tc>
      </w:tr>
      <w:tr>
        <w:tc>
          <w:tcPr>
            <w:tcW w:type="dxa" w:w="2448"/>
            <w:vAlign w:val="center"/>
          </w:tcPr>
          <w:p>
            <w:pPr>
              <w:spacing w:after="40"/>
            </w:pPr>
            <w:r>
              <w:rPr>
                <w:sz w:val="16"/>
              </w:rPr>
              <w:t>Activate/suspend/deactivate consultant</w:t>
            </w:r>
          </w:p>
        </w:tc>
        <w:tc>
          <w:tcPr>
            <w:tcW w:type="dxa" w:w="2448"/>
            <w:vAlign w:val="center"/>
          </w:tcPr>
          <w:p>
            <w:pPr>
              <w:spacing w:after="40"/>
            </w:pPr>
            <w:r>
              <w:rPr>
                <w:sz w:val="16"/>
              </w:rPr>
              <w:t>No</w:t>
            </w:r>
          </w:p>
        </w:tc>
        <w:tc>
          <w:tcPr>
            <w:tcW w:type="dxa" w:w="2448"/>
            <w:vAlign w:val="center"/>
          </w:tcPr>
          <w:p>
            <w:pPr>
              <w:spacing w:after="40"/>
            </w:pPr>
            <w:r>
              <w:rPr>
                <w:sz w:val="16"/>
              </w:rPr>
              <w:t>No (proposed)</w:t>
            </w:r>
          </w:p>
        </w:tc>
        <w:tc>
          <w:tcPr>
            <w:tcW w:type="dxa" w:w="2448"/>
            <w:vAlign w:val="center"/>
          </w:tcPr>
          <w:p>
            <w:pPr>
              <w:spacing w:after="40"/>
            </w:pPr>
            <w:r>
              <w:rPr>
                <w:sz w:val="16"/>
              </w:rPr>
              <w:t>Yes</w:t>
            </w:r>
          </w:p>
        </w:tc>
      </w:tr>
      <w:tr>
        <w:tc>
          <w:tcPr>
            <w:tcW w:type="dxa" w:w="2448"/>
            <w:vAlign w:val="center"/>
          </w:tcPr>
          <w:p>
            <w:pPr>
              <w:spacing w:after="40"/>
            </w:pPr>
            <w:r>
              <w:rPr>
                <w:sz w:val="16"/>
              </w:rPr>
              <w:t>Manage roles and users</w:t>
            </w:r>
          </w:p>
        </w:tc>
        <w:tc>
          <w:tcPr>
            <w:tcW w:type="dxa" w:w="2448"/>
            <w:vAlign w:val="center"/>
          </w:tcPr>
          <w:p>
            <w:pPr>
              <w:spacing w:after="40"/>
            </w:pPr>
            <w:r>
              <w:rPr>
                <w:sz w:val="16"/>
              </w:rPr>
              <w:t>No</w:t>
            </w:r>
          </w:p>
        </w:tc>
        <w:tc>
          <w:tcPr>
            <w:tcW w:type="dxa" w:w="2448"/>
            <w:vAlign w:val="center"/>
          </w:tcPr>
          <w:p>
            <w:pPr>
              <w:spacing w:after="40"/>
            </w:pPr>
            <w:r>
              <w:rPr>
                <w:sz w:val="16"/>
              </w:rPr>
              <w:t>No</w:t>
            </w:r>
          </w:p>
        </w:tc>
        <w:tc>
          <w:tcPr>
            <w:tcW w:type="dxa" w:w="2448"/>
            <w:vAlign w:val="center"/>
          </w:tcPr>
          <w:p>
            <w:pPr>
              <w:spacing w:after="40"/>
            </w:pPr>
            <w:r>
              <w:rPr>
                <w:sz w:val="16"/>
              </w:rPr>
              <w:t>Yes</w:t>
            </w:r>
          </w:p>
        </w:tc>
      </w:tr>
      <w:tr>
        <w:tc>
          <w:tcPr>
            <w:tcW w:type="dxa" w:w="2448"/>
            <w:vAlign w:val="center"/>
          </w:tcPr>
          <w:p>
            <w:pPr>
              <w:spacing w:after="40"/>
            </w:pPr>
            <w:r>
              <w:rPr>
                <w:sz w:val="16"/>
              </w:rPr>
              <w:t>View operational reports</w:t>
            </w:r>
          </w:p>
        </w:tc>
        <w:tc>
          <w:tcPr>
            <w:tcW w:type="dxa" w:w="2448"/>
            <w:vAlign w:val="center"/>
          </w:tcPr>
          <w:p>
            <w:pPr>
              <w:spacing w:after="40"/>
            </w:pPr>
            <w:r>
              <w:rPr>
                <w:sz w:val="16"/>
              </w:rPr>
              <w:t>Own portfolio</w:t>
            </w:r>
          </w:p>
        </w:tc>
        <w:tc>
          <w:tcPr>
            <w:tcW w:type="dxa" w:w="2448"/>
            <w:vAlign w:val="center"/>
          </w:tcPr>
          <w:p>
            <w:pPr>
              <w:spacing w:after="40"/>
            </w:pPr>
            <w:r>
              <w:rPr>
                <w:sz w:val="16"/>
              </w:rPr>
              <w:t>Team/department</w:t>
            </w:r>
          </w:p>
        </w:tc>
        <w:tc>
          <w:tcPr>
            <w:tcW w:type="dxa" w:w="2448"/>
            <w:vAlign w:val="center"/>
          </w:tcPr>
          <w:p>
            <w:pPr>
              <w:spacing w:after="40"/>
            </w:pPr>
            <w:r>
              <w:rPr>
                <w:sz w:val="16"/>
              </w:rPr>
              <w:t>Authorized organization-wide</w:t>
            </w:r>
          </w:p>
        </w:tc>
      </w:tr>
    </w:tbl>
    <w:p>
      <w:r>
        <w:t>Every permission must be enforced on the backend and scoped to the individual client record; hiding a frontend button is not authorization. Manager and import permissions shown as proposed should be formally approved.</w:t>
      </w:r>
    </w:p>
    <w:p>
      <w:pPr>
        <w:pStyle w:val="Heading1"/>
      </w:pPr>
      <w:r>
        <w:t>5. Functional requirements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sz w:val="16"/>
              </w:rPr>
              <w:t>ID</w:t>
            </w:r>
          </w:p>
        </w:tc>
        <w:tc>
          <w:tcPr>
            <w:tcW w:type="dxa" w:w="3264"/>
            <w:vAlign w:val="center"/>
          </w:tcPr>
          <w:p>
            <w:pPr>
              <w:spacing w:after="40"/>
            </w:pPr>
            <w:r>
              <w:rPr>
                <w:sz w:val="16"/>
              </w:rPr>
              <w:t>Requirement</w:t>
            </w:r>
          </w:p>
        </w:tc>
        <w:tc>
          <w:tcPr>
            <w:tcW w:type="dxa" w:w="3264"/>
            <w:vAlign w:val="center"/>
          </w:tcPr>
          <w:p>
            <w:pPr>
              <w:spacing w:after="40"/>
            </w:pPr>
            <w:r>
              <w:rPr>
                <w:sz w:val="16"/>
              </w:rPr>
              <w:t>Priority</w:t>
            </w:r>
          </w:p>
        </w:tc>
      </w:tr>
      <w:tr>
        <w:tc>
          <w:tcPr>
            <w:tcW w:type="dxa" w:w="3264"/>
            <w:vAlign w:val="center"/>
          </w:tcPr>
          <w:p>
            <w:pPr>
              <w:spacing w:after="40"/>
            </w:pPr>
            <w:r>
              <w:rPr>
                <w:sz w:val="16"/>
              </w:rPr>
              <w:t>FR-01</w:t>
            </w:r>
          </w:p>
        </w:tc>
        <w:tc>
          <w:tcPr>
            <w:tcW w:type="dxa" w:w="3264"/>
            <w:vAlign w:val="center"/>
          </w:tcPr>
          <w:p>
            <w:pPr>
              <w:spacing w:after="40"/>
            </w:pPr>
            <w:r>
              <w:rPr>
                <w:sz w:val="16"/>
              </w:rPr>
              <w:t>User login, logout, session expiry and account recovery</w:t>
            </w:r>
          </w:p>
        </w:tc>
        <w:tc>
          <w:tcPr>
            <w:tcW w:type="dxa" w:w="3264"/>
            <w:vAlign w:val="center"/>
          </w:tcPr>
          <w:p>
            <w:pPr>
              <w:spacing w:after="40"/>
            </w:pPr>
            <w:r>
              <w:rPr>
                <w:sz w:val="16"/>
              </w:rPr>
              <w:t>Critical</w:t>
            </w:r>
          </w:p>
        </w:tc>
      </w:tr>
      <w:tr>
        <w:tc>
          <w:tcPr>
            <w:tcW w:type="dxa" w:w="3264"/>
            <w:vAlign w:val="center"/>
          </w:tcPr>
          <w:p>
            <w:pPr>
              <w:spacing w:after="40"/>
            </w:pPr>
            <w:r>
              <w:rPr>
                <w:sz w:val="16"/>
              </w:rPr>
              <w:t>FR-02</w:t>
            </w:r>
          </w:p>
        </w:tc>
        <w:tc>
          <w:tcPr>
            <w:tcW w:type="dxa" w:w="3264"/>
            <w:vAlign w:val="center"/>
          </w:tcPr>
          <w:p>
            <w:pPr>
              <w:spacing w:after="40"/>
            </w:pPr>
            <w:r>
              <w:rPr>
                <w:sz w:val="16"/>
              </w:rPr>
              <w:t>Role-based authorization and assigned-client access</w:t>
            </w:r>
          </w:p>
        </w:tc>
        <w:tc>
          <w:tcPr>
            <w:tcW w:type="dxa" w:w="3264"/>
            <w:vAlign w:val="center"/>
          </w:tcPr>
          <w:p>
            <w:pPr>
              <w:spacing w:after="40"/>
            </w:pPr>
            <w:r>
              <w:rPr>
                <w:sz w:val="16"/>
              </w:rPr>
              <w:t>Critical</w:t>
            </w:r>
          </w:p>
        </w:tc>
      </w:tr>
      <w:tr>
        <w:tc>
          <w:tcPr>
            <w:tcW w:type="dxa" w:w="3264"/>
            <w:vAlign w:val="center"/>
          </w:tcPr>
          <w:p>
            <w:pPr>
              <w:spacing w:after="40"/>
            </w:pPr>
            <w:r>
              <w:rPr>
                <w:sz w:val="16"/>
              </w:rPr>
              <w:t>FR-03</w:t>
            </w:r>
          </w:p>
        </w:tc>
        <w:tc>
          <w:tcPr>
            <w:tcW w:type="dxa" w:w="3264"/>
            <w:vAlign w:val="center"/>
          </w:tcPr>
          <w:p>
            <w:pPr>
              <w:spacing w:after="40"/>
            </w:pPr>
            <w:r>
              <w:rPr>
                <w:sz w:val="16"/>
              </w:rPr>
              <w:t>Create, read, update and search client records</w:t>
            </w:r>
          </w:p>
        </w:tc>
        <w:tc>
          <w:tcPr>
            <w:tcW w:type="dxa" w:w="3264"/>
            <w:vAlign w:val="center"/>
          </w:tcPr>
          <w:p>
            <w:pPr>
              <w:spacing w:after="40"/>
            </w:pPr>
            <w:r>
              <w:rPr>
                <w:sz w:val="16"/>
              </w:rPr>
              <w:t>Critical</w:t>
            </w:r>
          </w:p>
        </w:tc>
      </w:tr>
      <w:tr>
        <w:tc>
          <w:tcPr>
            <w:tcW w:type="dxa" w:w="3264"/>
            <w:vAlign w:val="center"/>
          </w:tcPr>
          <w:p>
            <w:pPr>
              <w:spacing w:after="40"/>
            </w:pPr>
            <w:r>
              <w:rPr>
                <w:sz w:val="16"/>
              </w:rPr>
              <w:t>FR-04</w:t>
            </w:r>
          </w:p>
        </w:tc>
        <w:tc>
          <w:tcPr>
            <w:tcW w:type="dxa" w:w="3264"/>
            <w:vAlign w:val="center"/>
          </w:tcPr>
          <w:p>
            <w:pPr>
              <w:spacing w:after="40"/>
            </w:pPr>
            <w:r>
              <w:rPr>
                <w:sz w:val="16"/>
              </w:rPr>
              <w:t>Unique South African ID number matching and validation</w:t>
            </w:r>
          </w:p>
        </w:tc>
        <w:tc>
          <w:tcPr>
            <w:tcW w:type="dxa" w:w="3264"/>
            <w:vAlign w:val="center"/>
          </w:tcPr>
          <w:p>
            <w:pPr>
              <w:spacing w:after="40"/>
            </w:pPr>
            <w:r>
              <w:rPr>
                <w:sz w:val="16"/>
              </w:rPr>
              <w:t>Critical</w:t>
            </w:r>
          </w:p>
        </w:tc>
      </w:tr>
      <w:tr>
        <w:tc>
          <w:tcPr>
            <w:tcW w:type="dxa" w:w="3264"/>
            <w:vAlign w:val="center"/>
          </w:tcPr>
          <w:p>
            <w:pPr>
              <w:spacing w:after="40"/>
            </w:pPr>
            <w:r>
              <w:rPr>
                <w:sz w:val="16"/>
              </w:rPr>
              <w:t>FR-05</w:t>
            </w:r>
          </w:p>
        </w:tc>
        <w:tc>
          <w:tcPr>
            <w:tcW w:type="dxa" w:w="3264"/>
            <w:vAlign w:val="center"/>
          </w:tcPr>
          <w:p>
            <w:pPr>
              <w:spacing w:after="40"/>
            </w:pPr>
            <w:r>
              <w:rPr>
                <w:sz w:val="16"/>
              </w:rPr>
              <w:t>Create, update and search consultant records</w:t>
            </w:r>
          </w:p>
        </w:tc>
        <w:tc>
          <w:tcPr>
            <w:tcW w:type="dxa" w:w="3264"/>
            <w:vAlign w:val="center"/>
          </w:tcPr>
          <w:p>
            <w:pPr>
              <w:spacing w:after="40"/>
            </w:pPr>
            <w:r>
              <w:rPr>
                <w:sz w:val="16"/>
              </w:rPr>
              <w:t>Critical</w:t>
            </w:r>
          </w:p>
        </w:tc>
      </w:tr>
      <w:tr>
        <w:tc>
          <w:tcPr>
            <w:tcW w:type="dxa" w:w="3264"/>
            <w:vAlign w:val="center"/>
          </w:tcPr>
          <w:p>
            <w:pPr>
              <w:spacing w:after="40"/>
            </w:pPr>
            <w:r>
              <w:rPr>
                <w:sz w:val="16"/>
              </w:rPr>
              <w:t>FR-06</w:t>
            </w:r>
          </w:p>
        </w:tc>
        <w:tc>
          <w:tcPr>
            <w:tcW w:type="dxa" w:w="3264"/>
            <w:vAlign w:val="center"/>
          </w:tcPr>
          <w:p>
            <w:pPr>
              <w:spacing w:after="40"/>
            </w:pPr>
            <w:r>
              <w:rPr>
                <w:sz w:val="16"/>
              </w:rPr>
              <w:t>Consultant status: ACTIVE, INACTIVE, SUSPENDED</w:t>
            </w:r>
          </w:p>
        </w:tc>
        <w:tc>
          <w:tcPr>
            <w:tcW w:type="dxa" w:w="3264"/>
            <w:vAlign w:val="center"/>
          </w:tcPr>
          <w:p>
            <w:pPr>
              <w:spacing w:after="40"/>
            </w:pPr>
            <w:r>
              <w:rPr>
                <w:sz w:val="16"/>
              </w:rPr>
              <w:t>Critical</w:t>
            </w:r>
          </w:p>
        </w:tc>
      </w:tr>
      <w:tr>
        <w:tc>
          <w:tcPr>
            <w:tcW w:type="dxa" w:w="3264"/>
            <w:vAlign w:val="center"/>
          </w:tcPr>
          <w:p>
            <w:pPr>
              <w:spacing w:after="40"/>
            </w:pPr>
            <w:r>
              <w:rPr>
                <w:sz w:val="16"/>
              </w:rPr>
              <w:t>FR-07</w:t>
            </w:r>
          </w:p>
        </w:tc>
        <w:tc>
          <w:tcPr>
            <w:tcW w:type="dxa" w:w="3264"/>
            <w:vAlign w:val="center"/>
          </w:tcPr>
          <w:p>
            <w:pPr>
              <w:spacing w:after="40"/>
            </w:pPr>
            <w:r>
              <w:rPr>
                <w:sz w:val="16"/>
              </w:rPr>
              <w:t>Single-sheet Excel upload and column mapping</w:t>
            </w:r>
          </w:p>
        </w:tc>
        <w:tc>
          <w:tcPr>
            <w:tcW w:type="dxa" w:w="3264"/>
            <w:vAlign w:val="center"/>
          </w:tcPr>
          <w:p>
            <w:pPr>
              <w:spacing w:after="40"/>
            </w:pPr>
            <w:r>
              <w:rPr>
                <w:sz w:val="16"/>
              </w:rPr>
              <w:t>Critical</w:t>
            </w:r>
          </w:p>
        </w:tc>
      </w:tr>
      <w:tr>
        <w:tc>
          <w:tcPr>
            <w:tcW w:type="dxa" w:w="3264"/>
            <w:vAlign w:val="center"/>
          </w:tcPr>
          <w:p>
            <w:pPr>
              <w:spacing w:after="40"/>
            </w:pPr>
            <w:r>
              <w:rPr>
                <w:sz w:val="16"/>
              </w:rPr>
              <w:t>FR-08</w:t>
            </w:r>
          </w:p>
        </w:tc>
        <w:tc>
          <w:tcPr>
            <w:tcW w:type="dxa" w:w="3264"/>
            <w:vAlign w:val="center"/>
          </w:tcPr>
          <w:p>
            <w:pPr>
              <w:spacing w:after="40"/>
            </w:pPr>
            <w:r>
              <w:rPr>
                <w:sz w:val="16"/>
              </w:rPr>
              <w:t>Validate Excel rows, ID numbers and consultant references</w:t>
            </w:r>
          </w:p>
        </w:tc>
        <w:tc>
          <w:tcPr>
            <w:tcW w:type="dxa" w:w="3264"/>
            <w:vAlign w:val="center"/>
          </w:tcPr>
          <w:p>
            <w:pPr>
              <w:spacing w:after="40"/>
            </w:pPr>
            <w:r>
              <w:rPr>
                <w:sz w:val="16"/>
              </w:rPr>
              <w:t>Critical</w:t>
            </w:r>
          </w:p>
        </w:tc>
      </w:tr>
      <w:tr>
        <w:tc>
          <w:tcPr>
            <w:tcW w:type="dxa" w:w="3264"/>
            <w:vAlign w:val="center"/>
          </w:tcPr>
          <w:p>
            <w:pPr>
              <w:spacing w:after="40"/>
            </w:pPr>
            <w:r>
              <w:rPr>
                <w:sz w:val="16"/>
              </w:rPr>
              <w:t>FR-09</w:t>
            </w:r>
          </w:p>
        </w:tc>
        <w:tc>
          <w:tcPr>
            <w:tcW w:type="dxa" w:w="3264"/>
            <w:vAlign w:val="center"/>
          </w:tcPr>
          <w:p>
            <w:pPr>
              <w:spacing w:after="40"/>
            </w:pPr>
            <w:r>
              <w:rPr>
                <w:sz w:val="16"/>
              </w:rPr>
              <w:t>Preview proposed inserts, updates and conflicts before commit</w:t>
            </w:r>
          </w:p>
        </w:tc>
        <w:tc>
          <w:tcPr>
            <w:tcW w:type="dxa" w:w="3264"/>
            <w:vAlign w:val="center"/>
          </w:tcPr>
          <w:p>
            <w:pPr>
              <w:spacing w:after="40"/>
            </w:pPr>
            <w:r>
              <w:rPr>
                <w:sz w:val="16"/>
              </w:rPr>
              <w:t>Critical</w:t>
            </w:r>
          </w:p>
        </w:tc>
      </w:tr>
      <w:tr>
        <w:tc>
          <w:tcPr>
            <w:tcW w:type="dxa" w:w="3264"/>
            <w:vAlign w:val="center"/>
          </w:tcPr>
          <w:p>
            <w:pPr>
              <w:spacing w:after="40"/>
            </w:pPr>
            <w:r>
              <w:rPr>
                <w:sz w:val="16"/>
              </w:rPr>
              <w:t>FR-10</w:t>
            </w:r>
          </w:p>
        </w:tc>
        <w:tc>
          <w:tcPr>
            <w:tcW w:type="dxa" w:w="3264"/>
            <w:vAlign w:val="center"/>
          </w:tcPr>
          <w:p>
            <w:pPr>
              <w:spacing w:after="40"/>
            </w:pPr>
            <w:r>
              <w:rPr>
                <w:sz w:val="16"/>
              </w:rPr>
              <w:t>Detect duplicates in upload and existing database</w:t>
            </w:r>
          </w:p>
        </w:tc>
        <w:tc>
          <w:tcPr>
            <w:tcW w:type="dxa" w:w="3264"/>
            <w:vAlign w:val="center"/>
          </w:tcPr>
          <w:p>
            <w:pPr>
              <w:spacing w:after="40"/>
            </w:pPr>
            <w:r>
              <w:rPr>
                <w:sz w:val="16"/>
              </w:rPr>
              <w:t>Critical</w:t>
            </w:r>
          </w:p>
        </w:tc>
      </w:tr>
      <w:tr>
        <w:tc>
          <w:tcPr>
            <w:tcW w:type="dxa" w:w="3264"/>
            <w:vAlign w:val="center"/>
          </w:tcPr>
          <w:p>
            <w:pPr>
              <w:spacing w:after="40"/>
            </w:pPr>
            <w:r>
              <w:rPr>
                <w:sz w:val="16"/>
              </w:rPr>
              <w:t>FR-11</w:t>
            </w:r>
          </w:p>
        </w:tc>
        <w:tc>
          <w:tcPr>
            <w:tcW w:type="dxa" w:w="3264"/>
            <w:vAlign w:val="center"/>
          </w:tcPr>
          <w:p>
            <w:pPr>
              <w:spacing w:after="40"/>
            </w:pPr>
            <w:r>
              <w:rPr>
                <w:sz w:val="16"/>
              </w:rPr>
              <w:t>Insert/update approved clients and consultants transactionally</w:t>
            </w:r>
          </w:p>
        </w:tc>
        <w:tc>
          <w:tcPr>
            <w:tcW w:type="dxa" w:w="3264"/>
            <w:vAlign w:val="center"/>
          </w:tcPr>
          <w:p>
            <w:pPr>
              <w:spacing w:after="40"/>
            </w:pPr>
            <w:r>
              <w:rPr>
                <w:sz w:val="16"/>
              </w:rPr>
              <w:t>Critical</w:t>
            </w:r>
          </w:p>
        </w:tc>
      </w:tr>
      <w:tr>
        <w:tc>
          <w:tcPr>
            <w:tcW w:type="dxa" w:w="3264"/>
            <w:vAlign w:val="center"/>
          </w:tcPr>
          <w:p>
            <w:pPr>
              <w:spacing w:after="40"/>
            </w:pPr>
            <w:r>
              <w:rPr>
                <w:sz w:val="16"/>
              </w:rPr>
              <w:t>FR-12</w:t>
            </w:r>
          </w:p>
        </w:tc>
        <w:tc>
          <w:tcPr>
            <w:tcW w:type="dxa" w:w="3264"/>
            <w:vAlign w:val="center"/>
          </w:tcPr>
          <w:p>
            <w:pPr>
              <w:spacing w:after="40"/>
            </w:pPr>
            <w:r>
              <w:rPr>
                <w:sz w:val="16"/>
              </w:rPr>
              <w:t>Import history, row-level error export and operator identity</w:t>
            </w:r>
          </w:p>
        </w:tc>
        <w:tc>
          <w:tcPr>
            <w:tcW w:type="dxa" w:w="3264"/>
            <w:vAlign w:val="center"/>
          </w:tcPr>
          <w:p>
            <w:pPr>
              <w:spacing w:after="40"/>
            </w:pPr>
            <w:r>
              <w:rPr>
                <w:sz w:val="16"/>
              </w:rPr>
              <w:t>High</w:t>
            </w:r>
          </w:p>
        </w:tc>
      </w:tr>
      <w:tr>
        <w:tc>
          <w:tcPr>
            <w:tcW w:type="dxa" w:w="3264"/>
            <w:vAlign w:val="center"/>
          </w:tcPr>
          <w:p>
            <w:pPr>
              <w:spacing w:after="40"/>
            </w:pPr>
            <w:r>
              <w:rPr>
                <w:sz w:val="16"/>
              </w:rPr>
              <w:t>FR-13</w:t>
            </w:r>
          </w:p>
        </w:tc>
        <w:tc>
          <w:tcPr>
            <w:tcW w:type="dxa" w:w="3264"/>
            <w:vAlign w:val="center"/>
          </w:tcPr>
          <w:p>
            <w:pPr>
              <w:spacing w:after="40"/>
            </w:pPr>
            <w:r>
              <w:rPr>
                <w:sz w:val="16"/>
              </w:rPr>
              <w:t>Manual single-client reassignment by Manager/Admin</w:t>
            </w:r>
          </w:p>
        </w:tc>
        <w:tc>
          <w:tcPr>
            <w:tcW w:type="dxa" w:w="3264"/>
            <w:vAlign w:val="center"/>
          </w:tcPr>
          <w:p>
            <w:pPr>
              <w:spacing w:after="40"/>
            </w:pPr>
            <w:r>
              <w:rPr>
                <w:sz w:val="16"/>
              </w:rPr>
              <w:t>Critical</w:t>
            </w:r>
          </w:p>
        </w:tc>
      </w:tr>
      <w:tr>
        <w:tc>
          <w:tcPr>
            <w:tcW w:type="dxa" w:w="3264"/>
            <w:vAlign w:val="center"/>
          </w:tcPr>
          <w:p>
            <w:pPr>
              <w:spacing w:after="40"/>
            </w:pPr>
            <w:r>
              <w:rPr>
                <w:sz w:val="16"/>
              </w:rPr>
              <w:t>FR-14</w:t>
            </w:r>
          </w:p>
        </w:tc>
        <w:tc>
          <w:tcPr>
            <w:tcW w:type="dxa" w:w="3264"/>
            <w:vAlign w:val="center"/>
          </w:tcPr>
          <w:p>
            <w:pPr>
              <w:spacing w:after="40"/>
            </w:pPr>
            <w:r>
              <w:rPr>
                <w:sz w:val="16"/>
              </w:rPr>
              <w:t>Manual bulk client reassignment by Manager/Admin</w:t>
            </w:r>
          </w:p>
        </w:tc>
        <w:tc>
          <w:tcPr>
            <w:tcW w:type="dxa" w:w="3264"/>
            <w:vAlign w:val="center"/>
          </w:tcPr>
          <w:p>
            <w:pPr>
              <w:spacing w:after="40"/>
            </w:pPr>
            <w:r>
              <w:rPr>
                <w:sz w:val="16"/>
              </w:rPr>
              <w:t>Critical</w:t>
            </w:r>
          </w:p>
        </w:tc>
      </w:tr>
      <w:tr>
        <w:tc>
          <w:tcPr>
            <w:tcW w:type="dxa" w:w="3264"/>
            <w:vAlign w:val="center"/>
          </w:tcPr>
          <w:p>
            <w:pPr>
              <w:spacing w:after="40"/>
            </w:pPr>
            <w:r>
              <w:rPr>
                <w:sz w:val="16"/>
              </w:rPr>
              <w:t>FR-15</w:t>
            </w:r>
          </w:p>
        </w:tc>
        <w:tc>
          <w:tcPr>
            <w:tcW w:type="dxa" w:w="3264"/>
            <w:vAlign w:val="center"/>
          </w:tcPr>
          <w:p>
            <w:pPr>
              <w:spacing w:after="40"/>
            </w:pPr>
            <w:r>
              <w:rPr>
                <w:sz w:val="16"/>
              </w:rPr>
              <w:t>Preserve all client cases, notes and records during reassignment</w:t>
            </w:r>
          </w:p>
        </w:tc>
        <w:tc>
          <w:tcPr>
            <w:tcW w:type="dxa" w:w="3264"/>
            <w:vAlign w:val="center"/>
          </w:tcPr>
          <w:p>
            <w:pPr>
              <w:spacing w:after="40"/>
            </w:pPr>
            <w:r>
              <w:rPr>
                <w:sz w:val="16"/>
              </w:rPr>
              <w:t>Critical</w:t>
            </w:r>
          </w:p>
        </w:tc>
      </w:tr>
      <w:tr>
        <w:tc>
          <w:tcPr>
            <w:tcW w:type="dxa" w:w="3264"/>
            <w:vAlign w:val="center"/>
          </w:tcPr>
          <w:p>
            <w:pPr>
              <w:spacing w:after="40"/>
            </w:pPr>
            <w:r>
              <w:rPr>
                <w:sz w:val="16"/>
              </w:rPr>
              <w:t>FR-16</w:t>
            </w:r>
          </w:p>
        </w:tc>
        <w:tc>
          <w:tcPr>
            <w:tcW w:type="dxa" w:w="3264"/>
            <w:vAlign w:val="center"/>
          </w:tcPr>
          <w:p>
            <w:pPr>
              <w:spacing w:after="40"/>
            </w:pPr>
            <w:r>
              <w:rPr>
                <w:sz w:val="16"/>
              </w:rPr>
              <w:t>Assignment history with actor, reason and timestamp</w:t>
            </w:r>
          </w:p>
        </w:tc>
        <w:tc>
          <w:tcPr>
            <w:tcW w:type="dxa" w:w="3264"/>
            <w:vAlign w:val="center"/>
          </w:tcPr>
          <w:p>
            <w:pPr>
              <w:spacing w:after="40"/>
            </w:pPr>
            <w:r>
              <w:rPr>
                <w:sz w:val="16"/>
              </w:rPr>
              <w:t>Critical</w:t>
            </w:r>
          </w:p>
        </w:tc>
      </w:tr>
      <w:tr>
        <w:tc>
          <w:tcPr>
            <w:tcW w:type="dxa" w:w="3264"/>
            <w:vAlign w:val="center"/>
          </w:tcPr>
          <w:p>
            <w:pPr>
              <w:spacing w:after="40"/>
            </w:pPr>
            <w:r>
              <w:rPr>
                <w:sz w:val="16"/>
              </w:rPr>
              <w:t>FR-17</w:t>
            </w:r>
          </w:p>
        </w:tc>
        <w:tc>
          <w:tcPr>
            <w:tcW w:type="dxa" w:w="3264"/>
            <w:vAlign w:val="center"/>
          </w:tcPr>
          <w:p>
            <w:pPr>
              <w:spacing w:after="40"/>
            </w:pPr>
            <w:r>
              <w:rPr>
                <w:sz w:val="16"/>
              </w:rPr>
              <w:t>Block assignment to inactive/suspended consultants</w:t>
            </w:r>
          </w:p>
        </w:tc>
        <w:tc>
          <w:tcPr>
            <w:tcW w:type="dxa" w:w="3264"/>
            <w:vAlign w:val="center"/>
          </w:tcPr>
          <w:p>
            <w:pPr>
              <w:spacing w:after="40"/>
            </w:pPr>
            <w:r>
              <w:rPr>
                <w:sz w:val="16"/>
              </w:rPr>
              <w:t>Critical</w:t>
            </w:r>
          </w:p>
        </w:tc>
      </w:tr>
      <w:tr>
        <w:tc>
          <w:tcPr>
            <w:tcW w:type="dxa" w:w="3264"/>
            <w:vAlign w:val="center"/>
          </w:tcPr>
          <w:p>
            <w:pPr>
              <w:spacing w:after="40"/>
            </w:pPr>
            <w:r>
              <w:rPr>
                <w:sz w:val="16"/>
              </w:rPr>
              <w:t>FR-18</w:t>
            </w:r>
          </w:p>
        </w:tc>
        <w:tc>
          <w:tcPr>
            <w:tcW w:type="dxa" w:w="3264"/>
            <w:vAlign w:val="center"/>
          </w:tcPr>
          <w:p>
            <w:pPr>
              <w:spacing w:after="40"/>
            </w:pPr>
            <w:r>
              <w:rPr>
                <w:sz w:val="16"/>
              </w:rPr>
              <w:t>Revoke access when consultant is inactive/suspended</w:t>
            </w:r>
          </w:p>
        </w:tc>
        <w:tc>
          <w:tcPr>
            <w:tcW w:type="dxa" w:w="3264"/>
            <w:vAlign w:val="center"/>
          </w:tcPr>
          <w:p>
            <w:pPr>
              <w:spacing w:after="40"/>
            </w:pPr>
            <w:r>
              <w:rPr>
                <w:sz w:val="16"/>
              </w:rPr>
              <w:t>Critical</w:t>
            </w:r>
          </w:p>
        </w:tc>
      </w:tr>
      <w:tr>
        <w:tc>
          <w:tcPr>
            <w:tcW w:type="dxa" w:w="3264"/>
            <w:vAlign w:val="center"/>
          </w:tcPr>
          <w:p>
            <w:pPr>
              <w:spacing w:after="40"/>
            </w:pPr>
            <w:r>
              <w:rPr>
                <w:sz w:val="16"/>
              </w:rPr>
              <w:t>FR-19</w:t>
            </w:r>
          </w:p>
        </w:tc>
        <w:tc>
          <w:tcPr>
            <w:tcW w:type="dxa" w:w="3264"/>
            <w:vAlign w:val="center"/>
          </w:tcPr>
          <w:p>
            <w:pPr>
              <w:spacing w:after="40"/>
            </w:pPr>
            <w:r>
              <w:rPr>
                <w:sz w:val="16"/>
              </w:rPr>
              <w:t>Create and update credit advisory cases and case notes</w:t>
            </w:r>
          </w:p>
        </w:tc>
        <w:tc>
          <w:tcPr>
            <w:tcW w:type="dxa" w:w="3264"/>
            <w:vAlign w:val="center"/>
          </w:tcPr>
          <w:p>
            <w:pPr>
              <w:spacing w:after="40"/>
            </w:pPr>
            <w:r>
              <w:rPr>
                <w:sz w:val="16"/>
              </w:rPr>
              <w:t>High</w:t>
            </w:r>
          </w:p>
        </w:tc>
      </w:tr>
      <w:tr>
        <w:tc>
          <w:tcPr>
            <w:tcW w:type="dxa" w:w="3264"/>
            <w:vAlign w:val="center"/>
          </w:tcPr>
          <w:p>
            <w:pPr>
              <w:spacing w:after="40"/>
            </w:pPr>
            <w:r>
              <w:rPr>
                <w:sz w:val="16"/>
              </w:rPr>
              <w:t>FR-20</w:t>
            </w:r>
          </w:p>
        </w:tc>
        <w:tc>
          <w:tcPr>
            <w:tcW w:type="dxa" w:w="3264"/>
            <w:vAlign w:val="center"/>
          </w:tcPr>
          <w:p>
            <w:pPr>
              <w:spacing w:after="40"/>
            </w:pPr>
            <w:r>
              <w:rPr>
                <w:sz w:val="16"/>
              </w:rPr>
              <w:t>Dashboard, search, pagination and reporting</w:t>
            </w:r>
          </w:p>
        </w:tc>
        <w:tc>
          <w:tcPr>
            <w:tcW w:type="dxa" w:w="3264"/>
            <w:vAlign w:val="center"/>
          </w:tcPr>
          <w:p>
            <w:pPr>
              <w:spacing w:after="40"/>
            </w:pPr>
            <w:r>
              <w:rPr>
                <w:sz w:val="16"/>
              </w:rPr>
              <w:t>High</w:t>
            </w:r>
          </w:p>
        </w:tc>
      </w:tr>
      <w:tr>
        <w:tc>
          <w:tcPr>
            <w:tcW w:type="dxa" w:w="3264"/>
            <w:vAlign w:val="center"/>
          </w:tcPr>
          <w:p>
            <w:pPr>
              <w:spacing w:after="40"/>
            </w:pPr>
            <w:r>
              <w:rPr>
                <w:sz w:val="16"/>
              </w:rPr>
              <w:t>FR-21</w:t>
            </w:r>
          </w:p>
        </w:tc>
        <w:tc>
          <w:tcPr>
            <w:tcW w:type="dxa" w:w="3264"/>
            <w:vAlign w:val="center"/>
          </w:tcPr>
          <w:p>
            <w:pPr>
              <w:spacing w:after="40"/>
            </w:pPr>
            <w:r>
              <w:rPr>
                <w:sz w:val="16"/>
              </w:rPr>
              <w:t>Audit sensitive record access and changes</w:t>
            </w:r>
          </w:p>
        </w:tc>
        <w:tc>
          <w:tcPr>
            <w:tcW w:type="dxa" w:w="3264"/>
            <w:vAlign w:val="center"/>
          </w:tcPr>
          <w:p>
            <w:pPr>
              <w:spacing w:after="40"/>
            </w:pPr>
            <w:r>
              <w:rPr>
                <w:sz w:val="16"/>
              </w:rPr>
              <w:t>Critical</w:t>
            </w:r>
          </w:p>
        </w:tc>
      </w:tr>
      <w:tr>
        <w:tc>
          <w:tcPr>
            <w:tcW w:type="dxa" w:w="3264"/>
            <w:vAlign w:val="center"/>
          </w:tcPr>
          <w:p>
            <w:pPr>
              <w:spacing w:after="40"/>
            </w:pPr>
            <w:r>
              <w:rPr>
                <w:sz w:val="16"/>
              </w:rPr>
              <w:t>FR-22</w:t>
            </w:r>
          </w:p>
        </w:tc>
        <w:tc>
          <w:tcPr>
            <w:tcW w:type="dxa" w:w="3264"/>
            <w:vAlign w:val="center"/>
          </w:tcPr>
          <w:p>
            <w:pPr>
              <w:spacing w:after="40"/>
            </w:pPr>
            <w:r>
              <w:rPr>
                <w:sz w:val="16"/>
              </w:rPr>
              <w:t>Export authorized reports</w:t>
            </w:r>
          </w:p>
        </w:tc>
        <w:tc>
          <w:tcPr>
            <w:tcW w:type="dxa" w:w="3264"/>
            <w:vAlign w:val="center"/>
          </w:tcPr>
          <w:p>
            <w:pPr>
              <w:spacing w:after="40"/>
            </w:pPr>
            <w:r>
              <w:rPr>
                <w:sz w:val="16"/>
              </w:rPr>
              <w:t>Medium</w:t>
            </w:r>
          </w:p>
        </w:tc>
      </w:tr>
      <w:tr>
        <w:tc>
          <w:tcPr>
            <w:tcW w:type="dxa" w:w="3264"/>
            <w:vAlign w:val="center"/>
          </w:tcPr>
          <w:p>
            <w:pPr>
              <w:spacing w:after="40"/>
            </w:pPr>
            <w:r>
              <w:rPr>
                <w:sz w:val="16"/>
              </w:rPr>
              <w:t>FR-23</w:t>
            </w:r>
          </w:p>
        </w:tc>
        <w:tc>
          <w:tcPr>
            <w:tcW w:type="dxa" w:w="3264"/>
            <w:vAlign w:val="center"/>
          </w:tcPr>
          <w:p>
            <w:pPr>
              <w:spacing w:after="40"/>
            </w:pPr>
            <w:r>
              <w:rPr>
                <w:sz w:val="16"/>
              </w:rPr>
              <w:t>Notifications, reminders and document management</w:t>
            </w:r>
          </w:p>
        </w:tc>
        <w:tc>
          <w:tcPr>
            <w:tcW w:type="dxa" w:w="3264"/>
            <w:vAlign w:val="center"/>
          </w:tcPr>
          <w:p>
            <w:pPr>
              <w:spacing w:after="40"/>
            </w:pPr>
            <w:r>
              <w:rPr>
                <w:sz w:val="16"/>
              </w:rPr>
              <w:t>Future</w:t>
            </w:r>
          </w:p>
        </w:tc>
      </w:tr>
      <w:tr>
        <w:tc>
          <w:tcPr>
            <w:tcW w:type="dxa" w:w="3264"/>
            <w:vAlign w:val="center"/>
          </w:tcPr>
          <w:p>
            <w:pPr>
              <w:spacing w:after="40"/>
            </w:pPr>
            <w:r>
              <w:rPr>
                <w:sz w:val="16"/>
              </w:rPr>
              <w:t>FR-24</w:t>
            </w:r>
          </w:p>
        </w:tc>
        <w:tc>
          <w:tcPr>
            <w:tcW w:type="dxa" w:w="3264"/>
            <w:vAlign w:val="center"/>
          </w:tcPr>
          <w:p>
            <w:pPr>
              <w:spacing w:after="40"/>
            </w:pPr>
            <w:r>
              <w:rPr>
                <w:sz w:val="16"/>
              </w:rPr>
              <w:t>Approved third-party integrations and advanced analytics</w:t>
            </w:r>
          </w:p>
        </w:tc>
        <w:tc>
          <w:tcPr>
            <w:tcW w:type="dxa" w:w="3264"/>
            <w:vAlign w:val="center"/>
          </w:tcPr>
          <w:p>
            <w:pPr>
              <w:spacing w:after="40"/>
            </w:pPr>
            <w:r>
              <w:rPr>
                <w:sz w:val="16"/>
              </w:rPr>
              <w:t>Future</w:t>
            </w:r>
          </w:p>
        </w:tc>
      </w:tr>
    </w:tbl>
    <w:p>
      <w:pPr>
        <w:pStyle w:val="Heading1"/>
      </w:pPr>
      <w:r>
        <w:t>6. Excel import specification</w:t>
      </w:r>
    </w:p>
    <w:p>
      <w:r>
        <w:t>Input: one .xlsx workbook containing one agreed worksheet with client and assigned-consultant columns. A controlled import template and exact header schema must be agreed before implementation.</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Illustrative column</w:t>
            </w:r>
          </w:p>
        </w:tc>
        <w:tc>
          <w:tcPr>
            <w:tcW w:type="dxa" w:w="4896"/>
            <w:vAlign w:val="center"/>
          </w:tcPr>
          <w:p>
            <w:pPr>
              <w:spacing w:after="40"/>
            </w:pPr>
            <w:r>
              <w:rPr>
                <w:sz w:val="16"/>
              </w:rPr>
              <w:t>Rules</w:t>
            </w:r>
          </w:p>
        </w:tc>
      </w:tr>
      <w:tr>
        <w:tc>
          <w:tcPr>
            <w:tcW w:type="dxa" w:w="4896"/>
            <w:vAlign w:val="center"/>
          </w:tcPr>
          <w:p>
            <w:pPr>
              <w:spacing w:after="40"/>
            </w:pPr>
            <w:r>
              <w:rPr>
                <w:sz w:val="16"/>
              </w:rPr>
              <w:t>ID Number</w:t>
            </w:r>
          </w:p>
        </w:tc>
        <w:tc>
          <w:tcPr>
            <w:tcW w:type="dxa" w:w="4896"/>
            <w:vAlign w:val="center"/>
          </w:tcPr>
          <w:p>
            <w:pPr>
              <w:spacing w:after="40"/>
            </w:pPr>
            <w:r>
              <w:rPr>
                <w:sz w:val="16"/>
              </w:rPr>
              <w:t>Required, 13-digit string; preserve leading zero; unique business identifier</w:t>
            </w:r>
          </w:p>
        </w:tc>
      </w:tr>
      <w:tr>
        <w:tc>
          <w:tcPr>
            <w:tcW w:type="dxa" w:w="4896"/>
            <w:vAlign w:val="center"/>
          </w:tcPr>
          <w:p>
            <w:pPr>
              <w:spacing w:after="40"/>
            </w:pPr>
            <w:r>
              <w:rPr>
                <w:sz w:val="16"/>
              </w:rPr>
              <w:t>First Name / Last Name</w:t>
            </w:r>
          </w:p>
        </w:tc>
        <w:tc>
          <w:tcPr>
            <w:tcW w:type="dxa" w:w="4896"/>
            <w:vAlign w:val="center"/>
          </w:tcPr>
          <w:p>
            <w:pPr>
              <w:spacing w:after="40"/>
            </w:pPr>
            <w:r>
              <w:rPr>
                <w:sz w:val="16"/>
              </w:rPr>
              <w:t>Required; trim whitespace; reject missing required values</w:t>
            </w:r>
          </w:p>
        </w:tc>
      </w:tr>
      <w:tr>
        <w:tc>
          <w:tcPr>
            <w:tcW w:type="dxa" w:w="4896"/>
            <w:vAlign w:val="center"/>
          </w:tcPr>
          <w:p>
            <w:pPr>
              <w:spacing w:after="40"/>
            </w:pPr>
            <w:r>
              <w:rPr>
                <w:sz w:val="16"/>
              </w:rPr>
              <w:t>Email / Phone</w:t>
            </w:r>
          </w:p>
        </w:tc>
        <w:tc>
          <w:tcPr>
            <w:tcW w:type="dxa" w:w="4896"/>
            <w:vAlign w:val="center"/>
          </w:tcPr>
          <w:p>
            <w:pPr>
              <w:spacing w:after="40"/>
            </w:pPr>
            <w:r>
              <w:rPr>
                <w:sz w:val="16"/>
              </w:rPr>
              <w:t>Validate when supplied; exact mandatory rules to confirm</w:t>
            </w:r>
          </w:p>
        </w:tc>
      </w:tr>
      <w:tr>
        <w:tc>
          <w:tcPr>
            <w:tcW w:type="dxa" w:w="4896"/>
            <w:vAlign w:val="center"/>
          </w:tcPr>
          <w:p>
            <w:pPr>
              <w:spacing w:after="40"/>
            </w:pPr>
            <w:r>
              <w:rPr>
                <w:sz w:val="16"/>
              </w:rPr>
              <w:t>Consultant Code</w:t>
            </w:r>
          </w:p>
        </w:tc>
        <w:tc>
          <w:tcPr>
            <w:tcW w:type="dxa" w:w="4896"/>
            <w:vAlign w:val="center"/>
          </w:tcPr>
          <w:p>
            <w:pPr>
              <w:spacing w:after="40"/>
            </w:pPr>
            <w:r>
              <w:rPr>
                <w:sz w:val="16"/>
              </w:rPr>
              <w:t>Required stable identifier for consultant matching</w:t>
            </w:r>
          </w:p>
        </w:tc>
      </w:tr>
      <w:tr>
        <w:tc>
          <w:tcPr>
            <w:tcW w:type="dxa" w:w="4896"/>
            <w:vAlign w:val="center"/>
          </w:tcPr>
          <w:p>
            <w:pPr>
              <w:spacing w:after="40"/>
            </w:pPr>
            <w:r>
              <w:rPr>
                <w:sz w:val="16"/>
              </w:rPr>
              <w:t>Consultant Name</w:t>
            </w:r>
          </w:p>
        </w:tc>
        <w:tc>
          <w:tcPr>
            <w:tcW w:type="dxa" w:w="4896"/>
            <w:vAlign w:val="center"/>
          </w:tcPr>
          <w:p>
            <w:pPr>
              <w:spacing w:after="40"/>
            </w:pPr>
            <w:r>
              <w:rPr>
                <w:sz w:val="16"/>
              </w:rPr>
              <w:t>Used for display and mismatch review; not a unique key</w:t>
            </w:r>
          </w:p>
        </w:tc>
      </w:tr>
      <w:tr>
        <w:tc>
          <w:tcPr>
            <w:tcW w:type="dxa" w:w="4896"/>
            <w:vAlign w:val="center"/>
          </w:tcPr>
          <w:p>
            <w:pPr>
              <w:spacing w:after="40"/>
            </w:pPr>
            <w:r>
              <w:rPr>
                <w:sz w:val="16"/>
              </w:rPr>
              <w:t>Case data / Status</w:t>
            </w:r>
          </w:p>
        </w:tc>
        <w:tc>
          <w:tcPr>
            <w:tcW w:type="dxa" w:w="4896"/>
            <w:vAlign w:val="center"/>
          </w:tcPr>
          <w:p>
            <w:pPr>
              <w:spacing w:after="40"/>
            </w:pPr>
            <w:r>
              <w:rPr>
                <w:sz w:val="16"/>
              </w:rPr>
              <w:t>Only import if present and approved in final mapping</w:t>
            </w:r>
          </w:p>
        </w:tc>
      </w:tr>
    </w:tbl>
    <w:p>
      <w:pPr>
        <w:pStyle w:val="Heading1"/>
      </w:pPr>
      <w:r>
        <w:t>6.1 Import workflow</w:t>
      </w:r>
    </w:p>
    <w:p>
      <w:pPr>
        <w:pStyle w:val="ListBullet"/>
      </w:pPr>
      <w:r>
        <w:t>Upload: authenticate and authorize operator; enforce file size/type limits; reject encrypted, corrupt or unexpected workbook structures.</w:t>
      </w:r>
    </w:p>
    <w:p>
      <w:pPr>
        <w:pStyle w:val="ListBullet"/>
      </w:pPr>
      <w:r>
        <w:t>Parse: inspect the designated worksheet, normalize whitespace, preserve ID numbers as strings, reject formula-driven identity values unless a safe policy is defined.</w:t>
      </w:r>
    </w:p>
    <w:p>
      <w:pPr>
        <w:pStyle w:val="ListBullet"/>
      </w:pPr>
      <w:r>
        <w:t>Validate: verify headers, required values, ID format/checksum policy, consultant codes, duplicates and conflicting assignments.</w:t>
      </w:r>
    </w:p>
    <w:p>
      <w:pPr>
        <w:pStyle w:val="ListBullet"/>
      </w:pPr>
      <w:r>
        <w:t>Preview: show counts for new, updated, unchanged, invalid and conflict rows; never expose full ID numbers in broad error reports.</w:t>
      </w:r>
    </w:p>
    <w:p>
      <w:pPr>
        <w:pStyle w:val="ListBullet"/>
      </w:pPr>
      <w:r>
        <w:t>Confirm: bind preview to the exact uploaded file and operator; apply approved changes with transactions and database constraints.</w:t>
      </w:r>
    </w:p>
    <w:p>
      <w:pPr>
        <w:pStyle w:val="ListBullet"/>
      </w:pPr>
      <w:r>
        <w:t>Report: return counts and row-specific actionable errors; retain only necessary import metadata and secure temporary files.</w:t>
      </w:r>
    </w:p>
    <w:p>
      <w:pPr>
        <w:pStyle w:val="Heading1"/>
      </w:pPr>
      <w:r>
        <w:t>6.2 Import conflict rules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Scenario</w:t>
            </w:r>
          </w:p>
        </w:tc>
        <w:tc>
          <w:tcPr>
            <w:tcW w:type="dxa" w:w="4896"/>
            <w:vAlign w:val="center"/>
          </w:tcPr>
          <w:p>
            <w:pPr>
              <w:spacing w:after="40"/>
            </w:pPr>
            <w:r>
              <w:rPr>
                <w:sz w:val="16"/>
              </w:rPr>
              <w:t>Expected behavior</w:t>
            </w:r>
          </w:p>
        </w:tc>
      </w:tr>
      <w:tr>
        <w:tc>
          <w:tcPr>
            <w:tcW w:type="dxa" w:w="4896"/>
            <w:vAlign w:val="center"/>
          </w:tcPr>
          <w:p>
            <w:pPr>
              <w:spacing w:after="40"/>
            </w:pPr>
            <w:r>
              <w:rPr>
                <w:sz w:val="16"/>
              </w:rPr>
              <w:t>New valid ID and known active consultant</w:t>
            </w:r>
          </w:p>
        </w:tc>
        <w:tc>
          <w:tcPr>
            <w:tcW w:type="dxa" w:w="4896"/>
            <w:vAlign w:val="center"/>
          </w:tcPr>
          <w:p>
            <w:pPr>
              <w:spacing w:after="40"/>
            </w:pPr>
            <w:r>
              <w:rPr>
                <w:sz w:val="16"/>
              </w:rPr>
              <w:t>Create client and assignment</w:t>
            </w:r>
          </w:p>
        </w:tc>
      </w:tr>
      <w:tr>
        <w:tc>
          <w:tcPr>
            <w:tcW w:type="dxa" w:w="4896"/>
            <w:vAlign w:val="center"/>
          </w:tcPr>
          <w:p>
            <w:pPr>
              <w:spacing w:after="40"/>
            </w:pPr>
            <w:r>
              <w:rPr>
                <w:sz w:val="16"/>
              </w:rPr>
              <w:t>Existing ID with same consultant</w:t>
            </w:r>
          </w:p>
        </w:tc>
        <w:tc>
          <w:tcPr>
            <w:tcW w:type="dxa" w:w="4896"/>
            <w:vAlign w:val="center"/>
          </w:tcPr>
          <w:p>
            <w:pPr>
              <w:spacing w:after="40"/>
            </w:pPr>
            <w:r>
              <w:rPr>
                <w:sz w:val="16"/>
              </w:rPr>
              <w:t>Show unchanged or approved field updates</w:t>
            </w:r>
          </w:p>
        </w:tc>
      </w:tr>
      <w:tr>
        <w:tc>
          <w:tcPr>
            <w:tcW w:type="dxa" w:w="4896"/>
            <w:vAlign w:val="center"/>
          </w:tcPr>
          <w:p>
            <w:pPr>
              <w:spacing w:after="40"/>
            </w:pPr>
            <w:r>
              <w:rPr>
                <w:sz w:val="16"/>
              </w:rPr>
              <w:t>Existing ID with different consultant</w:t>
            </w:r>
          </w:p>
        </w:tc>
        <w:tc>
          <w:tcPr>
            <w:tcW w:type="dxa" w:w="4896"/>
            <w:vAlign w:val="center"/>
          </w:tcPr>
          <w:p>
            <w:pPr>
              <w:spacing w:after="40"/>
            </w:pPr>
            <w:r>
              <w:rPr>
                <w:sz w:val="16"/>
              </w:rPr>
              <w:t>Flag conflict; do not silently overwrite manager-approved assignment</w:t>
            </w:r>
          </w:p>
        </w:tc>
      </w:tr>
      <w:tr>
        <w:tc>
          <w:tcPr>
            <w:tcW w:type="dxa" w:w="4896"/>
            <w:vAlign w:val="center"/>
          </w:tcPr>
          <w:p>
            <w:pPr>
              <w:spacing w:after="40"/>
            </w:pPr>
            <w:r>
              <w:rPr>
                <w:sz w:val="16"/>
              </w:rPr>
              <w:t>Duplicate ID within spreadsheet</w:t>
            </w:r>
          </w:p>
        </w:tc>
        <w:tc>
          <w:tcPr>
            <w:tcW w:type="dxa" w:w="4896"/>
            <w:vAlign w:val="center"/>
          </w:tcPr>
          <w:p>
            <w:pPr>
              <w:spacing w:after="40"/>
            </w:pPr>
            <w:r>
              <w:rPr>
                <w:sz w:val="16"/>
              </w:rPr>
              <w:t>Flag duplicates; no ambiguous automatic overwrite</w:t>
            </w:r>
          </w:p>
        </w:tc>
      </w:tr>
      <w:tr>
        <w:tc>
          <w:tcPr>
            <w:tcW w:type="dxa" w:w="4896"/>
            <w:vAlign w:val="center"/>
          </w:tcPr>
          <w:p>
            <w:pPr>
              <w:spacing w:after="40"/>
            </w:pPr>
            <w:r>
              <w:rPr>
                <w:sz w:val="16"/>
              </w:rPr>
              <w:t>Unknown consultant code</w:t>
            </w:r>
          </w:p>
        </w:tc>
        <w:tc>
          <w:tcPr>
            <w:tcW w:type="dxa" w:w="4896"/>
            <w:vAlign w:val="center"/>
          </w:tcPr>
          <w:p>
            <w:pPr>
              <w:spacing w:after="40"/>
            </w:pPr>
            <w:r>
              <w:rPr>
                <w:sz w:val="16"/>
              </w:rPr>
              <w:t>Reject or queue for manager review; no guessing by name</w:t>
            </w:r>
          </w:p>
        </w:tc>
      </w:tr>
      <w:tr>
        <w:tc>
          <w:tcPr>
            <w:tcW w:type="dxa" w:w="4896"/>
            <w:vAlign w:val="center"/>
          </w:tcPr>
          <w:p>
            <w:pPr>
              <w:spacing w:after="40"/>
            </w:pPr>
            <w:r>
              <w:rPr>
                <w:sz w:val="16"/>
              </w:rPr>
              <w:t>Inactive/suspended consultant</w:t>
            </w:r>
          </w:p>
        </w:tc>
        <w:tc>
          <w:tcPr>
            <w:tcW w:type="dxa" w:w="4896"/>
            <w:vAlign w:val="center"/>
          </w:tcPr>
          <w:p>
            <w:pPr>
              <w:spacing w:after="40"/>
            </w:pPr>
            <w:r>
              <w:rPr>
                <w:sz w:val="16"/>
              </w:rPr>
              <w:t>Block new assignment</w:t>
            </w:r>
          </w:p>
        </w:tc>
      </w:tr>
      <w:tr>
        <w:tc>
          <w:tcPr>
            <w:tcW w:type="dxa" w:w="4896"/>
            <w:vAlign w:val="center"/>
          </w:tcPr>
          <w:p>
            <w:pPr>
              <w:spacing w:after="40"/>
            </w:pPr>
            <w:r>
              <w:rPr>
                <w:sz w:val="16"/>
              </w:rPr>
              <w:t>Invalid or missing ID</w:t>
            </w:r>
          </w:p>
        </w:tc>
        <w:tc>
          <w:tcPr>
            <w:tcW w:type="dxa" w:w="4896"/>
            <w:vAlign w:val="center"/>
          </w:tcPr>
          <w:p>
            <w:pPr>
              <w:spacing w:after="40"/>
            </w:pPr>
            <w:r>
              <w:rPr>
                <w:sz w:val="16"/>
              </w:rPr>
              <w:t>Reject row for correction</w:t>
            </w:r>
          </w:p>
        </w:tc>
      </w:tr>
      <w:tr>
        <w:tc>
          <w:tcPr>
            <w:tcW w:type="dxa" w:w="4896"/>
            <w:vAlign w:val="center"/>
          </w:tcPr>
          <w:p>
            <w:pPr>
              <w:spacing w:after="40"/>
            </w:pPr>
            <w:r>
              <w:rPr>
                <w:sz w:val="16"/>
              </w:rPr>
              <w:t>Partial failure</w:t>
            </w:r>
          </w:p>
        </w:tc>
        <w:tc>
          <w:tcPr>
            <w:tcW w:type="dxa" w:w="4896"/>
            <w:vAlign w:val="center"/>
          </w:tcPr>
          <w:p>
            <w:pPr>
              <w:spacing w:after="40"/>
            </w:pPr>
            <w:r>
              <w:rPr>
                <w:sz w:val="16"/>
              </w:rPr>
              <w:t>Use documented atomicity policy; default safe staged validation and transactional commit</w:t>
            </w:r>
          </w:p>
        </w:tc>
      </w:tr>
    </w:tbl>
    <w:p>
      <w:pPr>
        <w:pStyle w:val="Heading1"/>
      </w:pPr>
      <w:r>
        <w:t>7. Consultant lifecycle and reassignment</w:t>
      </w:r>
    </w:p>
    <w:p>
      <w:r>
        <w:t>Consultants have ACTIVE, INACTIVE and SUSPENDED states. Only ACTIVE consultants may receive new assignments. INACTIVE and SUSPENDED accounts lose application access promptly. Historical client work remains attributable to its original author.</w:t>
      </w:r>
    </w:p>
    <w:p>
      <w:pPr>
        <w:pStyle w:val="ListBullet"/>
      </w:pPr>
      <w:r>
        <w:t>Manager/Admin chooses source consultant, one or more clients, destination ACTIVE consultant and transfer reason.</w:t>
      </w:r>
    </w:p>
    <w:p>
      <w:pPr>
        <w:pStyle w:val="ListBullet"/>
      </w:pPr>
      <w:r>
        <w:t>Backend verifies authorization, client ownership, destination status and concurrent changes before commit.</w:t>
      </w:r>
    </w:p>
    <w:p>
      <w:pPr>
        <w:pStyle w:val="ListBullet"/>
      </w:pPr>
      <w:r>
        <w:t>Transfer updates the current assignment and inserts immutable assignment-history records in the same transaction.</w:t>
      </w:r>
    </w:p>
    <w:p>
      <w:pPr>
        <w:pStyle w:val="ListBullet"/>
      </w:pPr>
      <w:r>
        <w:t>Client cases, notes, attachments and audit trails remain linked to the client and are never reset.</w:t>
      </w:r>
    </w:p>
    <w:p>
      <w:pPr>
        <w:pStyle w:val="ListBullet"/>
      </w:pPr>
      <w:r>
        <w:t>Departing consultants are deactivated; unassigned clients are highlighted for manager follow-up. No automatic distribution.</w:t>
      </w:r>
    </w:p>
    <w:p>
      <w:pPr>
        <w:pStyle w:val="Heading1"/>
      </w:pPr>
      <w:r>
        <w:t>8. Data model</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Entity/table</w:t>
            </w:r>
          </w:p>
        </w:tc>
        <w:tc>
          <w:tcPr>
            <w:tcW w:type="dxa" w:w="4896"/>
            <w:vAlign w:val="center"/>
          </w:tcPr>
          <w:p>
            <w:pPr>
              <w:spacing w:after="40"/>
            </w:pPr>
            <w:r>
              <w:rPr>
                <w:sz w:val="16"/>
              </w:rPr>
              <w:t>Important fields / relationships</w:t>
            </w:r>
          </w:p>
        </w:tc>
      </w:tr>
      <w:tr>
        <w:tc>
          <w:tcPr>
            <w:tcW w:type="dxa" w:w="4896"/>
            <w:vAlign w:val="center"/>
          </w:tcPr>
          <w:p>
            <w:pPr>
              <w:spacing w:after="40"/>
            </w:pPr>
            <w:r>
              <w:rPr>
                <w:sz w:val="16"/>
              </w:rPr>
              <w:t>users</w:t>
            </w:r>
          </w:p>
        </w:tc>
        <w:tc>
          <w:tcPr>
            <w:tcW w:type="dxa" w:w="4896"/>
            <w:vAlign w:val="center"/>
          </w:tcPr>
          <w:p>
            <w:pPr>
              <w:spacing w:after="40"/>
            </w:pPr>
            <w:r>
              <w:rPr>
                <w:sz w:val="16"/>
              </w:rPr>
              <w:t>id, username/email, password_hash, enabled, role(s), linked_consultant_id</w:t>
            </w:r>
          </w:p>
        </w:tc>
      </w:tr>
      <w:tr>
        <w:tc>
          <w:tcPr>
            <w:tcW w:type="dxa" w:w="4896"/>
            <w:vAlign w:val="center"/>
          </w:tcPr>
          <w:p>
            <w:pPr>
              <w:spacing w:after="40"/>
            </w:pPr>
            <w:r>
              <w:rPr>
                <w:sz w:val="16"/>
              </w:rPr>
              <w:t>roles</w:t>
            </w:r>
          </w:p>
        </w:tc>
        <w:tc>
          <w:tcPr>
            <w:tcW w:type="dxa" w:w="4896"/>
            <w:vAlign w:val="center"/>
          </w:tcPr>
          <w:p>
            <w:pPr>
              <w:spacing w:after="40"/>
            </w:pPr>
            <w:r>
              <w:rPr>
                <w:sz w:val="16"/>
              </w:rPr>
              <w:t>id, role_name; optional role_permission mapping</w:t>
            </w:r>
          </w:p>
        </w:tc>
      </w:tr>
      <w:tr>
        <w:tc>
          <w:tcPr>
            <w:tcW w:type="dxa" w:w="4896"/>
            <w:vAlign w:val="center"/>
          </w:tcPr>
          <w:p>
            <w:pPr>
              <w:spacing w:after="40"/>
            </w:pPr>
            <w:r>
              <w:rPr>
                <w:sz w:val="16"/>
              </w:rPr>
              <w:t>consultants</w:t>
            </w:r>
          </w:p>
        </w:tc>
        <w:tc>
          <w:tcPr>
            <w:tcW w:type="dxa" w:w="4896"/>
            <w:vAlign w:val="center"/>
          </w:tcPr>
          <w:p>
            <w:pPr>
              <w:spacing w:after="40"/>
            </w:pPr>
            <w:r>
              <w:rPr>
                <w:sz w:val="16"/>
              </w:rPr>
              <w:t>id, consultant_code UNIQUE, name, status, created_at</w:t>
            </w:r>
          </w:p>
        </w:tc>
      </w:tr>
      <w:tr>
        <w:tc>
          <w:tcPr>
            <w:tcW w:type="dxa" w:w="4896"/>
            <w:vAlign w:val="center"/>
          </w:tcPr>
          <w:p>
            <w:pPr>
              <w:spacing w:after="40"/>
            </w:pPr>
            <w:r>
              <w:rPr>
                <w:sz w:val="16"/>
              </w:rPr>
              <w:t>clients</w:t>
            </w:r>
          </w:p>
        </w:tc>
        <w:tc>
          <w:tcPr>
            <w:tcW w:type="dxa" w:w="4896"/>
            <w:vAlign w:val="center"/>
          </w:tcPr>
          <w:p>
            <w:pPr>
              <w:spacing w:after="40"/>
            </w:pPr>
            <w:r>
              <w:rPr>
                <w:sz w:val="16"/>
              </w:rPr>
              <w:t>id internal PK, id_number protected + unique lookup key, names, current_consultant_id, created_at</w:t>
            </w:r>
          </w:p>
        </w:tc>
      </w:tr>
      <w:tr>
        <w:tc>
          <w:tcPr>
            <w:tcW w:type="dxa" w:w="4896"/>
            <w:vAlign w:val="center"/>
          </w:tcPr>
          <w:p>
            <w:pPr>
              <w:spacing w:after="40"/>
            </w:pPr>
            <w:r>
              <w:rPr>
                <w:sz w:val="16"/>
              </w:rPr>
              <w:t>credit_cases</w:t>
            </w:r>
          </w:p>
        </w:tc>
        <w:tc>
          <w:tcPr>
            <w:tcW w:type="dxa" w:w="4896"/>
            <w:vAlign w:val="center"/>
          </w:tcPr>
          <w:p>
            <w:pPr>
              <w:spacing w:after="40"/>
            </w:pPr>
            <w:r>
              <w:rPr>
                <w:sz w:val="16"/>
              </w:rPr>
              <w:t>id, client_id FK, status, opened_at, closed_at, created_by</w:t>
            </w:r>
          </w:p>
        </w:tc>
      </w:tr>
      <w:tr>
        <w:tc>
          <w:tcPr>
            <w:tcW w:type="dxa" w:w="4896"/>
            <w:vAlign w:val="center"/>
          </w:tcPr>
          <w:p>
            <w:pPr>
              <w:spacing w:after="40"/>
            </w:pPr>
            <w:r>
              <w:rPr>
                <w:sz w:val="16"/>
              </w:rPr>
              <w:t>case_notes</w:t>
            </w:r>
          </w:p>
        </w:tc>
        <w:tc>
          <w:tcPr>
            <w:tcW w:type="dxa" w:w="4896"/>
            <w:vAlign w:val="center"/>
          </w:tcPr>
          <w:p>
            <w:pPr>
              <w:spacing w:after="40"/>
            </w:pPr>
            <w:r>
              <w:rPr>
                <w:sz w:val="16"/>
              </w:rPr>
              <w:t>id, case_id FK, author_user_id, note, created_at</w:t>
            </w:r>
          </w:p>
        </w:tc>
      </w:tr>
      <w:tr>
        <w:tc>
          <w:tcPr>
            <w:tcW w:type="dxa" w:w="4896"/>
            <w:vAlign w:val="center"/>
          </w:tcPr>
          <w:p>
            <w:pPr>
              <w:spacing w:after="40"/>
            </w:pPr>
            <w:r>
              <w:rPr>
                <w:sz w:val="16"/>
              </w:rPr>
              <w:t>client_assignment_history</w:t>
            </w:r>
          </w:p>
        </w:tc>
        <w:tc>
          <w:tcPr>
            <w:tcW w:type="dxa" w:w="4896"/>
            <w:vAlign w:val="center"/>
          </w:tcPr>
          <w:p>
            <w:pPr>
              <w:spacing w:after="40"/>
            </w:pPr>
            <w:r>
              <w:rPr>
                <w:sz w:val="16"/>
              </w:rPr>
              <w:t>id, client_id, from_consultant_id, to_consultant_id, changed_by, reason, changed_at</w:t>
            </w:r>
          </w:p>
        </w:tc>
      </w:tr>
      <w:tr>
        <w:tc>
          <w:tcPr>
            <w:tcW w:type="dxa" w:w="4896"/>
            <w:vAlign w:val="center"/>
          </w:tcPr>
          <w:p>
            <w:pPr>
              <w:spacing w:after="40"/>
            </w:pPr>
            <w:r>
              <w:rPr>
                <w:sz w:val="16"/>
              </w:rPr>
              <w:t>import_jobs</w:t>
            </w:r>
          </w:p>
        </w:tc>
        <w:tc>
          <w:tcPr>
            <w:tcW w:type="dxa" w:w="4896"/>
            <w:vAlign w:val="center"/>
          </w:tcPr>
          <w:p>
            <w:pPr>
              <w:spacing w:after="40"/>
            </w:pPr>
            <w:r>
              <w:rPr>
                <w:sz w:val="16"/>
              </w:rPr>
              <w:t>id, file_digest, uploader_id, state, counts, timestamps</w:t>
            </w:r>
          </w:p>
        </w:tc>
      </w:tr>
      <w:tr>
        <w:tc>
          <w:tcPr>
            <w:tcW w:type="dxa" w:w="4896"/>
            <w:vAlign w:val="center"/>
          </w:tcPr>
          <w:p>
            <w:pPr>
              <w:spacing w:after="40"/>
            </w:pPr>
            <w:r>
              <w:rPr>
                <w:sz w:val="16"/>
              </w:rPr>
              <w:t>import_errors</w:t>
            </w:r>
          </w:p>
        </w:tc>
        <w:tc>
          <w:tcPr>
            <w:tcW w:type="dxa" w:w="4896"/>
            <w:vAlign w:val="center"/>
          </w:tcPr>
          <w:p>
            <w:pPr>
              <w:spacing w:after="40"/>
            </w:pPr>
            <w:r>
              <w:rPr>
                <w:sz w:val="16"/>
              </w:rPr>
              <w:t>id, import_job_id, row_number, field_name, error_code, safe_message</w:t>
            </w:r>
          </w:p>
        </w:tc>
      </w:tr>
      <w:tr>
        <w:tc>
          <w:tcPr>
            <w:tcW w:type="dxa" w:w="4896"/>
            <w:vAlign w:val="center"/>
          </w:tcPr>
          <w:p>
            <w:pPr>
              <w:spacing w:after="40"/>
            </w:pPr>
            <w:r>
              <w:rPr>
                <w:sz w:val="16"/>
              </w:rPr>
              <w:t>audit_logs</w:t>
            </w:r>
          </w:p>
        </w:tc>
        <w:tc>
          <w:tcPr>
            <w:tcW w:type="dxa" w:w="4896"/>
            <w:vAlign w:val="center"/>
          </w:tcPr>
          <w:p>
            <w:pPr>
              <w:spacing w:after="40"/>
            </w:pPr>
            <w:r>
              <w:rPr>
                <w:sz w:val="16"/>
              </w:rPr>
              <w:t>id, actor_id, action, target_type/id, timestamp, safe metadata</w:t>
            </w:r>
          </w:p>
        </w:tc>
      </w:tr>
      <w:tr>
        <w:tc>
          <w:tcPr>
            <w:tcW w:type="dxa" w:w="4896"/>
            <w:vAlign w:val="center"/>
          </w:tcPr>
          <w:p>
            <w:pPr>
              <w:spacing w:after="40"/>
            </w:pPr>
            <w:r>
              <w:rPr>
                <w:sz w:val="16"/>
              </w:rPr>
              <w:t>documents (future)</w:t>
            </w:r>
          </w:p>
        </w:tc>
        <w:tc>
          <w:tcPr>
            <w:tcW w:type="dxa" w:w="4896"/>
            <w:vAlign w:val="center"/>
          </w:tcPr>
          <w:p>
            <w:pPr>
              <w:spacing w:after="40"/>
            </w:pPr>
            <w:r>
              <w:rPr>
                <w:sz w:val="16"/>
              </w:rPr>
              <w:t>id, client/case reference, object key, classification, uploader</w:t>
            </w:r>
          </w:p>
        </w:tc>
      </w:tr>
    </w:tbl>
    <w:p>
      <w:r>
        <w:t>Store an internal numeric primary key for relational joins. Because full ID numbers must be retrievable, prefer application-managed encryption of ID numbers plus a separate keyed HMAC lookup token with a unique database index. The cryptographic design and key rotation must be reviewed by IT/security. Never use the ID number as a password or log field.</w:t>
      </w:r>
    </w:p>
    <w:p>
      <w:pPr>
        <w:pStyle w:val="Heading1"/>
      </w:pPr>
      <w:r>
        <w:t>9. API design (proposed)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sz w:val="16"/>
              </w:rPr>
              <w:t>Method / route</w:t>
            </w:r>
          </w:p>
        </w:tc>
        <w:tc>
          <w:tcPr>
            <w:tcW w:type="dxa" w:w="3264"/>
            <w:vAlign w:val="center"/>
          </w:tcPr>
          <w:p>
            <w:pPr>
              <w:spacing w:after="40"/>
            </w:pPr>
            <w:r>
              <w:rPr>
                <w:sz w:val="16"/>
              </w:rPr>
              <w:t>Purpose</w:t>
            </w:r>
          </w:p>
        </w:tc>
        <w:tc>
          <w:tcPr>
            <w:tcW w:type="dxa" w:w="3264"/>
            <w:vAlign w:val="center"/>
          </w:tcPr>
          <w:p>
            <w:pPr>
              <w:spacing w:after="40"/>
            </w:pPr>
            <w:r>
              <w:rPr>
                <w:sz w:val="16"/>
              </w:rPr>
              <w:t>Access</w:t>
            </w:r>
          </w:p>
        </w:tc>
      </w:tr>
      <w:tr>
        <w:tc>
          <w:tcPr>
            <w:tcW w:type="dxa" w:w="3264"/>
            <w:vAlign w:val="center"/>
          </w:tcPr>
          <w:p>
            <w:pPr>
              <w:spacing w:after="40"/>
            </w:pPr>
            <w:r>
              <w:rPr>
                <w:sz w:val="16"/>
              </w:rPr>
              <w:t>POST /api/auth/login</w:t>
            </w:r>
          </w:p>
        </w:tc>
        <w:tc>
          <w:tcPr>
            <w:tcW w:type="dxa" w:w="3264"/>
            <w:vAlign w:val="center"/>
          </w:tcPr>
          <w:p>
            <w:pPr>
              <w:spacing w:after="40"/>
            </w:pPr>
            <w:r>
              <w:rPr>
                <w:sz w:val="16"/>
              </w:rPr>
              <w:t>Sign in</w:t>
            </w:r>
          </w:p>
        </w:tc>
        <w:tc>
          <w:tcPr>
            <w:tcW w:type="dxa" w:w="3264"/>
            <w:vAlign w:val="center"/>
          </w:tcPr>
          <w:p>
            <w:pPr>
              <w:spacing w:after="40"/>
            </w:pPr>
            <w:r>
              <w:rPr>
                <w:sz w:val="16"/>
              </w:rPr>
              <w:t>Public with rate limiting</w:t>
            </w:r>
          </w:p>
        </w:tc>
      </w:tr>
      <w:tr>
        <w:tc>
          <w:tcPr>
            <w:tcW w:type="dxa" w:w="3264"/>
            <w:vAlign w:val="center"/>
          </w:tcPr>
          <w:p>
            <w:pPr>
              <w:spacing w:after="40"/>
            </w:pPr>
            <w:r>
              <w:rPr>
                <w:sz w:val="16"/>
              </w:rPr>
              <w:t>GET /api/clients</w:t>
            </w:r>
          </w:p>
        </w:tc>
        <w:tc>
          <w:tcPr>
            <w:tcW w:type="dxa" w:w="3264"/>
            <w:vAlign w:val="center"/>
          </w:tcPr>
          <w:p>
            <w:pPr>
              <w:spacing w:after="40"/>
            </w:pPr>
            <w:r>
              <w:rPr>
                <w:sz w:val="16"/>
              </w:rPr>
              <w:t>Paged authorized client list</w:t>
            </w:r>
          </w:p>
        </w:tc>
        <w:tc>
          <w:tcPr>
            <w:tcW w:type="dxa" w:w="3264"/>
            <w:vAlign w:val="center"/>
          </w:tcPr>
          <w:p>
            <w:pPr>
              <w:spacing w:after="40"/>
            </w:pPr>
            <w:r>
              <w:rPr>
                <w:sz w:val="16"/>
              </w:rPr>
              <w:t>All authenticated, scoped</w:t>
            </w:r>
          </w:p>
        </w:tc>
      </w:tr>
      <w:tr>
        <w:tc>
          <w:tcPr>
            <w:tcW w:type="dxa" w:w="3264"/>
            <w:vAlign w:val="center"/>
          </w:tcPr>
          <w:p>
            <w:pPr>
              <w:spacing w:after="40"/>
            </w:pPr>
            <w:r>
              <w:rPr>
                <w:sz w:val="16"/>
              </w:rPr>
              <w:t>GET /api/clients/{id}</w:t>
            </w:r>
          </w:p>
        </w:tc>
        <w:tc>
          <w:tcPr>
            <w:tcW w:type="dxa" w:w="3264"/>
            <w:vAlign w:val="center"/>
          </w:tcPr>
          <w:p>
            <w:pPr>
              <w:spacing w:after="40"/>
            </w:pPr>
            <w:r>
              <w:rPr>
                <w:sz w:val="16"/>
              </w:rPr>
              <w:t>Client details incl. full ID when authorized</w:t>
            </w:r>
          </w:p>
        </w:tc>
        <w:tc>
          <w:tcPr>
            <w:tcW w:type="dxa" w:w="3264"/>
            <w:vAlign w:val="center"/>
          </w:tcPr>
          <w:p>
            <w:pPr>
              <w:spacing w:after="40"/>
            </w:pPr>
            <w:r>
              <w:rPr>
                <w:sz w:val="16"/>
              </w:rPr>
              <w:t>Scoped</w:t>
            </w:r>
          </w:p>
        </w:tc>
      </w:tr>
      <w:tr>
        <w:tc>
          <w:tcPr>
            <w:tcW w:type="dxa" w:w="3264"/>
            <w:vAlign w:val="center"/>
          </w:tcPr>
          <w:p>
            <w:pPr>
              <w:spacing w:after="40"/>
            </w:pPr>
            <w:r>
              <w:rPr>
                <w:sz w:val="16"/>
              </w:rPr>
              <w:t>POST /api/clients</w:t>
            </w:r>
          </w:p>
        </w:tc>
        <w:tc>
          <w:tcPr>
            <w:tcW w:type="dxa" w:w="3264"/>
            <w:vAlign w:val="center"/>
          </w:tcPr>
          <w:p>
            <w:pPr>
              <w:spacing w:after="40"/>
            </w:pPr>
            <w:r>
              <w:rPr>
                <w:sz w:val="16"/>
              </w:rPr>
              <w:t>Create client</w:t>
            </w:r>
          </w:p>
        </w:tc>
        <w:tc>
          <w:tcPr>
            <w:tcW w:type="dxa" w:w="3264"/>
            <w:vAlign w:val="center"/>
          </w:tcPr>
          <w:p>
            <w:pPr>
              <w:spacing w:after="40"/>
            </w:pPr>
            <w:r>
              <w:rPr>
                <w:sz w:val="16"/>
              </w:rPr>
              <w:t>Authorized consultant/manager/admin</w:t>
            </w:r>
          </w:p>
        </w:tc>
      </w:tr>
      <w:tr>
        <w:tc>
          <w:tcPr>
            <w:tcW w:type="dxa" w:w="3264"/>
            <w:vAlign w:val="center"/>
          </w:tcPr>
          <w:p>
            <w:pPr>
              <w:spacing w:after="40"/>
            </w:pPr>
            <w:r>
              <w:rPr>
                <w:sz w:val="16"/>
              </w:rPr>
              <w:t>PATCH /api/clients/{id}</w:t>
            </w:r>
          </w:p>
        </w:tc>
        <w:tc>
          <w:tcPr>
            <w:tcW w:type="dxa" w:w="3264"/>
            <w:vAlign w:val="center"/>
          </w:tcPr>
          <w:p>
            <w:pPr>
              <w:spacing w:after="40"/>
            </w:pPr>
            <w:r>
              <w:rPr>
                <w:sz w:val="16"/>
              </w:rPr>
              <w:t>Update approved client fields</w:t>
            </w:r>
          </w:p>
        </w:tc>
        <w:tc>
          <w:tcPr>
            <w:tcW w:type="dxa" w:w="3264"/>
            <w:vAlign w:val="center"/>
          </w:tcPr>
          <w:p>
            <w:pPr>
              <w:spacing w:after="40"/>
            </w:pPr>
            <w:r>
              <w:rPr>
                <w:sz w:val="16"/>
              </w:rPr>
              <w:t>Scoped</w:t>
            </w:r>
          </w:p>
        </w:tc>
      </w:tr>
      <w:tr>
        <w:tc>
          <w:tcPr>
            <w:tcW w:type="dxa" w:w="3264"/>
            <w:vAlign w:val="center"/>
          </w:tcPr>
          <w:p>
            <w:pPr>
              <w:spacing w:after="40"/>
            </w:pPr>
            <w:r>
              <w:rPr>
                <w:sz w:val="16"/>
              </w:rPr>
              <w:t>GET /api/consultants</w:t>
            </w:r>
          </w:p>
        </w:tc>
        <w:tc>
          <w:tcPr>
            <w:tcW w:type="dxa" w:w="3264"/>
            <w:vAlign w:val="center"/>
          </w:tcPr>
          <w:p>
            <w:pPr>
              <w:spacing w:after="40"/>
            </w:pPr>
            <w:r>
              <w:rPr>
                <w:sz w:val="16"/>
              </w:rPr>
              <w:t>List consultants</w:t>
            </w:r>
          </w:p>
        </w:tc>
        <w:tc>
          <w:tcPr>
            <w:tcW w:type="dxa" w:w="3264"/>
            <w:vAlign w:val="center"/>
          </w:tcPr>
          <w:p>
            <w:pPr>
              <w:spacing w:after="40"/>
            </w:pPr>
            <w:r>
              <w:rPr>
                <w:sz w:val="16"/>
              </w:rPr>
              <w:t>Authorized</w:t>
            </w:r>
          </w:p>
        </w:tc>
      </w:tr>
      <w:tr>
        <w:tc>
          <w:tcPr>
            <w:tcW w:type="dxa" w:w="3264"/>
            <w:vAlign w:val="center"/>
          </w:tcPr>
          <w:p>
            <w:pPr>
              <w:spacing w:after="40"/>
            </w:pPr>
            <w:r>
              <w:rPr>
                <w:sz w:val="16"/>
              </w:rPr>
              <w:t>PATCH /api/consultants/{id}/status</w:t>
            </w:r>
          </w:p>
        </w:tc>
        <w:tc>
          <w:tcPr>
            <w:tcW w:type="dxa" w:w="3264"/>
            <w:vAlign w:val="center"/>
          </w:tcPr>
          <w:p>
            <w:pPr>
              <w:spacing w:after="40"/>
            </w:pPr>
            <w:r>
              <w:rPr>
                <w:sz w:val="16"/>
              </w:rPr>
              <w:t>Change consultant status</w:t>
            </w:r>
          </w:p>
        </w:tc>
        <w:tc>
          <w:tcPr>
            <w:tcW w:type="dxa" w:w="3264"/>
            <w:vAlign w:val="center"/>
          </w:tcPr>
          <w:p>
            <w:pPr>
              <w:spacing w:after="40"/>
            </w:pPr>
            <w:r>
              <w:rPr>
                <w:sz w:val="16"/>
              </w:rPr>
              <w:t>Admin</w:t>
            </w:r>
          </w:p>
        </w:tc>
      </w:tr>
      <w:tr>
        <w:tc>
          <w:tcPr>
            <w:tcW w:type="dxa" w:w="3264"/>
            <w:vAlign w:val="center"/>
          </w:tcPr>
          <w:p>
            <w:pPr>
              <w:spacing w:after="40"/>
            </w:pPr>
            <w:r>
              <w:rPr>
                <w:sz w:val="16"/>
              </w:rPr>
              <w:t>POST /api/imports/preview</w:t>
            </w:r>
          </w:p>
        </w:tc>
        <w:tc>
          <w:tcPr>
            <w:tcW w:type="dxa" w:w="3264"/>
            <w:vAlign w:val="center"/>
          </w:tcPr>
          <w:p>
            <w:pPr>
              <w:spacing w:after="40"/>
            </w:pPr>
            <w:r>
              <w:rPr>
                <w:sz w:val="16"/>
              </w:rPr>
              <w:t>Validate workbook and create preview</w:t>
            </w:r>
          </w:p>
        </w:tc>
        <w:tc>
          <w:tcPr>
            <w:tcW w:type="dxa" w:w="3264"/>
            <w:vAlign w:val="center"/>
          </w:tcPr>
          <w:p>
            <w:pPr>
              <w:spacing w:after="40"/>
            </w:pPr>
            <w:r>
              <w:rPr>
                <w:sz w:val="16"/>
              </w:rPr>
              <w:t>Manager/Admin (proposed)</w:t>
            </w:r>
          </w:p>
        </w:tc>
      </w:tr>
      <w:tr>
        <w:tc>
          <w:tcPr>
            <w:tcW w:type="dxa" w:w="3264"/>
            <w:vAlign w:val="center"/>
          </w:tcPr>
          <w:p>
            <w:pPr>
              <w:spacing w:after="40"/>
            </w:pPr>
            <w:r>
              <w:rPr>
                <w:sz w:val="16"/>
              </w:rPr>
              <w:t>POST /api/imports/{id}/confirm</w:t>
            </w:r>
          </w:p>
        </w:tc>
        <w:tc>
          <w:tcPr>
            <w:tcW w:type="dxa" w:w="3264"/>
            <w:vAlign w:val="center"/>
          </w:tcPr>
          <w:p>
            <w:pPr>
              <w:spacing w:after="40"/>
            </w:pPr>
            <w:r>
              <w:rPr>
                <w:sz w:val="16"/>
              </w:rPr>
              <w:t>Commit approved preview</w:t>
            </w:r>
          </w:p>
        </w:tc>
        <w:tc>
          <w:tcPr>
            <w:tcW w:type="dxa" w:w="3264"/>
            <w:vAlign w:val="center"/>
          </w:tcPr>
          <w:p>
            <w:pPr>
              <w:spacing w:after="40"/>
            </w:pPr>
            <w:r>
              <w:rPr>
                <w:sz w:val="16"/>
              </w:rPr>
              <w:t>Manager/Admin (proposed)</w:t>
            </w:r>
          </w:p>
        </w:tc>
      </w:tr>
      <w:tr>
        <w:tc>
          <w:tcPr>
            <w:tcW w:type="dxa" w:w="3264"/>
            <w:vAlign w:val="center"/>
          </w:tcPr>
          <w:p>
            <w:pPr>
              <w:spacing w:after="40"/>
            </w:pPr>
            <w:r>
              <w:rPr>
                <w:sz w:val="16"/>
              </w:rPr>
              <w:t>GET /api/imports/{id}/report</w:t>
            </w:r>
          </w:p>
        </w:tc>
        <w:tc>
          <w:tcPr>
            <w:tcW w:type="dxa" w:w="3264"/>
            <w:vAlign w:val="center"/>
          </w:tcPr>
          <w:p>
            <w:pPr>
              <w:spacing w:after="40"/>
            </w:pPr>
            <w:r>
              <w:rPr>
                <w:sz w:val="16"/>
              </w:rPr>
              <w:t>Retrieve safe import report</w:t>
            </w:r>
          </w:p>
        </w:tc>
        <w:tc>
          <w:tcPr>
            <w:tcW w:type="dxa" w:w="3264"/>
            <w:vAlign w:val="center"/>
          </w:tcPr>
          <w:p>
            <w:pPr>
              <w:spacing w:after="40"/>
            </w:pPr>
            <w:r>
              <w:rPr>
                <w:sz w:val="16"/>
              </w:rPr>
              <w:t>Authorized importer/manager/admin</w:t>
            </w:r>
          </w:p>
        </w:tc>
      </w:tr>
      <w:tr>
        <w:tc>
          <w:tcPr>
            <w:tcW w:type="dxa" w:w="3264"/>
            <w:vAlign w:val="center"/>
          </w:tcPr>
          <w:p>
            <w:pPr>
              <w:spacing w:after="40"/>
            </w:pPr>
            <w:r>
              <w:rPr>
                <w:sz w:val="16"/>
              </w:rPr>
              <w:t>POST /api/client-transfers</w:t>
            </w:r>
          </w:p>
        </w:tc>
        <w:tc>
          <w:tcPr>
            <w:tcW w:type="dxa" w:w="3264"/>
            <w:vAlign w:val="center"/>
          </w:tcPr>
          <w:p>
            <w:pPr>
              <w:spacing w:after="40"/>
            </w:pPr>
            <w:r>
              <w:rPr>
                <w:sz w:val="16"/>
              </w:rPr>
              <w:t>Reassign one or many clients</w:t>
            </w:r>
          </w:p>
        </w:tc>
        <w:tc>
          <w:tcPr>
            <w:tcW w:type="dxa" w:w="3264"/>
            <w:vAlign w:val="center"/>
          </w:tcPr>
          <w:p>
            <w:pPr>
              <w:spacing w:after="40"/>
            </w:pPr>
            <w:r>
              <w:rPr>
                <w:sz w:val="16"/>
              </w:rPr>
              <w:t>Manager/Admin</w:t>
            </w:r>
          </w:p>
        </w:tc>
      </w:tr>
      <w:tr>
        <w:tc>
          <w:tcPr>
            <w:tcW w:type="dxa" w:w="3264"/>
            <w:vAlign w:val="center"/>
          </w:tcPr>
          <w:p>
            <w:pPr>
              <w:spacing w:after="40"/>
            </w:pPr>
            <w:r>
              <w:rPr>
                <w:sz w:val="16"/>
              </w:rPr>
              <w:t>GET /api/clients/{id}/assignments</w:t>
            </w:r>
          </w:p>
        </w:tc>
        <w:tc>
          <w:tcPr>
            <w:tcW w:type="dxa" w:w="3264"/>
            <w:vAlign w:val="center"/>
          </w:tcPr>
          <w:p>
            <w:pPr>
              <w:spacing w:after="40"/>
            </w:pPr>
            <w:r>
              <w:rPr>
                <w:sz w:val="16"/>
              </w:rPr>
              <w:t>Assignment history</w:t>
            </w:r>
          </w:p>
        </w:tc>
        <w:tc>
          <w:tcPr>
            <w:tcW w:type="dxa" w:w="3264"/>
            <w:vAlign w:val="center"/>
          </w:tcPr>
          <w:p>
            <w:pPr>
              <w:spacing w:after="40"/>
            </w:pPr>
            <w:r>
              <w:rPr>
                <w:sz w:val="16"/>
              </w:rPr>
              <w:t>Manager/Admin</w:t>
            </w:r>
          </w:p>
        </w:tc>
      </w:tr>
      <w:tr>
        <w:tc>
          <w:tcPr>
            <w:tcW w:type="dxa" w:w="3264"/>
            <w:vAlign w:val="center"/>
          </w:tcPr>
          <w:p>
            <w:pPr>
              <w:spacing w:after="40"/>
            </w:pPr>
            <w:r>
              <w:rPr>
                <w:sz w:val="16"/>
              </w:rPr>
              <w:t>GET /api/cases</w:t>
            </w:r>
          </w:p>
        </w:tc>
        <w:tc>
          <w:tcPr>
            <w:tcW w:type="dxa" w:w="3264"/>
            <w:vAlign w:val="center"/>
          </w:tcPr>
          <w:p>
            <w:pPr>
              <w:spacing w:after="40"/>
            </w:pPr>
            <w:r>
              <w:rPr>
                <w:sz w:val="16"/>
              </w:rPr>
              <w:t>Case list and filters</w:t>
            </w:r>
          </w:p>
        </w:tc>
        <w:tc>
          <w:tcPr>
            <w:tcW w:type="dxa" w:w="3264"/>
            <w:vAlign w:val="center"/>
          </w:tcPr>
          <w:p>
            <w:pPr>
              <w:spacing w:after="40"/>
            </w:pPr>
            <w:r>
              <w:rPr>
                <w:sz w:val="16"/>
              </w:rPr>
              <w:t>Scoped</w:t>
            </w:r>
          </w:p>
        </w:tc>
      </w:tr>
    </w:tbl>
    <w:p>
      <w:pPr>
        <w:pStyle w:val="Heading1"/>
      </w:pPr>
      <w:r>
        <w:t>10. Backend dependencies — application only</w:t>
      </w:r>
    </w:p>
    <w:p>
      <w:r>
        <w:t>No testing dependencies are included as requested. Final versions should be resolved against the selected supported Spring Boot 4.x release and checked for security advisories before lock-in.</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Maven artifact</w:t>
            </w:r>
          </w:p>
        </w:tc>
        <w:tc>
          <w:tcPr>
            <w:tcW w:type="dxa" w:w="4896"/>
            <w:vAlign w:val="center"/>
          </w:tcPr>
          <w:p>
            <w:pPr>
              <w:spacing w:after="40"/>
            </w:pPr>
            <w:r>
              <w:rPr>
                <w:sz w:val="16"/>
              </w:rPr>
              <w:t>Purpose / phase</w:t>
            </w:r>
          </w:p>
        </w:tc>
      </w:tr>
      <w:tr>
        <w:tc>
          <w:tcPr>
            <w:tcW w:type="dxa" w:w="4896"/>
            <w:vAlign w:val="center"/>
          </w:tcPr>
          <w:p>
            <w:pPr>
              <w:spacing w:after="40"/>
            </w:pPr>
            <w:r>
              <w:rPr>
                <w:sz w:val="16"/>
              </w:rPr>
              <w:t>spring-boot-starter-webmvc</w:t>
            </w:r>
          </w:p>
        </w:tc>
        <w:tc>
          <w:tcPr>
            <w:tcW w:type="dxa" w:w="4896"/>
            <w:vAlign w:val="center"/>
          </w:tcPr>
          <w:p>
            <w:pPr>
              <w:spacing w:after="40"/>
            </w:pPr>
            <w:r>
              <w:rPr>
                <w:sz w:val="16"/>
              </w:rPr>
              <w:t>REST API — initial</w:t>
            </w:r>
          </w:p>
        </w:tc>
      </w:tr>
      <w:tr>
        <w:tc>
          <w:tcPr>
            <w:tcW w:type="dxa" w:w="4896"/>
            <w:vAlign w:val="center"/>
          </w:tcPr>
          <w:p>
            <w:pPr>
              <w:spacing w:after="40"/>
            </w:pPr>
            <w:r>
              <w:rPr>
                <w:sz w:val="16"/>
              </w:rPr>
              <w:t>spring-boot-starter-data-jpa</w:t>
            </w:r>
          </w:p>
        </w:tc>
        <w:tc>
          <w:tcPr>
            <w:tcW w:type="dxa" w:w="4896"/>
            <w:vAlign w:val="center"/>
          </w:tcPr>
          <w:p>
            <w:pPr>
              <w:spacing w:after="40"/>
            </w:pPr>
            <w:r>
              <w:rPr>
                <w:sz w:val="16"/>
              </w:rPr>
              <w:t>Persistence and transactions — initial</w:t>
            </w:r>
          </w:p>
        </w:tc>
      </w:tr>
      <w:tr>
        <w:tc>
          <w:tcPr>
            <w:tcW w:type="dxa" w:w="4896"/>
            <w:vAlign w:val="center"/>
          </w:tcPr>
          <w:p>
            <w:pPr>
              <w:spacing w:after="40"/>
            </w:pPr>
            <w:r>
              <w:rPr>
                <w:sz w:val="16"/>
              </w:rPr>
              <w:t>postgresql (runtime)</w:t>
            </w:r>
          </w:p>
        </w:tc>
        <w:tc>
          <w:tcPr>
            <w:tcW w:type="dxa" w:w="4896"/>
            <w:vAlign w:val="center"/>
          </w:tcPr>
          <w:p>
            <w:pPr>
              <w:spacing w:after="40"/>
            </w:pPr>
            <w:r>
              <w:rPr>
                <w:sz w:val="16"/>
              </w:rPr>
              <w:t>PostgreSQL driver — initial</w:t>
            </w:r>
          </w:p>
        </w:tc>
      </w:tr>
      <w:tr>
        <w:tc>
          <w:tcPr>
            <w:tcW w:type="dxa" w:w="4896"/>
            <w:vAlign w:val="center"/>
          </w:tcPr>
          <w:p>
            <w:pPr>
              <w:spacing w:after="40"/>
            </w:pPr>
            <w:r>
              <w:rPr>
                <w:sz w:val="16"/>
              </w:rPr>
              <w:t>spring-boot-starter-validation</w:t>
            </w:r>
          </w:p>
        </w:tc>
        <w:tc>
          <w:tcPr>
            <w:tcW w:type="dxa" w:w="4896"/>
            <w:vAlign w:val="center"/>
          </w:tcPr>
          <w:p>
            <w:pPr>
              <w:spacing w:after="40"/>
            </w:pPr>
            <w:r>
              <w:rPr>
                <w:sz w:val="16"/>
              </w:rPr>
              <w:t>Request validation — initial</w:t>
            </w:r>
          </w:p>
        </w:tc>
      </w:tr>
      <w:tr>
        <w:tc>
          <w:tcPr>
            <w:tcW w:type="dxa" w:w="4896"/>
            <w:vAlign w:val="center"/>
          </w:tcPr>
          <w:p>
            <w:pPr>
              <w:spacing w:after="40"/>
            </w:pPr>
            <w:r>
              <w:rPr>
                <w:sz w:val="16"/>
              </w:rPr>
              <w:t>spring-boot-starter-security</w:t>
            </w:r>
          </w:p>
        </w:tc>
        <w:tc>
          <w:tcPr>
            <w:tcW w:type="dxa" w:w="4896"/>
            <w:vAlign w:val="center"/>
          </w:tcPr>
          <w:p>
            <w:pPr>
              <w:spacing w:after="40"/>
            </w:pPr>
            <w:r>
              <w:rPr>
                <w:sz w:val="16"/>
              </w:rPr>
              <w:t>Authentication/authorization — initial</w:t>
            </w:r>
          </w:p>
        </w:tc>
      </w:tr>
      <w:tr>
        <w:tc>
          <w:tcPr>
            <w:tcW w:type="dxa" w:w="4896"/>
            <w:vAlign w:val="center"/>
          </w:tcPr>
          <w:p>
            <w:pPr>
              <w:spacing w:after="40"/>
            </w:pPr>
            <w:r>
              <w:rPr>
                <w:sz w:val="16"/>
              </w:rPr>
              <w:t>org.apache.poi:poi-ooxml</w:t>
            </w:r>
          </w:p>
        </w:tc>
        <w:tc>
          <w:tcPr>
            <w:tcW w:type="dxa" w:w="4896"/>
            <w:vAlign w:val="center"/>
          </w:tcPr>
          <w:p>
            <w:pPr>
              <w:spacing w:after="40"/>
            </w:pPr>
            <w:r>
              <w:rPr>
                <w:sz w:val="16"/>
              </w:rPr>
              <w:t>Excel import/export — initial; pin reviewed version</w:t>
            </w:r>
          </w:p>
        </w:tc>
      </w:tr>
      <w:tr>
        <w:tc>
          <w:tcPr>
            <w:tcW w:type="dxa" w:w="4896"/>
            <w:vAlign w:val="center"/>
          </w:tcPr>
          <w:p>
            <w:pPr>
              <w:spacing w:after="40"/>
            </w:pPr>
            <w:r>
              <w:rPr>
                <w:sz w:val="16"/>
              </w:rPr>
              <w:t>spring-boot-starter-flyway</w:t>
            </w:r>
          </w:p>
        </w:tc>
        <w:tc>
          <w:tcPr>
            <w:tcW w:type="dxa" w:w="4896"/>
            <w:vAlign w:val="center"/>
          </w:tcPr>
          <w:p>
            <w:pPr>
              <w:spacing w:after="40"/>
            </w:pPr>
            <w:r>
              <w:rPr>
                <w:sz w:val="16"/>
              </w:rPr>
              <w:t>Database migrations — initial</w:t>
            </w:r>
          </w:p>
        </w:tc>
      </w:tr>
      <w:tr>
        <w:tc>
          <w:tcPr>
            <w:tcW w:type="dxa" w:w="4896"/>
            <w:vAlign w:val="center"/>
          </w:tcPr>
          <w:p>
            <w:pPr>
              <w:spacing w:after="40"/>
            </w:pPr>
            <w:r>
              <w:rPr>
                <w:sz w:val="16"/>
              </w:rPr>
              <w:t>org.flywaydb:flyway-database-postgresql</w:t>
            </w:r>
          </w:p>
        </w:tc>
        <w:tc>
          <w:tcPr>
            <w:tcW w:type="dxa" w:w="4896"/>
            <w:vAlign w:val="center"/>
          </w:tcPr>
          <w:p>
            <w:pPr>
              <w:spacing w:after="40"/>
            </w:pPr>
            <w:r>
              <w:rPr>
                <w:sz w:val="16"/>
              </w:rPr>
              <w:t>PostgreSQL Flyway support — initial</w:t>
            </w:r>
          </w:p>
        </w:tc>
      </w:tr>
      <w:tr>
        <w:tc>
          <w:tcPr>
            <w:tcW w:type="dxa" w:w="4896"/>
            <w:vAlign w:val="center"/>
          </w:tcPr>
          <w:p>
            <w:pPr>
              <w:spacing w:after="40"/>
            </w:pPr>
            <w:r>
              <w:rPr>
                <w:sz w:val="16"/>
              </w:rPr>
              <w:t>spring-boot-starter-actuator</w:t>
            </w:r>
          </w:p>
        </w:tc>
        <w:tc>
          <w:tcPr>
            <w:tcW w:type="dxa" w:w="4896"/>
            <w:vAlign w:val="center"/>
          </w:tcPr>
          <w:p>
            <w:pPr>
              <w:spacing w:after="40"/>
            </w:pPr>
            <w:r>
              <w:rPr>
                <w:sz w:val="16"/>
              </w:rPr>
              <w:t>Health/monitoring — initial</w:t>
            </w:r>
          </w:p>
        </w:tc>
      </w:tr>
      <w:tr>
        <w:tc>
          <w:tcPr>
            <w:tcW w:type="dxa" w:w="4896"/>
            <w:vAlign w:val="center"/>
          </w:tcPr>
          <w:p>
            <w:pPr>
              <w:spacing w:after="40"/>
            </w:pPr>
            <w:r>
              <w:rPr>
                <w:sz w:val="16"/>
              </w:rPr>
              <w:t>spring-boot-starter-mail</w:t>
            </w:r>
          </w:p>
        </w:tc>
        <w:tc>
          <w:tcPr>
            <w:tcW w:type="dxa" w:w="4896"/>
            <w:vAlign w:val="center"/>
          </w:tcPr>
          <w:p>
            <w:pPr>
              <w:spacing w:after="40"/>
            </w:pPr>
            <w:r>
              <w:rPr>
                <w:sz w:val="16"/>
              </w:rPr>
              <w:t>Notifications — future</w:t>
            </w:r>
          </w:p>
        </w:tc>
      </w:tr>
      <w:tr>
        <w:tc>
          <w:tcPr>
            <w:tcW w:type="dxa" w:w="4896"/>
            <w:vAlign w:val="center"/>
          </w:tcPr>
          <w:p>
            <w:pPr>
              <w:spacing w:after="40"/>
            </w:pPr>
            <w:r>
              <w:rPr>
                <w:sz w:val="16"/>
              </w:rPr>
              <w:t>spring-boot-starter-batch</w:t>
            </w:r>
          </w:p>
        </w:tc>
        <w:tc>
          <w:tcPr>
            <w:tcW w:type="dxa" w:w="4896"/>
            <w:vAlign w:val="center"/>
          </w:tcPr>
          <w:p>
            <w:pPr>
              <w:spacing w:after="40"/>
            </w:pPr>
            <w:r>
              <w:rPr>
                <w:sz w:val="16"/>
              </w:rPr>
              <w:t>Very large import jobs — future</w:t>
            </w:r>
          </w:p>
        </w:tc>
      </w:tr>
      <w:tr>
        <w:tc>
          <w:tcPr>
            <w:tcW w:type="dxa" w:w="4896"/>
            <w:vAlign w:val="center"/>
          </w:tcPr>
          <w:p>
            <w:pPr>
              <w:spacing w:after="40"/>
            </w:pPr>
            <w:r>
              <w:rPr>
                <w:sz w:val="16"/>
              </w:rPr>
              <w:t>spring-boot-starter-cache</w:t>
            </w:r>
          </w:p>
        </w:tc>
        <w:tc>
          <w:tcPr>
            <w:tcW w:type="dxa" w:w="4896"/>
            <w:vAlign w:val="center"/>
          </w:tcPr>
          <w:p>
            <w:pPr>
              <w:spacing w:after="40"/>
            </w:pPr>
            <w:r>
              <w:rPr>
                <w:sz w:val="16"/>
              </w:rPr>
              <w:t>Cache abstraction — future</w:t>
            </w:r>
          </w:p>
        </w:tc>
      </w:tr>
    </w:tbl>
    <w:p>
      <w:r>
        <w:t>Do not add H2, JUnit, Mockito or spring-boot-starter-test to the initial pom.xml per current team instruction. This does not remove the need for documented verification and eventual automated regression/security testing before production.</w:t>
      </w:r>
    </w:p>
    <w:p>
      <w:pPr>
        <w:pStyle w:val="Heading1"/>
      </w:pPr>
      <w:r>
        <w:t>11. Frontend and infrastructure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Layer</w:t>
            </w:r>
          </w:p>
        </w:tc>
        <w:tc>
          <w:tcPr>
            <w:tcW w:type="dxa" w:w="4896"/>
            <w:vAlign w:val="center"/>
          </w:tcPr>
          <w:p>
            <w:pPr>
              <w:spacing w:after="40"/>
            </w:pPr>
            <w:r>
              <w:rPr>
                <w:sz w:val="16"/>
              </w:rPr>
              <w:t>Recommendation</w:t>
            </w:r>
          </w:p>
        </w:tc>
      </w:tr>
      <w:tr>
        <w:tc>
          <w:tcPr>
            <w:tcW w:type="dxa" w:w="4896"/>
            <w:vAlign w:val="center"/>
          </w:tcPr>
          <w:p>
            <w:pPr>
              <w:spacing w:after="40"/>
            </w:pPr>
            <w:r>
              <w:rPr>
                <w:sz w:val="16"/>
              </w:rPr>
              <w:t>Frontend</w:t>
            </w:r>
          </w:p>
        </w:tc>
        <w:tc>
          <w:tcPr>
            <w:tcW w:type="dxa" w:w="4896"/>
            <w:vAlign w:val="center"/>
          </w:tcPr>
          <w:p>
            <w:pPr>
              <w:spacing w:after="40"/>
            </w:pPr>
            <w:r>
              <w:rPr>
                <w:sz w:val="16"/>
              </w:rPr>
              <w:t>React, TypeScript, Vite, React Router</w:t>
            </w:r>
          </w:p>
        </w:tc>
      </w:tr>
      <w:tr>
        <w:tc>
          <w:tcPr>
            <w:tcW w:type="dxa" w:w="4896"/>
            <w:vAlign w:val="center"/>
          </w:tcPr>
          <w:p>
            <w:pPr>
              <w:spacing w:after="40"/>
            </w:pPr>
            <w:r>
              <w:rPr>
                <w:sz w:val="16"/>
              </w:rPr>
              <w:t>Data/forms</w:t>
            </w:r>
          </w:p>
        </w:tc>
        <w:tc>
          <w:tcPr>
            <w:tcW w:type="dxa" w:w="4896"/>
            <w:vAlign w:val="center"/>
          </w:tcPr>
          <w:p>
            <w:pPr>
              <w:spacing w:after="40"/>
            </w:pPr>
            <w:r>
              <w:rPr>
                <w:sz w:val="16"/>
              </w:rPr>
              <w:t>Fetch or Axios; TanStack Query; React Hook Form; Zod</w:t>
            </w:r>
          </w:p>
        </w:tc>
      </w:tr>
      <w:tr>
        <w:tc>
          <w:tcPr>
            <w:tcW w:type="dxa" w:w="4896"/>
            <w:vAlign w:val="center"/>
          </w:tcPr>
          <w:p>
            <w:pPr>
              <w:spacing w:after="40"/>
            </w:pPr>
            <w:r>
              <w:rPr>
                <w:sz w:val="16"/>
              </w:rPr>
              <w:t>UI</w:t>
            </w:r>
          </w:p>
        </w:tc>
        <w:tc>
          <w:tcPr>
            <w:tcW w:type="dxa" w:w="4896"/>
            <w:vAlign w:val="center"/>
          </w:tcPr>
          <w:p>
            <w:pPr>
              <w:spacing w:after="40"/>
            </w:pPr>
            <w:r>
              <w:rPr>
                <w:sz w:val="16"/>
              </w:rPr>
              <w:t>Tailwind CSS, accessible component patterns; Recharts for reports</w:t>
            </w:r>
          </w:p>
        </w:tc>
      </w:tr>
      <w:tr>
        <w:tc>
          <w:tcPr>
            <w:tcW w:type="dxa" w:w="4896"/>
            <w:vAlign w:val="center"/>
          </w:tcPr>
          <w:p>
            <w:pPr>
              <w:spacing w:after="40"/>
            </w:pPr>
            <w:r>
              <w:rPr>
                <w:sz w:val="16"/>
              </w:rPr>
              <w:t>Backend</w:t>
            </w:r>
          </w:p>
        </w:tc>
        <w:tc>
          <w:tcPr>
            <w:tcW w:type="dxa" w:w="4896"/>
            <w:vAlign w:val="center"/>
          </w:tcPr>
          <w:p>
            <w:pPr>
              <w:spacing w:after="40"/>
            </w:pPr>
            <w:r>
              <w:rPr>
                <w:sz w:val="16"/>
              </w:rPr>
              <w:t>Spring Boot modular monolith, layered packages by business feature</w:t>
            </w:r>
          </w:p>
        </w:tc>
      </w:tr>
      <w:tr>
        <w:tc>
          <w:tcPr>
            <w:tcW w:type="dxa" w:w="4896"/>
            <w:vAlign w:val="center"/>
          </w:tcPr>
          <w:p>
            <w:pPr>
              <w:spacing w:after="40"/>
            </w:pPr>
            <w:r>
              <w:rPr>
                <w:sz w:val="16"/>
              </w:rPr>
              <w:t>Database</w:t>
            </w:r>
          </w:p>
        </w:tc>
        <w:tc>
          <w:tcPr>
            <w:tcW w:type="dxa" w:w="4896"/>
            <w:vAlign w:val="center"/>
          </w:tcPr>
          <w:p>
            <w:pPr>
              <w:spacing w:after="40"/>
            </w:pPr>
            <w:r>
              <w:rPr>
                <w:sz w:val="16"/>
              </w:rPr>
              <w:t>PostgreSQL with Flyway versioned migrations</w:t>
            </w:r>
          </w:p>
        </w:tc>
      </w:tr>
      <w:tr>
        <w:tc>
          <w:tcPr>
            <w:tcW w:type="dxa" w:w="4896"/>
            <w:vAlign w:val="center"/>
          </w:tcPr>
          <w:p>
            <w:pPr>
              <w:spacing w:after="40"/>
            </w:pPr>
            <w:r>
              <w:rPr>
                <w:sz w:val="16"/>
              </w:rPr>
              <w:t>Hosting</w:t>
            </w:r>
          </w:p>
        </w:tc>
        <w:tc>
          <w:tcPr>
            <w:tcW w:type="dxa" w:w="4896"/>
            <w:vAlign w:val="center"/>
          </w:tcPr>
          <w:p>
            <w:pPr>
              <w:spacing w:after="40"/>
            </w:pPr>
            <w:r>
              <w:rPr>
                <w:sz w:val="16"/>
              </w:rPr>
              <w:t>Containerized backend/frontend; company infrastructure decision pending</w:t>
            </w:r>
          </w:p>
        </w:tc>
      </w:tr>
      <w:tr>
        <w:tc>
          <w:tcPr>
            <w:tcW w:type="dxa" w:w="4896"/>
            <w:vAlign w:val="center"/>
          </w:tcPr>
          <w:p>
            <w:pPr>
              <w:spacing w:after="40"/>
            </w:pPr>
            <w:r>
              <w:rPr>
                <w:sz w:val="16"/>
              </w:rPr>
              <w:t>Secrets</w:t>
            </w:r>
          </w:p>
        </w:tc>
        <w:tc>
          <w:tcPr>
            <w:tcW w:type="dxa" w:w="4896"/>
            <w:vAlign w:val="center"/>
          </w:tcPr>
          <w:p>
            <w:pPr>
              <w:spacing w:after="40"/>
            </w:pPr>
            <w:r>
              <w:rPr>
                <w:sz w:val="16"/>
              </w:rPr>
              <w:t>Environment/secret manager; never commit passwords, encryption keys or DB credentials</w:t>
            </w:r>
          </w:p>
        </w:tc>
      </w:tr>
      <w:tr>
        <w:tc>
          <w:tcPr>
            <w:tcW w:type="dxa" w:w="4896"/>
            <w:vAlign w:val="center"/>
          </w:tcPr>
          <w:p>
            <w:pPr>
              <w:spacing w:after="40"/>
            </w:pPr>
            <w:r>
              <w:rPr>
                <w:sz w:val="16"/>
              </w:rPr>
              <w:t>Operations</w:t>
            </w:r>
          </w:p>
        </w:tc>
        <w:tc>
          <w:tcPr>
            <w:tcW w:type="dxa" w:w="4896"/>
            <w:vAlign w:val="center"/>
          </w:tcPr>
          <w:p>
            <w:pPr>
              <w:spacing w:after="40"/>
            </w:pPr>
            <w:r>
              <w:rPr>
                <w:sz w:val="16"/>
              </w:rPr>
              <w:t>Backups, restore drills, monitoring, log retention, deployment rollback</w:t>
            </w:r>
          </w:p>
        </w:tc>
      </w:tr>
    </w:tbl>
    <w:p>
      <w:pPr>
        <w:pStyle w:val="Heading1"/>
      </w:pPr>
      <w:r>
        <w:t>12. Non-functional and privacy requirements</w:t>
      </w:r>
    </w:p>
    <w:p>
      <w:pPr>
        <w:pStyle w:val="ListBullet"/>
      </w:pPr>
      <w:r>
        <w:t>Enforce HTTPS, secure cookies, session expiration, CSRF defenses appropriate to chosen auth architecture, least privilege and account lockout/rate limiting.</w:t>
      </w:r>
    </w:p>
    <w:p>
      <w:pPr>
        <w:pStyle w:val="ListBullet"/>
      </w:pPr>
      <w:r>
        <w:t>Apply POPIA-oriented privacy controls: lawful processing, purpose limitation, access management, retention, breach handling and vendor agreements as applicable.</w:t>
      </w:r>
    </w:p>
    <w:p>
      <w:pPr>
        <w:pStyle w:val="ListBullet"/>
      </w:pPr>
      <w:r>
        <w:t>Consultants may view the complete ID number for authorized clients; unauthorized users may not. Mask only in contexts where full disclosure is unnecessary (e.g., lists and broad reports).</w:t>
      </w:r>
    </w:p>
    <w:p>
      <w:pPr>
        <w:pStyle w:val="ListBullet"/>
      </w:pPr>
      <w:r>
        <w:t>Record sensitive access events without recording the full ID number or unredacted case details in audit logs.</w:t>
      </w:r>
    </w:p>
    <w:p>
      <w:pPr>
        <w:pStyle w:val="ListBullet"/>
      </w:pPr>
      <w:r>
        <w:t>Use optimistic locking/versioning or row locks to avoid concurrent reassignment and import overwrites.</w:t>
      </w:r>
    </w:p>
    <w:p>
      <w:pPr>
        <w:pStyle w:val="ListBullet"/>
      </w:pPr>
      <w:r>
        <w:t>Implement database backups, tested restoration, migration rollback strategy, monitoring and incident response.</w:t>
      </w:r>
    </w:p>
    <w:p>
      <w:pPr>
        <w:pStyle w:val="ListBullet"/>
      </w:pPr>
      <w:r>
        <w:t>Define measurable performance targets after confirming expected user count, import volume and hosting capacity.</w:t>
      </w:r>
    </w:p>
    <w:p>
      <w:pPr>
        <w:pStyle w:val="Heading1"/>
      </w:pPr>
      <w:r>
        <w:t>13. Delivery roadmap</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Phase</w:t>
            </w:r>
          </w:p>
        </w:tc>
        <w:tc>
          <w:tcPr>
            <w:tcW w:type="dxa" w:w="4896"/>
            <w:vAlign w:val="center"/>
          </w:tcPr>
          <w:p>
            <w:pPr>
              <w:spacing w:after="40"/>
            </w:pPr>
            <w:r>
              <w:rPr>
                <w:sz w:val="16"/>
              </w:rPr>
              <w:t>Deliverable / exit criteria</w:t>
            </w:r>
          </w:p>
        </w:tc>
      </w:tr>
      <w:tr>
        <w:tc>
          <w:tcPr>
            <w:tcW w:type="dxa" w:w="4896"/>
            <w:vAlign w:val="center"/>
          </w:tcPr>
          <w:p>
            <w:pPr>
              <w:spacing w:after="40"/>
            </w:pPr>
            <w:r>
              <w:rPr>
                <w:sz w:val="16"/>
              </w:rPr>
              <w:t>0. Discovery</w:t>
            </w:r>
          </w:p>
        </w:tc>
        <w:tc>
          <w:tcPr>
            <w:tcW w:type="dxa" w:w="4896"/>
            <w:vAlign w:val="center"/>
          </w:tcPr>
          <w:p>
            <w:pPr>
              <w:spacing w:after="40"/>
            </w:pPr>
            <w:r>
              <w:rPr>
                <w:sz w:val="16"/>
              </w:rPr>
              <w:t>Approve field dictionary, workflow/statuses, access matrix, Excel template and hosting</w:t>
            </w:r>
          </w:p>
        </w:tc>
      </w:tr>
      <w:tr>
        <w:tc>
          <w:tcPr>
            <w:tcW w:type="dxa" w:w="4896"/>
            <w:vAlign w:val="center"/>
          </w:tcPr>
          <w:p>
            <w:pPr>
              <w:spacing w:after="40"/>
            </w:pPr>
            <w:r>
              <w:rPr>
                <w:sz w:val="16"/>
              </w:rPr>
              <w:t>1. Foundation</w:t>
            </w:r>
          </w:p>
        </w:tc>
        <w:tc>
          <w:tcPr>
            <w:tcW w:type="dxa" w:w="4896"/>
            <w:vAlign w:val="center"/>
          </w:tcPr>
          <w:p>
            <w:pPr>
              <w:spacing w:after="40"/>
            </w:pPr>
            <w:r>
              <w:rPr>
                <w:sz w:val="16"/>
              </w:rPr>
              <w:t>Repository, CI, environments, Spring Boot, PostgreSQL, Flyway, frontend skeleton</w:t>
            </w:r>
          </w:p>
        </w:tc>
      </w:tr>
      <w:tr>
        <w:tc>
          <w:tcPr>
            <w:tcW w:type="dxa" w:w="4896"/>
            <w:vAlign w:val="center"/>
          </w:tcPr>
          <w:p>
            <w:pPr>
              <w:spacing w:after="40"/>
            </w:pPr>
            <w:r>
              <w:rPr>
                <w:sz w:val="16"/>
              </w:rPr>
              <w:t>2. Identity &amp; access</w:t>
            </w:r>
          </w:p>
        </w:tc>
        <w:tc>
          <w:tcPr>
            <w:tcW w:type="dxa" w:w="4896"/>
            <w:vAlign w:val="center"/>
          </w:tcPr>
          <w:p>
            <w:pPr>
              <w:spacing w:after="40"/>
            </w:pPr>
            <w:r>
              <w:rPr>
                <w:sz w:val="16"/>
              </w:rPr>
              <w:t>Secure sign-in, roles, consultant status, record-level access</w:t>
            </w:r>
          </w:p>
        </w:tc>
      </w:tr>
      <w:tr>
        <w:tc>
          <w:tcPr>
            <w:tcW w:type="dxa" w:w="4896"/>
            <w:vAlign w:val="center"/>
          </w:tcPr>
          <w:p>
            <w:pPr>
              <w:spacing w:after="40"/>
            </w:pPr>
            <w:r>
              <w:rPr>
                <w:sz w:val="16"/>
              </w:rPr>
              <w:t>3. Master data</w:t>
            </w:r>
          </w:p>
        </w:tc>
        <w:tc>
          <w:tcPr>
            <w:tcW w:type="dxa" w:w="4896"/>
            <w:vAlign w:val="center"/>
          </w:tcPr>
          <w:p>
            <w:pPr>
              <w:spacing w:after="40"/>
            </w:pPr>
            <w:r>
              <w:rPr>
                <w:sz w:val="16"/>
              </w:rPr>
              <w:t>Clients/consultants CRUD, uniqueness, validation, pagination</w:t>
            </w:r>
          </w:p>
        </w:tc>
      </w:tr>
      <w:tr>
        <w:tc>
          <w:tcPr>
            <w:tcW w:type="dxa" w:w="4896"/>
            <w:vAlign w:val="center"/>
          </w:tcPr>
          <w:p>
            <w:pPr>
              <w:spacing w:after="40"/>
            </w:pPr>
            <w:r>
              <w:rPr>
                <w:sz w:val="16"/>
              </w:rPr>
              <w:t>4. Excel import</w:t>
            </w:r>
          </w:p>
        </w:tc>
        <w:tc>
          <w:tcPr>
            <w:tcW w:type="dxa" w:w="4896"/>
            <w:vAlign w:val="center"/>
          </w:tcPr>
          <w:p>
            <w:pPr>
              <w:spacing w:after="40"/>
            </w:pPr>
            <w:r>
              <w:rPr>
                <w:sz w:val="16"/>
              </w:rPr>
              <w:t>Preview, validation, conflict resolution, confirm, reports</w:t>
            </w:r>
          </w:p>
        </w:tc>
      </w:tr>
      <w:tr>
        <w:tc>
          <w:tcPr>
            <w:tcW w:type="dxa" w:w="4896"/>
            <w:vAlign w:val="center"/>
          </w:tcPr>
          <w:p>
            <w:pPr>
              <w:spacing w:after="40"/>
            </w:pPr>
            <w:r>
              <w:rPr>
                <w:sz w:val="16"/>
              </w:rPr>
              <w:t>5. Handover</w:t>
            </w:r>
          </w:p>
        </w:tc>
        <w:tc>
          <w:tcPr>
            <w:tcW w:type="dxa" w:w="4896"/>
            <w:vAlign w:val="center"/>
          </w:tcPr>
          <w:p>
            <w:pPr>
              <w:spacing w:after="40"/>
            </w:pPr>
            <w:r>
              <w:rPr>
                <w:sz w:val="16"/>
              </w:rPr>
              <w:t>Single/bulk transfer, audit, status controls, historical preservation</w:t>
            </w:r>
          </w:p>
        </w:tc>
      </w:tr>
      <w:tr>
        <w:tc>
          <w:tcPr>
            <w:tcW w:type="dxa" w:w="4896"/>
            <w:vAlign w:val="center"/>
          </w:tcPr>
          <w:p>
            <w:pPr>
              <w:spacing w:after="40"/>
            </w:pPr>
            <w:r>
              <w:rPr>
                <w:sz w:val="16"/>
              </w:rPr>
              <w:t>6. Advisory cases</w:t>
            </w:r>
          </w:p>
        </w:tc>
        <w:tc>
          <w:tcPr>
            <w:tcW w:type="dxa" w:w="4896"/>
            <w:vAlign w:val="center"/>
          </w:tcPr>
          <w:p>
            <w:pPr>
              <w:spacing w:after="40"/>
            </w:pPr>
            <w:r>
              <w:rPr>
                <w:sz w:val="16"/>
              </w:rPr>
              <w:t>Cases, notes, lifecycle, scoped editing</w:t>
            </w:r>
          </w:p>
        </w:tc>
      </w:tr>
      <w:tr>
        <w:tc>
          <w:tcPr>
            <w:tcW w:type="dxa" w:w="4896"/>
            <w:vAlign w:val="center"/>
          </w:tcPr>
          <w:p>
            <w:pPr>
              <w:spacing w:after="40"/>
            </w:pPr>
            <w:r>
              <w:rPr>
                <w:sz w:val="16"/>
              </w:rPr>
              <w:t>7. Reports</w:t>
            </w:r>
          </w:p>
        </w:tc>
        <w:tc>
          <w:tcPr>
            <w:tcW w:type="dxa" w:w="4896"/>
            <w:vAlign w:val="center"/>
          </w:tcPr>
          <w:p>
            <w:pPr>
              <w:spacing w:after="40"/>
            </w:pPr>
            <w:r>
              <w:rPr>
                <w:sz w:val="16"/>
              </w:rPr>
              <w:t>Dashboards, management reports, exports</w:t>
            </w:r>
          </w:p>
        </w:tc>
      </w:tr>
      <w:tr>
        <w:tc>
          <w:tcPr>
            <w:tcW w:type="dxa" w:w="4896"/>
            <w:vAlign w:val="center"/>
          </w:tcPr>
          <w:p>
            <w:pPr>
              <w:spacing w:after="40"/>
            </w:pPr>
            <w:r>
              <w:rPr>
                <w:sz w:val="16"/>
              </w:rPr>
              <w:t>8. Readiness</w:t>
            </w:r>
          </w:p>
        </w:tc>
        <w:tc>
          <w:tcPr>
            <w:tcW w:type="dxa" w:w="4896"/>
            <w:vAlign w:val="center"/>
          </w:tcPr>
          <w:p>
            <w:pPr>
              <w:spacing w:after="40"/>
            </w:pPr>
            <w:r>
              <w:rPr>
                <w:sz w:val="16"/>
              </w:rPr>
              <w:t>UAT, security/privacy review, backups, recovery, deployment and training</w:t>
            </w:r>
          </w:p>
        </w:tc>
      </w:tr>
    </w:tbl>
    <w:p>
      <w:pPr>
        <w:pStyle w:val="Heading1"/>
      </w:pPr>
      <w:r>
        <w:t>14. Acceptance criteria</w:t>
      </w:r>
    </w:p>
    <w:p>
      <w:pPr>
        <w:pStyle w:val="ListBullet"/>
      </w:pPr>
      <w:r>
        <w:t>Importing a valid worksheet creates the correct number of unique clients and consultants with correct assignments.</w:t>
      </w:r>
    </w:p>
    <w:p>
      <w:pPr>
        <w:pStyle w:val="ListBullet"/>
      </w:pPr>
      <w:r>
        <w:t>Reimporting the same worksheet does not duplicate clients or silently reverse a manager-approved transfer.</w:t>
      </w:r>
    </w:p>
    <w:p>
      <w:pPr>
        <w:pStyle w:val="ListBullet"/>
      </w:pPr>
      <w:r>
        <w:t>Invalid IDs, duplicate IDs, unknown consultants and inactive assignments are surfaced before commit.</w:t>
      </w:r>
    </w:p>
    <w:p>
      <w:pPr>
        <w:pStyle w:val="ListBullet"/>
      </w:pPr>
      <w:r>
        <w:t>A consultant can enter and view the full ID number only for an authorized client.</w:t>
      </w:r>
    </w:p>
    <w:p>
      <w:pPr>
        <w:pStyle w:val="ListBullet"/>
      </w:pPr>
      <w:r>
        <w:t>A consultant cannot transfer clients; Manager/Admin can perform individual and bulk transfers.</w:t>
      </w:r>
    </w:p>
    <w:p>
      <w:pPr>
        <w:pStyle w:val="ListBullet"/>
      </w:pPr>
      <w:r>
        <w:t>A transfer preserves every credit case, note and historical author; history records who moved whom, when and why.</w:t>
      </w:r>
    </w:p>
    <w:p>
      <w:pPr>
        <w:pStyle w:val="ListBullet"/>
      </w:pPr>
      <w:r>
        <w:t>Suspended/inactive consultants cannot sign in or receive new clients.</w:t>
      </w:r>
    </w:p>
    <w:p>
      <w:pPr>
        <w:pStyle w:val="ListBullet"/>
      </w:pPr>
      <w:r>
        <w:t>All critical operations are authorized server-side and leave privacy-safe audit evidence.</w:t>
      </w:r>
    </w:p>
    <w:p>
      <w:pPr>
        <w:pStyle w:val="Heading1"/>
      </w:pPr>
      <w:r>
        <w:t>15. Open questions and approvals</w:t>
      </w:r>
    </w:p>
    <w:p>
      <w:pPr>
        <w:pStyle w:val="ListBullet"/>
      </w:pPr>
      <w:r>
        <w:t>Approve exact Excel columns and obtain a de-identified sample workbook.</w:t>
      </w:r>
    </w:p>
    <w:p>
      <w:pPr>
        <w:pStyle w:val="ListBullet"/>
      </w:pPr>
      <w:r>
        <w:t>Confirm whether every client has a valid 13-digit South African ID and how exceptions will be handled.</w:t>
      </w:r>
    </w:p>
    <w:p>
      <w:pPr>
        <w:pStyle w:val="ListBullet"/>
      </w:pPr>
      <w:r>
        <w:t>Confirm whether consultants can correct an ID number or whether that requires Manager/Admin approval.</w:t>
      </w:r>
    </w:p>
    <w:p>
      <w:pPr>
        <w:pStyle w:val="ListBullet"/>
      </w:pPr>
      <w:r>
        <w:t>Define credit case fields, stages, credit-record meaning, dashboards and mandatory reports.</w:t>
      </w:r>
    </w:p>
    <w:p>
      <w:pPr>
        <w:pStyle w:val="ListBullet"/>
      </w:pPr>
      <w:r>
        <w:t>Confirm department-level manager access, import privileges, approval requirements and who can reactivate consultants.</w:t>
      </w:r>
    </w:p>
    <w:p>
      <w:pPr>
        <w:pStyle w:val="ListBullet"/>
      </w:pPr>
      <w:r>
        <w:t>Confirm expected number of clients, consultants, workbook rows, concurrent users and retention requirements.</w:t>
      </w:r>
    </w:p>
    <w:p>
      <w:pPr>
        <w:pStyle w:val="ListBullet"/>
      </w:pPr>
      <w:r>
        <w:t>Approve hosting provider, identity management approach, backup ownership and operational support.</w:t>
      </w:r>
    </w:p>
    <w:p>
      <w:pPr>
        <w:pStyle w:val="ListBullet"/>
      </w:pPr>
      <w:r>
        <w:t>Review encryption/HMAC key management and POPIA obligations with company IT/security and responsible business stakeholders.</w:t>
      </w:r>
    </w:p>
    <w:p>
      <w:pPr>
        <w:pStyle w:val="Heading1"/>
      </w:pPr>
      <w:r>
        <w:t>16. Risks and mitigations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6"/>
              </w:rPr>
              <w:t>Risk</w:t>
            </w:r>
          </w:p>
        </w:tc>
        <w:tc>
          <w:tcPr>
            <w:tcW w:type="dxa" w:w="4896"/>
            <w:vAlign w:val="center"/>
          </w:tcPr>
          <w:p>
            <w:pPr>
              <w:spacing w:after="40"/>
            </w:pPr>
            <w:r>
              <w:rPr>
                <w:sz w:val="16"/>
              </w:rPr>
              <w:t>Mitigation</w:t>
            </w:r>
          </w:p>
        </w:tc>
      </w:tr>
      <w:tr>
        <w:tc>
          <w:tcPr>
            <w:tcW w:type="dxa" w:w="4896"/>
            <w:vAlign w:val="center"/>
          </w:tcPr>
          <w:p>
            <w:pPr>
              <w:spacing w:after="40"/>
            </w:pPr>
            <w:r>
              <w:rPr>
                <w:sz w:val="16"/>
              </w:rPr>
              <w:t>Incorrect Excel mapping</w:t>
            </w:r>
          </w:p>
        </w:tc>
        <w:tc>
          <w:tcPr>
            <w:tcW w:type="dxa" w:w="4896"/>
            <w:vAlign w:val="center"/>
          </w:tcPr>
          <w:p>
            <w:pPr>
              <w:spacing w:after="40"/>
            </w:pPr>
            <w:r>
              <w:rPr>
                <w:sz w:val="16"/>
              </w:rPr>
              <w:t>Approved template, preview, schema validation and dry-run</w:t>
            </w:r>
          </w:p>
        </w:tc>
      </w:tr>
      <w:tr>
        <w:tc>
          <w:tcPr>
            <w:tcW w:type="dxa" w:w="4896"/>
            <w:vAlign w:val="center"/>
          </w:tcPr>
          <w:p>
            <w:pPr>
              <w:spacing w:after="40"/>
            </w:pPr>
            <w:r>
              <w:rPr>
                <w:sz w:val="16"/>
              </w:rPr>
              <w:t>Duplicate or misidentified clients</w:t>
            </w:r>
          </w:p>
        </w:tc>
        <w:tc>
          <w:tcPr>
            <w:tcW w:type="dxa" w:w="4896"/>
            <w:vAlign w:val="center"/>
          </w:tcPr>
          <w:p>
            <w:pPr>
              <w:spacing w:after="40"/>
            </w:pPr>
            <w:r>
              <w:rPr>
                <w:sz w:val="16"/>
              </w:rPr>
              <w:t>ID validation, protected unique lookup, database constraints</w:t>
            </w:r>
          </w:p>
        </w:tc>
      </w:tr>
      <w:tr>
        <w:tc>
          <w:tcPr>
            <w:tcW w:type="dxa" w:w="4896"/>
            <w:vAlign w:val="center"/>
          </w:tcPr>
          <w:p>
            <w:pPr>
              <w:spacing w:after="40"/>
            </w:pPr>
            <w:r>
              <w:rPr>
                <w:sz w:val="16"/>
              </w:rPr>
              <w:t>Unauthorized full-ID disclosure</w:t>
            </w:r>
          </w:p>
        </w:tc>
        <w:tc>
          <w:tcPr>
            <w:tcW w:type="dxa" w:w="4896"/>
            <w:vAlign w:val="center"/>
          </w:tcPr>
          <w:p>
            <w:pPr>
              <w:spacing w:after="40"/>
            </w:pPr>
            <w:r>
              <w:rPr>
                <w:sz w:val="16"/>
              </w:rPr>
              <w:t>Record-level access, encryption, audit and restricted exports</w:t>
            </w:r>
          </w:p>
        </w:tc>
      </w:tr>
      <w:tr>
        <w:tc>
          <w:tcPr>
            <w:tcW w:type="dxa" w:w="4896"/>
            <w:vAlign w:val="center"/>
          </w:tcPr>
          <w:p>
            <w:pPr>
              <w:spacing w:after="40"/>
            </w:pPr>
            <w:r>
              <w:rPr>
                <w:sz w:val="16"/>
              </w:rPr>
              <w:t>Old Excel reverses handover</w:t>
            </w:r>
          </w:p>
        </w:tc>
        <w:tc>
          <w:tcPr>
            <w:tcW w:type="dxa" w:w="4896"/>
            <w:vAlign w:val="center"/>
          </w:tcPr>
          <w:p>
            <w:pPr>
              <w:spacing w:after="40"/>
            </w:pPr>
            <w:r>
              <w:rPr>
                <w:sz w:val="16"/>
              </w:rPr>
              <w:t>Explicit assignment-conflict review</w:t>
            </w:r>
          </w:p>
        </w:tc>
      </w:tr>
      <w:tr>
        <w:tc>
          <w:tcPr>
            <w:tcW w:type="dxa" w:w="4896"/>
            <w:vAlign w:val="center"/>
          </w:tcPr>
          <w:p>
            <w:pPr>
              <w:spacing w:after="40"/>
            </w:pPr>
            <w:r>
              <w:rPr>
                <w:sz w:val="16"/>
              </w:rPr>
              <w:t>Consultant leaves without handover</w:t>
            </w:r>
          </w:p>
        </w:tc>
        <w:tc>
          <w:tcPr>
            <w:tcW w:type="dxa" w:w="4896"/>
            <w:vAlign w:val="center"/>
          </w:tcPr>
          <w:p>
            <w:pPr>
              <w:spacing w:after="40"/>
            </w:pPr>
            <w:r>
              <w:rPr>
                <w:sz w:val="16"/>
              </w:rPr>
              <w:t>Immediate account disablement and manager reassignment queue</w:t>
            </w:r>
          </w:p>
        </w:tc>
      </w:tr>
      <w:tr>
        <w:tc>
          <w:tcPr>
            <w:tcW w:type="dxa" w:w="4896"/>
            <w:vAlign w:val="center"/>
          </w:tcPr>
          <w:p>
            <w:pPr>
              <w:spacing w:after="40"/>
            </w:pPr>
            <w:r>
              <w:rPr>
                <w:sz w:val="16"/>
              </w:rPr>
              <w:t>Partial bulk update</w:t>
            </w:r>
          </w:p>
        </w:tc>
        <w:tc>
          <w:tcPr>
            <w:tcW w:type="dxa" w:w="4896"/>
            <w:vAlign w:val="center"/>
          </w:tcPr>
          <w:p>
            <w:pPr>
              <w:spacing w:after="40"/>
            </w:pPr>
            <w:r>
              <w:rPr>
                <w:sz w:val="16"/>
              </w:rPr>
              <w:t>Transactions, idempotency and concurrency controls</w:t>
            </w:r>
          </w:p>
        </w:tc>
      </w:tr>
      <w:tr>
        <w:tc>
          <w:tcPr>
            <w:tcW w:type="dxa" w:w="4896"/>
            <w:vAlign w:val="center"/>
          </w:tcPr>
          <w:p>
            <w:pPr>
              <w:spacing w:after="40"/>
            </w:pPr>
            <w:r>
              <w:rPr>
                <w:sz w:val="16"/>
              </w:rPr>
              <w:t>Unverified dependencies</w:t>
            </w:r>
          </w:p>
        </w:tc>
        <w:tc>
          <w:tcPr>
            <w:tcW w:type="dxa" w:w="4896"/>
            <w:vAlign w:val="center"/>
          </w:tcPr>
          <w:p>
            <w:pPr>
              <w:spacing w:after="40"/>
            </w:pPr>
            <w:r>
              <w:rPr>
                <w:sz w:val="16"/>
              </w:rPr>
              <w:t>Pin supported versions, review CVEs and perform build validation</w:t>
            </w:r>
          </w:p>
        </w:tc>
      </w:tr>
      <w:tr>
        <w:tc>
          <w:tcPr>
            <w:tcW w:type="dxa" w:w="4896"/>
            <w:vAlign w:val="center"/>
          </w:tcPr>
          <w:p>
            <w:pPr>
              <w:spacing w:after="40"/>
            </w:pPr>
            <w:r>
              <w:rPr>
                <w:sz w:val="16"/>
              </w:rPr>
              <w:t>No automated test dependencies</w:t>
            </w:r>
          </w:p>
        </w:tc>
        <w:tc>
          <w:tcPr>
            <w:tcW w:type="dxa" w:w="4896"/>
            <w:vAlign w:val="center"/>
          </w:tcPr>
          <w:p>
            <w:pPr>
              <w:spacing w:after="40"/>
            </w:pPr>
            <w:r>
              <w:rPr>
                <w:sz w:val="16"/>
              </w:rPr>
              <w:t>Manual UAT initially; adopt production-grade regression strategy before go-live</w:t>
            </w:r>
          </w:p>
        </w:tc>
      </w:tr>
    </w:tbl>
    <w:p>
      <w:pPr>
        <w:pStyle w:val="Heading1"/>
      </w:pPr>
      <w:r>
        <w:t>17. Suggested development ownership</w:t>
      </w:r>
    </w:p>
    <w:p>
      <w:r>
        <w:t>For a small team, allocate work by modules rather than individual pages: (1) backend identity/client/consultant model; (2) Excel import, database migration and integrity; (3) frontend, dashboards and workflow integration. Agree on shared API contracts, pull requests and code review. Assign one owner for security and deployment decisions.</w:t>
      </w:r>
    </w:p>
    <w:p>
      <w:pPr>
        <w:pStyle w:val="Heading1"/>
      </w:pPr>
      <w:r>
        <w:t>18. Next actions</w:t>
      </w:r>
    </w:p>
    <w:p>
      <w:pPr>
        <w:pStyle w:val="ListBullet"/>
      </w:pPr>
      <w:r>
        <w:t>Review this document with the business and label each proposed item approved, deferred or rejected.</w:t>
      </w:r>
    </w:p>
    <w:p>
      <w:pPr>
        <w:pStyle w:val="ListBullet"/>
      </w:pPr>
      <w:r>
        <w:t>Collect a safe example of the real spreadsheet and define the canonical data dictionary.</w:t>
      </w:r>
    </w:p>
    <w:p>
      <w:pPr>
        <w:pStyle w:val="ListBullet"/>
      </w:pPr>
      <w:r>
        <w:t>Finalize entity relationship diagram and API request/response contracts.</w:t>
      </w:r>
    </w:p>
    <w:p>
      <w:pPr>
        <w:pStyle w:val="ListBullet"/>
      </w:pPr>
      <w:r>
        <w:t>Create a new team repository and development environments; agree branch and review workflow.</w:t>
      </w:r>
    </w:p>
    <w:p>
      <w:pPr>
        <w:pStyle w:val="ListBullet"/>
      </w:pPr>
      <w:r>
        <w:t>Implement authentication and core entities first, then staged Excel import and consultant handover.</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Draft v1.0  •  27 October 2026  •  Internal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CREDIT ADVISORY  |  REQUIREMENTS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2A4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4C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82A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