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Advisory Online Dashboard</w:t>
      </w:r>
    </w:p>
    <w:p>
      <w:pPr>
        <w:pStyle w:val="Subtitle"/>
      </w:pPr>
      <w:r>
        <w:t>Spreadsheet Purpose &amp; Complete Business Breakdown</w:t>
      </w:r>
    </w:p>
    <w:p>
      <w:r>
        <w:t>Source: Credit Advisory Online Dashboard, 14–18 September 2026  |  Team meeting briefing</w:t>
      </w:r>
    </w:p>
    <w:p>
      <w:pPr>
        <w:pStyle w:val="Heading1"/>
      </w:pPr>
      <w:r>
        <w:t>Purpose of this document</w:t>
      </w:r>
    </w:p>
    <w:p>
      <w:r>
        <w:t>Explain what the existing workbook captures, what its columns and summaries appear to mean, how the calculations relate, and which business definitions must be confirmed. This is a business interpretation of the spreadsheet—not a confirmed description of company policy or a software design specification.</w:t>
      </w:r>
    </w:p>
    <w:p>
      <w:pPr>
        <w:pStyle w:val="Heading1"/>
      </w:pPr>
      <w:r>
        <w:t>1. Overall business purpose</w:t>
      </w:r>
    </w:p>
    <w:p>
      <w:r>
        <w:t>The workbook operates as a daily client/transaction register and a weekly management reporting tool. Its main functions are to record clients and associated products, track quotation and banked values, attribute activity to consultants, and consolidate daily totals into performance reports. A row may be a quotation, application, transaction or client interaction; the workbook alone does not settle that distinction.</w:t>
      </w:r>
    </w:p>
    <w:p>
      <w:pPr>
        <w:pStyle w:val="Heading1"/>
      </w:pPr>
      <w:r>
        <w:t>2. Workbook structure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Worksheet</w:t>
            </w:r>
          </w:p>
        </w:tc>
        <w:tc>
          <w:tcPr>
            <w:tcW w:type="dxa" w:w="4320"/>
          </w:tcPr>
          <w:p>
            <w:r>
              <w:t>Apparent role</w:t>
            </w:r>
          </w:p>
        </w:tc>
      </w:tr>
      <w:tr>
        <w:tc>
          <w:tcPr>
            <w:tcW w:type="dxa" w:w="4320"/>
          </w:tcPr>
          <w:p>
            <w:r>
              <w:t>Monday–Sunday</w:t>
            </w:r>
          </w:p>
        </w:tc>
        <w:tc>
          <w:tcPr>
            <w:tcW w:type="dxa" w:w="4320"/>
          </w:tcPr>
          <w:p>
            <w:r>
              <w:t>Daily client, product and financial records; note the actual Wednesday tab is misspelled “Wednsday”.</w:t>
            </w:r>
          </w:p>
        </w:tc>
      </w:tr>
      <w:tr>
        <w:tc>
          <w:tcPr>
            <w:tcW w:type="dxa" w:w="4320"/>
          </w:tcPr>
          <w:p>
            <w:r>
              <w:t>Report</w:t>
            </w:r>
          </w:p>
        </w:tc>
        <w:tc>
          <w:tcPr>
            <w:tcW w:type="dxa" w:w="4320"/>
          </w:tcPr>
          <w:p>
            <w:r>
              <w:t>Daily banked and quotation totals, targets, and intended client counts.</w:t>
            </w:r>
          </w:p>
        </w:tc>
      </w:tr>
      <w:tr>
        <w:tc>
          <w:tcPr>
            <w:tcW w:type="dxa" w:w="4320"/>
          </w:tcPr>
          <w:p>
            <w:r>
              <w:t>Breakdown</w:t>
            </w:r>
          </w:p>
        </w:tc>
        <w:tc>
          <w:tcPr>
            <w:tcW w:type="dxa" w:w="4320"/>
          </w:tcPr>
          <w:p>
            <w:r>
              <w:t>Product amounts summarized by consultant and day.</w:t>
            </w:r>
          </w:p>
        </w:tc>
      </w:tr>
      <w:tr>
        <w:tc>
          <w:tcPr>
            <w:tcW w:type="dxa" w:w="4320"/>
          </w:tcPr>
          <w:p>
            <w:r>
              <w:t>Dashboard</w:t>
            </w:r>
          </w:p>
        </w:tc>
        <w:tc>
          <w:tcPr>
            <w:tcW w:type="dxa" w:w="4320"/>
          </w:tcPr>
          <w:p>
            <w:r>
              <w:t>Visual management summary area; precise intended metrics require confirmation.</w:t>
            </w:r>
          </w:p>
        </w:tc>
      </w:tr>
      <w:tr>
        <w:tc>
          <w:tcPr>
            <w:tcW w:type="dxa" w:w="4320"/>
          </w:tcPr>
          <w:p>
            <w:r>
              <w:t>Sheet1–Sheet10 and other blank tabs</w:t>
            </w:r>
          </w:p>
        </w:tc>
        <w:tc>
          <w:tcPr>
            <w:tcW w:type="dxa" w:w="4320"/>
          </w:tcPr>
          <w:p>
            <w:r>
              <w:t>Mostly unused auxiliary worksheets.</w:t>
            </w:r>
          </w:p>
        </w:tc>
      </w:tr>
    </w:tbl>
    <w:p/>
    <w:p>
      <w:pPr>
        <w:pStyle w:val="Heading1"/>
      </w:pPr>
      <w:r>
        <w:t>3. Daily data fields — complete functional breakdown</w:t>
      </w:r>
    </w:p>
    <w:p>
      <w:pPr>
        <w:pStyle w:val="Heading2"/>
      </w:pPr>
      <w:r>
        <w:t>A. Client identification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Meaning / business use</w:t>
            </w:r>
          </w:p>
        </w:tc>
      </w:tr>
      <w:tr>
        <w:tc>
          <w:tcPr>
            <w:tcW w:type="dxa" w:w="4320"/>
          </w:tcPr>
          <w:p>
            <w:r>
              <w:t>Date</w:t>
            </w:r>
          </w:p>
        </w:tc>
        <w:tc>
          <w:tcPr>
            <w:tcW w:type="dxa" w:w="4320"/>
          </w:tcPr>
          <w:p>
            <w:r>
              <w:t>Date of activity or transaction; some populated records do not have a date.</w:t>
            </w:r>
          </w:p>
        </w:tc>
      </w:tr>
      <w:tr>
        <w:tc>
          <w:tcPr>
            <w:tcW w:type="dxa" w:w="4320"/>
          </w:tcPr>
          <w:p>
            <w:r>
              <w:t>Name</w:t>
            </w:r>
          </w:p>
        </w:tc>
        <w:tc>
          <w:tcPr>
            <w:tcW w:type="dxa" w:w="4320"/>
          </w:tcPr>
          <w:p>
            <w:r>
              <w:t>Client first name.</w:t>
            </w:r>
          </w:p>
        </w:tc>
      </w:tr>
      <w:tr>
        <w:tc>
          <w:tcPr>
            <w:tcW w:type="dxa" w:w="4320"/>
          </w:tcPr>
          <w:p>
            <w:r>
              <w:t>Surname</w:t>
            </w:r>
          </w:p>
        </w:tc>
        <w:tc>
          <w:tcPr>
            <w:tcW w:type="dxa" w:w="4320"/>
          </w:tcPr>
          <w:p>
            <w:r>
              <w:t>Client family name.</w:t>
            </w:r>
          </w:p>
        </w:tc>
      </w:tr>
    </w:tbl>
    <w:p/>
    <w:p>
      <w:r>
        <w:t>The removed national ID field is not necessary for understanding these reports. Names are still personal information and should not be circulated in team briefing materials.</w:t>
      </w:r>
    </w:p>
    <w:p>
      <w:pPr>
        <w:pStyle w:val="Heading2"/>
      </w:pPr>
      <w:r>
        <w:t>B. Quotation and product fields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Interpretation requiring business confirmation</w:t>
            </w:r>
          </w:p>
        </w:tc>
      </w:tr>
      <w:tr>
        <w:tc>
          <w:tcPr>
            <w:tcW w:type="dxa" w:w="4320"/>
          </w:tcPr>
          <w:p>
            <w:r>
              <w:t>Quotation</w:t>
            </w:r>
          </w:p>
        </w:tc>
        <w:tc>
          <w:tcPr>
            <w:tcW w:type="dxa" w:w="4320"/>
          </w:tcPr>
          <w:p>
            <w:r>
              <w:t>Total quoted value, generally formula-derived from product entries.</w:t>
            </w:r>
          </w:p>
        </w:tc>
      </w:tr>
      <w:tr>
        <w:tc>
          <w:tcPr>
            <w:tcW w:type="dxa" w:w="4320"/>
          </w:tcPr>
          <w:p>
            <w:r>
              <w:t>Combo</w:t>
            </w:r>
          </w:p>
        </w:tc>
        <w:tc>
          <w:tcPr>
            <w:tcW w:type="dxa" w:w="4320"/>
          </w:tcPr>
          <w:p>
            <w:r>
              <w:t>Bundled product or service package.</w:t>
            </w:r>
          </w:p>
        </w:tc>
      </w:tr>
      <w:tr>
        <w:tc>
          <w:tcPr>
            <w:tcW w:type="dxa" w:w="4320"/>
          </w:tcPr>
          <w:p>
            <w:r>
              <w:t>IVC</w:t>
            </w:r>
          </w:p>
        </w:tc>
        <w:tc>
          <w:tcPr>
            <w:tcW w:type="dxa" w:w="4320"/>
          </w:tcPr>
          <w:p>
            <w:r>
              <w:t>Abbreviated product or service; exact meaning unknown.</w:t>
            </w:r>
          </w:p>
        </w:tc>
      </w:tr>
      <w:tr>
        <w:tc>
          <w:tcPr>
            <w:tcW w:type="dxa" w:w="4320"/>
          </w:tcPr>
          <w:p>
            <w:r>
              <w:t>Insurance</w:t>
            </w:r>
          </w:p>
        </w:tc>
        <w:tc>
          <w:tcPr>
            <w:tcW w:type="dxa" w:w="4320"/>
          </w:tcPr>
          <w:p>
            <w:r>
              <w:t>Insurance-related component; duplicate Insurance headings exist on some sheets.</w:t>
            </w:r>
          </w:p>
        </w:tc>
      </w:tr>
      <w:tr>
        <w:tc>
          <w:tcPr>
            <w:tcW w:type="dxa" w:w="4320"/>
          </w:tcPr>
          <w:p>
            <w:r>
              <w:t>Mafori Card / Mafori Voucher</w:t>
            </w:r>
          </w:p>
        </w:tc>
        <w:tc>
          <w:tcPr>
            <w:tcW w:type="dxa" w:w="4320"/>
          </w:tcPr>
          <w:p>
            <w:r>
              <w:t>Card and voucher product amounts.</w:t>
            </w:r>
          </w:p>
        </w:tc>
      </w:tr>
      <w:tr>
        <w:tc>
          <w:tcPr>
            <w:tcW w:type="dxa" w:w="4320"/>
          </w:tcPr>
          <w:p>
            <w:r>
              <w:t>Credit Rescue / Credit Repair</w:t>
            </w:r>
          </w:p>
        </w:tc>
        <w:tc>
          <w:tcPr>
            <w:tcW w:type="dxa" w:w="4320"/>
          </w:tcPr>
          <w:p>
            <w:r>
              <w:t>Credit advisory-related product amounts.</w:t>
            </w:r>
          </w:p>
        </w:tc>
      </w:tr>
      <w:tr>
        <w:tc>
          <w:tcPr>
            <w:tcW w:type="dxa" w:w="4320"/>
          </w:tcPr>
          <w:p>
            <w:r>
              <w:t>Credit Repair Debit Order</w:t>
            </w:r>
          </w:p>
        </w:tc>
        <w:tc>
          <w:tcPr>
            <w:tcW w:type="dxa" w:w="4320"/>
          </w:tcPr>
          <w:p>
            <w:r>
              <w:t>Debit-order-related credit repair component.</w:t>
            </w:r>
          </w:p>
        </w:tc>
      </w:tr>
      <w:tr>
        <w:tc>
          <w:tcPr>
            <w:tcW w:type="dxa" w:w="4320"/>
          </w:tcPr>
          <w:p>
            <w:r>
              <w:t>Speed Service</w:t>
            </w:r>
          </w:p>
        </w:tc>
        <w:tc>
          <w:tcPr>
            <w:tcW w:type="dxa" w:w="4320"/>
          </w:tcPr>
          <w:p>
            <w:r>
              <w:t>Possible expedited service charge.</w:t>
            </w:r>
          </w:p>
        </w:tc>
      </w:tr>
      <w:tr>
        <w:tc>
          <w:tcPr>
            <w:tcW w:type="dxa" w:w="4320"/>
          </w:tcPr>
          <w:p>
            <w:r>
              <w:t>Cash Advance Lite</w:t>
            </w:r>
          </w:p>
        </w:tc>
        <w:tc>
          <w:tcPr>
            <w:tcW w:type="dxa" w:w="4320"/>
          </w:tcPr>
          <w:p>
            <w:r>
              <w:t>Cash advance product amount.</w:t>
            </w:r>
          </w:p>
        </w:tc>
      </w:tr>
      <w:tr>
        <w:tc>
          <w:tcPr>
            <w:tcW w:type="dxa" w:w="4320"/>
          </w:tcPr>
          <w:p>
            <w:r>
              <w:t>Grocery</w:t>
            </w:r>
          </w:p>
        </w:tc>
        <w:tc>
          <w:tcPr>
            <w:tcW w:type="dxa" w:w="4320"/>
          </w:tcPr>
          <w:p>
            <w:r>
              <w:t>Grocery-related product amount.</w:t>
            </w:r>
          </w:p>
        </w:tc>
      </w:tr>
      <w:tr>
        <w:tc>
          <w:tcPr>
            <w:tcW w:type="dxa" w:w="4320"/>
          </w:tcPr>
          <w:p>
            <w:r>
              <w:t>Housing Admin</w:t>
            </w:r>
          </w:p>
        </w:tc>
        <w:tc>
          <w:tcPr>
            <w:tcW w:type="dxa" w:w="4320"/>
          </w:tcPr>
          <w:p>
            <w:r>
              <w:t>Housing administration component.</w:t>
            </w:r>
          </w:p>
        </w:tc>
      </w:tr>
      <w:tr>
        <w:tc>
          <w:tcPr>
            <w:tcW w:type="dxa" w:w="4320"/>
          </w:tcPr>
          <w:p>
            <w:r>
              <w:t>Mafori Wellness</w:t>
            </w:r>
          </w:p>
        </w:tc>
        <w:tc>
          <w:tcPr>
            <w:tcW w:type="dxa" w:w="4320"/>
          </w:tcPr>
          <w:p>
            <w:r>
              <w:t>Wellness-related component.</w:t>
            </w:r>
          </w:p>
        </w:tc>
      </w:tr>
      <w:tr>
        <w:tc>
          <w:tcPr>
            <w:tcW w:type="dxa" w:w="4320"/>
          </w:tcPr>
          <w:p>
            <w:r>
              <w:t>Volutary Distribution</w:t>
            </w:r>
          </w:p>
        </w:tc>
        <w:tc>
          <w:tcPr>
            <w:tcW w:type="dxa" w:w="4320"/>
          </w:tcPr>
          <w:p>
            <w:r>
              <w:t>Distribution-related component; heading spelling follows the workbook.</w:t>
            </w:r>
          </w:p>
        </w:tc>
      </w:tr>
      <w:tr>
        <w:tc>
          <w:tcPr>
            <w:tcW w:type="dxa" w:w="4320"/>
          </w:tcPr>
          <w:p>
            <w:r>
              <w:t>Policy Replacement</w:t>
            </w:r>
          </w:p>
        </w:tc>
        <w:tc>
          <w:tcPr>
            <w:tcW w:type="dxa" w:w="4320"/>
          </w:tcPr>
          <w:p>
            <w:r>
              <w:t>Product category on Sunday sheet.</w:t>
            </w:r>
          </w:p>
        </w:tc>
      </w:tr>
    </w:tbl>
    <w:p/>
    <w:p>
      <w:r>
        <w:t>Illustrative product sum: Combo R1,500 + Insurance R225 + Mafori Card R175 = Quotation R1,900. This explains the possible arithmetic, not the commercial meaning of those amounts.</w:t>
      </w:r>
    </w:p>
    <w:p>
      <w:pPr>
        <w:pStyle w:val="Heading2"/>
      </w:pPr>
      <w:r>
        <w:t>C. Financial and payment fields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Possible purpose / key uncertainty</w:t>
            </w:r>
          </w:p>
        </w:tc>
      </w:tr>
      <w:tr>
        <w:tc>
          <w:tcPr>
            <w:tcW w:type="dxa" w:w="4320"/>
          </w:tcPr>
          <w:p>
            <w:r>
              <w:t>Amount to Client</w:t>
            </w:r>
          </w:p>
        </w:tc>
        <w:tc>
          <w:tcPr>
            <w:tcW w:type="dxa" w:w="4320"/>
          </w:tcPr>
          <w:p>
            <w:r>
              <w:t>Possible payout or disbursement; confirm meaning and stage.</w:t>
            </w:r>
          </w:p>
        </w:tc>
      </w:tr>
      <w:tr>
        <w:tc>
          <w:tcPr>
            <w:tcW w:type="dxa" w:w="4320"/>
          </w:tcPr>
          <w:p>
            <w:r>
              <w:t>3rd Party Settlement</w:t>
            </w:r>
          </w:p>
        </w:tc>
        <w:tc>
          <w:tcPr>
            <w:tcW w:type="dxa" w:w="4320"/>
          </w:tcPr>
          <w:p>
            <w:r>
              <w:t>Amount for third-party settlement; confirm recipient and purpose.</w:t>
            </w:r>
          </w:p>
        </w:tc>
      </w:tr>
      <w:tr>
        <w:tc>
          <w:tcPr>
            <w:tcW w:type="dxa" w:w="4320"/>
          </w:tcPr>
          <w:p>
            <w:r>
              <w:t>Banked</w:t>
            </w:r>
          </w:p>
        </w:tc>
        <w:tc>
          <w:tcPr>
            <w:tcW w:type="dxa" w:w="4320"/>
          </w:tcPr>
          <w:p>
            <w:r>
              <w:t>Formula-derived amount in many rows; do not equate with confirmed cash receipt without verification.</w:t>
            </w:r>
          </w:p>
        </w:tc>
      </w:tr>
      <w:tr>
        <w:tc>
          <w:tcPr>
            <w:tcW w:type="dxa" w:w="4320"/>
          </w:tcPr>
          <w:p>
            <w:r>
              <w:t>Payment Term</w:t>
            </w:r>
          </w:p>
        </w:tc>
        <w:tc>
          <w:tcPr>
            <w:tcW w:type="dxa" w:w="4320"/>
          </w:tcPr>
          <w:p>
            <w:r>
              <w:t>Payment arrangement, including once-off entries; confirm full list of options.</w:t>
            </w:r>
          </w:p>
        </w:tc>
      </w:tr>
    </w:tbl>
    <w:p/>
    <w:p>
      <w:r>
        <w:t>Example: one Friday transaction quotes R1,900 but banks R1,725 because the banked formula includes Combo and Insurance and excludes Mafori Card. Confirm the exact inclusion/exclusion rules for every product and whether “banked” is an accounting or sales measure.</w:t>
      </w:r>
    </w:p>
    <w:p>
      <w:pPr>
        <w:pStyle w:val="Heading2"/>
      </w:pPr>
      <w:r>
        <w:t>D. Employer, structure, consultant and budgeting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Apparent purpose</w:t>
            </w:r>
          </w:p>
        </w:tc>
      </w:tr>
      <w:tr>
        <w:tc>
          <w:tcPr>
            <w:tcW w:type="dxa" w:w="4320"/>
          </w:tcPr>
          <w:p>
            <w:r>
              <w:t>Employer</w:t>
            </w:r>
          </w:p>
        </w:tc>
        <w:tc>
          <w:tcPr>
            <w:tcW w:type="dxa" w:w="4320"/>
          </w:tcPr>
          <w:p>
            <w:r>
              <w:t>Client employer or affiliated organization.</w:t>
            </w:r>
          </w:p>
        </w:tc>
      </w:tr>
      <w:tr>
        <w:tc>
          <w:tcPr>
            <w:tcW w:type="dxa" w:w="4320"/>
          </w:tcPr>
          <w:p>
            <w:r>
              <w:t>Structure</w:t>
            </w:r>
          </w:p>
        </w:tc>
        <w:tc>
          <w:tcPr>
            <w:tcW w:type="dxa" w:w="4320"/>
          </w:tcPr>
          <w:p>
            <w:r>
              <w:t>Financial/business structure, provider or arrangement; exact meaning unknown.</w:t>
            </w:r>
          </w:p>
        </w:tc>
      </w:tr>
      <w:tr>
        <w:tc>
          <w:tcPr>
            <w:tcW w:type="dxa" w:w="4320"/>
          </w:tcPr>
          <w:p>
            <w:r>
              <w:t>Consultant</w:t>
            </w:r>
          </w:p>
        </w:tc>
        <w:tc>
          <w:tcPr>
            <w:tcW w:type="dxa" w:w="4320"/>
          </w:tcPr>
          <w:p>
            <w:r>
              <w:t>Staff member attributed to the record; used in consultant summaries.</w:t>
            </w:r>
          </w:p>
        </w:tc>
      </w:tr>
      <w:tr>
        <w:tc>
          <w:tcPr>
            <w:tcW w:type="dxa" w:w="4320"/>
          </w:tcPr>
          <w:p>
            <w:r>
              <w:t>Primary Structure Budget List</w:t>
            </w:r>
          </w:p>
        </w:tc>
        <w:tc>
          <w:tcPr>
            <w:tcW w:type="dxa" w:w="4320"/>
          </w:tcPr>
          <w:p>
            <w:r>
              <w:t>Budget details for primary arrangement; definition unknown.</w:t>
            </w:r>
          </w:p>
        </w:tc>
      </w:tr>
      <w:tr>
        <w:tc>
          <w:tcPr>
            <w:tcW w:type="dxa" w:w="4320"/>
          </w:tcPr>
          <w:p>
            <w:r>
              <w:t>Primary Structure Loan Amount</w:t>
            </w:r>
          </w:p>
        </w:tc>
        <w:tc>
          <w:tcPr>
            <w:tcW w:type="dxa" w:w="4320"/>
          </w:tcPr>
          <w:p>
            <w:r>
              <w:t>Loan amount for primary arrangement; requested/approved/paid status unknown.</w:t>
            </w:r>
          </w:p>
        </w:tc>
      </w:tr>
      <w:tr>
        <w:tc>
          <w:tcPr>
            <w:tcW w:type="dxa" w:w="4320"/>
          </w:tcPr>
          <w:p>
            <w:r>
              <w:t>Secondary Structure Budget List</w:t>
            </w:r>
          </w:p>
        </w:tc>
        <w:tc>
          <w:tcPr>
            <w:tcW w:type="dxa" w:w="4320"/>
          </w:tcPr>
          <w:p>
            <w:r>
              <w:t>Budget details for secondary arrangement; definition unknown.</w:t>
            </w:r>
          </w:p>
        </w:tc>
      </w:tr>
      <w:tr>
        <w:tc>
          <w:tcPr>
            <w:tcW w:type="dxa" w:w="4320"/>
          </w:tcPr>
          <w:p>
            <w:r>
              <w:t>Secondary Structure Loan Amount</w:t>
            </w:r>
          </w:p>
        </w:tc>
        <w:tc>
          <w:tcPr>
            <w:tcW w:type="dxa" w:w="4320"/>
          </w:tcPr>
          <w:p>
            <w:r>
              <w:t>Loan amount for secondary arrangement; requested/approved/paid status unknown.</w:t>
            </w:r>
          </w:p>
        </w:tc>
      </w:tr>
    </w:tbl>
    <w:p/>
    <w:p>
      <w:pPr>
        <w:pStyle w:val="Heading1"/>
      </w:pPr>
      <w:r>
        <w:t>4. Apparent record workflow</w:t>
      </w:r>
    </w:p>
    <w:p>
      <w:pPr>
        <w:pStyle w:val="ListNumber"/>
      </w:pPr>
      <w:r>
        <w:t>Identify client and activity date.</w:t>
      </w:r>
    </w:p>
    <w:p>
      <w:pPr>
        <w:pStyle w:val="ListNumber"/>
      </w:pPr>
      <w:r>
        <w:t>Enter the relevant products and amounts.</w:t>
      </w:r>
    </w:p>
    <w:p>
      <w:pPr>
        <w:pStyle w:val="ListNumber"/>
      </w:pPr>
      <w:r>
        <w:t>Calculate the quotation from included product columns.</w:t>
      </w:r>
    </w:p>
    <w:p>
      <w:pPr>
        <w:pStyle w:val="ListNumber"/>
      </w:pPr>
      <w:r>
        <w:t>Calculate banked value using a different selection of product columns.</w:t>
      </w:r>
    </w:p>
    <w:p>
      <w:pPr>
        <w:pStyle w:val="ListNumber"/>
      </w:pPr>
      <w:r>
        <w:t>Capture payment term, employer, structure and consultant.</w:t>
      </w:r>
    </w:p>
    <w:p>
      <w:pPr>
        <w:pStyle w:val="ListNumber"/>
      </w:pPr>
      <w:r>
        <w:t>Roll up the daily data into the weekly Report and product/consultant Breakdown.</w:t>
      </w:r>
    </w:p>
    <w:p>
      <w:r>
        <w:t>This is the sequence implied by the spreadsheet layout; the company must confirm the actual workflow and what triggers each step.</w:t>
      </w:r>
    </w:p>
    <w:p>
      <w:pPr>
        <w:pStyle w:val="Heading1"/>
      </w:pPr>
      <w:r>
        <w:t>5. Report worksheet — management purpose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Interpretation</w:t>
            </w:r>
          </w:p>
        </w:tc>
      </w:tr>
      <w:tr>
        <w:tc>
          <w:tcPr>
            <w:tcW w:type="dxa" w:w="4320"/>
          </w:tcPr>
          <w:p>
            <w:r>
              <w:t>Quotation</w:t>
            </w:r>
          </w:p>
        </w:tc>
        <w:tc>
          <w:tcPr>
            <w:tcW w:type="dxa" w:w="4320"/>
          </w:tcPr>
          <w:p>
            <w:r>
              <w:t>Sum of daily quotation values.</w:t>
            </w:r>
          </w:p>
        </w:tc>
      </w:tr>
      <w:tr>
        <w:tc>
          <w:tcPr>
            <w:tcW w:type="dxa" w:w="4320"/>
          </w:tcPr>
          <w:p>
            <w:r>
              <w:t>Banked</w:t>
            </w:r>
          </w:p>
        </w:tc>
        <w:tc>
          <w:tcPr>
            <w:tcW w:type="dxa" w:w="4320"/>
          </w:tcPr>
          <w:p>
            <w:r>
              <w:t>Sum of daily banked values; definition needs confirmation.</w:t>
            </w:r>
          </w:p>
        </w:tc>
      </w:tr>
      <w:tr>
        <w:tc>
          <w:tcPr>
            <w:tcW w:type="dxa" w:w="4320"/>
          </w:tcPr>
          <w:p>
            <w:r>
              <w:t>Daily target</w:t>
            </w:r>
          </w:p>
        </w:tc>
        <w:tc>
          <w:tcPr>
            <w:tcW w:type="dxa" w:w="4320"/>
          </w:tcPr>
          <w:p>
            <w:r>
              <w:t>Quotation compared with R120,000; formula uses greater-than rather than greater-than-or-equal.</w:t>
            </w:r>
          </w:p>
        </w:tc>
      </w:tr>
      <w:tr>
        <w:tc>
          <w:tcPr>
            <w:tcW w:type="dxa" w:w="4320"/>
          </w:tcPr>
          <w:p>
            <w:r>
              <w:t>Number of clients</w:t>
            </w:r>
          </w:p>
        </w:tc>
        <w:tc>
          <w:tcPr>
            <w:tcW w:type="dxa" w:w="4320"/>
          </w:tcPr>
          <w:p>
            <w:r>
              <w:t>Intended daily count, but formulas include broken #REF! references and display zero.</w:t>
            </w:r>
          </w:p>
        </w:tc>
      </w:tr>
    </w:tbl>
    <w:p/>
    <w:p>
      <w:r>
        <w:t>The Report is designed to answer “How much business did we record today and did we meet target?” It does not establish how many distinct people were served, whether banked amounts were received, or whether every quotation became a completed transaction.</w:t>
      </w:r>
    </w:p>
    <w:p>
      <w:pPr>
        <w:pStyle w:val="Heading1"/>
      </w:pPr>
      <w:r>
        <w:t>6. Breakdown worksheet — consultant and product purpose</w:t>
      </w:r>
    </w:p>
    <w:p>
      <w:r>
        <w:t>The Breakdown groups daily product amounts by consultant and adds them into weekly totals. SUMIF formulas match a consultant name in the daily sheet and sum values from the relevant product column. It is therefore a product attribution report, not automatically a commission statement or proof of collected cash.</w:t>
      </w:r>
    </w:p>
    <w:p>
      <w:r>
        <w:t>Illustrative formula pattern: =SUMIF(Monday!AA:AA,Breakdown!A3,Monday!E:E). This finds a consultant in Monday column AA and sums corresponding Combo values in column E. Since column locations differ by day, formulas must be reviewed per sheet.</w:t>
      </w:r>
    </w:p>
    <w:p>
      <w:pPr>
        <w:pStyle w:val="Heading1"/>
      </w:pPr>
      <w:r>
        <w:t>7. Dashboard worksheet — intended audience</w:t>
      </w:r>
    </w:p>
    <w:p>
      <w:r>
        <w:t>The Dashboard appears intended to present management-friendly visualizations of totals and performance. Potential views include daily quotation/banked values, target attainment, product mix and consultant performance. The workbook does not fully define which measures are authoritative or how users should interpret them.</w:t>
      </w:r>
    </w:p>
    <w:p>
      <w:pPr>
        <w:pStyle w:val="Heading1"/>
      </w:pPr>
      <w:r>
        <w:t>8. Structural inconsistencies and interpretation risks</w:t>
      </w:r>
    </w:p>
    <w:p>
      <w:pPr>
        <w:pStyle w:val="ListBullet"/>
      </w:pPr>
      <w:r>
        <w:t>Day sheets have different numbers and positions of columns, so the same letter does not always mean the same field.</w:t>
      </w:r>
    </w:p>
    <w:p>
      <w:pPr>
        <w:pStyle w:val="ListBullet"/>
      </w:pPr>
      <w:r>
        <w:t>Monday and Tuesday contain duplicate Insurance headings; other days omit certain products.</w:t>
      </w:r>
    </w:p>
    <w:p>
      <w:pPr>
        <w:pStyle w:val="ListBullet"/>
      </w:pPr>
      <w:r>
        <w:t>Wednesday is named “Wednsday” in the actual file.</w:t>
      </w:r>
    </w:p>
    <w:p>
      <w:pPr>
        <w:pStyle w:val="ListBullet"/>
      </w:pPr>
      <w:r>
        <w:t>The Report client-count references are broken; zero counts should not be treated as true client totals.</w:t>
      </w:r>
    </w:p>
    <w:p>
      <w:pPr>
        <w:pStyle w:val="ListBullet"/>
      </w:pPr>
      <w:r>
        <w:t>The Breakdown includes at least one #REF! formula.</w:t>
      </w:r>
    </w:p>
    <w:p>
      <w:pPr>
        <w:pStyle w:val="ListBullet"/>
      </w:pPr>
      <w:r>
        <w:t>Many worksheets contain thousands of formatted/formula rows beyond the populated client entries.</w:t>
      </w:r>
    </w:p>
    <w:p>
      <w:pPr>
        <w:pStyle w:val="ListBullet"/>
      </w:pPr>
      <w:r>
        <w:t>Some records have missing dates; a sheet name alone is not a durable transaction date.</w:t>
      </w:r>
    </w:p>
    <w:p>
      <w:pPr>
        <w:pStyle w:val="ListBullet"/>
      </w:pPr>
      <w:r>
        <w:t>Product totals can overlap with quotation/banked totals and should not be combined without definitions.</w:t>
      </w:r>
    </w:p>
    <w:p>
      <w:pPr>
        <w:pStyle w:val="Heading1"/>
      </w:pPr>
      <w:r>
        <w:t>9. Stakeholder questions for the meeting</w:t>
      </w:r>
    </w:p>
    <w:p>
      <w:pPr>
        <w:pStyle w:val="ListNumber"/>
      </w:pPr>
      <w:r>
        <w:t>Does each row mean a client, a quotation, an application, or a completed sale?</w:t>
      </w:r>
    </w:p>
    <w:p>
      <w:pPr>
        <w:pStyle w:val="ListNumber"/>
      </w:pPr>
      <w:r>
        <w:t>What are the exact definitions of Quotation and Banked?</w:t>
      </w:r>
    </w:p>
    <w:p>
      <w:pPr>
        <w:pStyle w:val="ListNumber"/>
      </w:pPr>
      <w:r>
        <w:t>Why are some product values excluded from Banked?</w:t>
      </w:r>
    </w:p>
    <w:p>
      <w:pPr>
        <w:pStyle w:val="ListNumber"/>
      </w:pPr>
      <w:r>
        <w:t>What does each product name mean, especially IVC and Combo?</w:t>
      </w:r>
    </w:p>
    <w:p>
      <w:pPr>
        <w:pStyle w:val="ListNumber"/>
      </w:pPr>
      <w:r>
        <w:t>Are product prices fixed, negotiated, or calculated?</w:t>
      </w:r>
    </w:p>
    <w:p>
      <w:pPr>
        <w:pStyle w:val="ListNumber"/>
      </w:pPr>
      <w:r>
        <w:t>What do Primary and Secondary Structures mean?</w:t>
      </w:r>
    </w:p>
    <w:p>
      <w:pPr>
        <w:pStyle w:val="ListNumber"/>
      </w:pPr>
      <w:r>
        <w:t>What is the distinction between budget list and loan amount?</w:t>
      </w:r>
    </w:p>
    <w:p>
      <w:pPr>
        <w:pStyle w:val="ListNumber"/>
      </w:pPr>
      <w:r>
        <w:t>Does Amount to Client represent requested, approved or disbursed funds?</w:t>
      </w:r>
    </w:p>
    <w:p>
      <w:pPr>
        <w:pStyle w:val="ListNumber"/>
      </w:pPr>
      <w:r>
        <w:t>Who receives 3rd Party Settlement amounts?</w:t>
      </w:r>
    </w:p>
    <w:p>
      <w:pPr>
        <w:pStyle w:val="ListNumber"/>
      </w:pPr>
      <w:r>
        <w:t>How is payment verified, and what are the payment-term options?</w:t>
      </w:r>
    </w:p>
    <w:p>
      <w:pPr>
        <w:pStyle w:val="ListNumber"/>
      </w:pPr>
      <w:r>
        <w:t>Can the same client have multiple rows or appear on multiple days?</w:t>
      </w:r>
    </w:p>
    <w:p>
      <w:pPr>
        <w:pStyle w:val="ListNumber"/>
      </w:pPr>
      <w:r>
        <w:t>What constitutes a successful transaction?</w:t>
      </w:r>
    </w:p>
    <w:p>
      <w:pPr>
        <w:pStyle w:val="ListNumber"/>
      </w:pPr>
      <w:r>
        <w:t>What are the authoritative daily, weekly and consultant performance measures?</w:t>
      </w:r>
    </w:p>
    <w:p>
      <w:pPr>
        <w:pStyle w:val="ListNumber"/>
      </w:pPr>
      <w:r>
        <w:t>Who enters records, who checks them and who approves corrections?</w:t>
      </w:r>
    </w:p>
    <w:p>
      <w:pPr>
        <w:pStyle w:val="ListNumber"/>
      </w:pPr>
      <w:r>
        <w:t>Which dashboard figures does management actually use?</w:t>
      </w:r>
    </w:p>
    <w:p>
      <w:pPr>
        <w:pStyle w:val="Heading1"/>
      </w:pPr>
      <w:r>
        <w:t>10. Meeting takeaway</w:t>
      </w:r>
    </w:p>
    <w:p>
      <w:r>
        <w:t>The spreadsheet connects client activity, product components, financial calculations, consultant attribution and management performance. It is a useful description of what is recorded, but not a complete explanation of why it is recorded or what each amount means. The immediate goal is to validate business definitions and calculation rules with the owners of the process before using the workbook as the source of requirements.</w:t>
      </w:r>
    </w:p>
    <w:sectPr w:rsidR="00FC693F" w:rsidRPr="0006063C" w:rsidSect="00034616">
      <w:headerReference w:type="default" r:id="rId9"/>
      <w:footerReference w:type="default" r:id="rId10"/>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team discussion copy  •  No client names or national ID numbers reproduced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CREDIT ADVISORY  /  BUSINESS PROCESS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2E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2E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2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