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B6E71" w14:textId="77777777" w:rsidR="00B75B90" w:rsidRPr="00E91D15" w:rsidRDefault="00B75B90" w:rsidP="00B75B90">
      <w:pPr>
        <w:ind w:left="1800" w:right="1800"/>
        <w:jc w:val="center"/>
        <w:rPr>
          <w:sz w:val="24"/>
          <w:szCs w:val="24"/>
        </w:rPr>
      </w:pPr>
      <w:r w:rsidRPr="00E91D15">
        <w:rPr>
          <w:sz w:val="24"/>
          <w:szCs w:val="24"/>
        </w:rPr>
        <w:t>&lt;&lt;COURT_NAME&gt;&gt;</w:t>
      </w:r>
    </w:p>
    <w:tbl>
      <w:tblPr>
        <w:tblStyle w:val="TableGrid"/>
        <w:tblW w:w="96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90"/>
      </w:tblGrid>
      <w:tr w:rsidR="00B75B90" w:rsidRPr="00E91D15" w14:paraId="2BBE1525" w14:textId="77777777" w:rsidTr="00B86712">
        <w:tc>
          <w:tcPr>
            <w:tcW w:w="5040" w:type="dxa"/>
          </w:tcPr>
          <w:p w14:paraId="4C08DD9C" w14:textId="77777777" w:rsidR="00B75B90" w:rsidRPr="00E91D15" w:rsidRDefault="00B75B90" w:rsidP="00B86712">
            <w:pPr>
              <w:rPr>
                <w:sz w:val="24"/>
                <w:szCs w:val="24"/>
              </w:rPr>
            </w:pPr>
            <w:r w:rsidRPr="00E91D15">
              <w:rPr>
                <w:sz w:val="24"/>
                <w:szCs w:val="24"/>
              </w:rPr>
              <w:t xml:space="preserve">&lt;&lt;PROVIDER_SUITNAME&gt;&gt;, </w:t>
            </w:r>
            <w:r w:rsidRPr="00E91D15">
              <w:rPr>
                <w:sz w:val="24"/>
                <w:szCs w:val="24"/>
              </w:rPr>
              <w:tab/>
            </w:r>
            <w:r w:rsidRPr="00E91D15">
              <w:rPr>
                <w:sz w:val="24"/>
                <w:szCs w:val="24"/>
              </w:rPr>
              <w:tab/>
            </w:r>
          </w:p>
          <w:p w14:paraId="0B2A8D7B" w14:textId="77777777" w:rsidR="00B75B90" w:rsidRPr="00E91D15" w:rsidRDefault="00B75B90" w:rsidP="00B86712">
            <w:pPr>
              <w:rPr>
                <w:sz w:val="24"/>
                <w:szCs w:val="24"/>
              </w:rPr>
            </w:pPr>
            <w:r w:rsidRPr="00E91D15">
              <w:rPr>
                <w:sz w:val="24"/>
                <w:szCs w:val="24"/>
              </w:rPr>
              <w:t>a/a/o &lt;&lt;INJUREDPARTY_NAME&gt;&gt;</w:t>
            </w:r>
            <w:r w:rsidRPr="00E91D15">
              <w:rPr>
                <w:sz w:val="24"/>
                <w:szCs w:val="24"/>
              </w:rPr>
              <w:tab/>
              <w:t xml:space="preserve">                                            </w:t>
            </w:r>
          </w:p>
          <w:p w14:paraId="7A82590F" w14:textId="77777777" w:rsidR="00B75B90" w:rsidRPr="00E91D15" w:rsidRDefault="00B75B90" w:rsidP="00B86712">
            <w:pPr>
              <w:rPr>
                <w:sz w:val="24"/>
                <w:szCs w:val="24"/>
              </w:rPr>
            </w:pPr>
            <w:r w:rsidRPr="00E91D15">
              <w:rPr>
                <w:sz w:val="24"/>
                <w:szCs w:val="24"/>
              </w:rPr>
              <w:tab/>
            </w:r>
            <w:r w:rsidRPr="00E91D15">
              <w:rPr>
                <w:sz w:val="24"/>
                <w:szCs w:val="24"/>
              </w:rPr>
              <w:tab/>
            </w:r>
            <w:r w:rsidRPr="00E91D15">
              <w:rPr>
                <w:sz w:val="24"/>
                <w:szCs w:val="24"/>
              </w:rPr>
              <w:tab/>
              <w:t xml:space="preserve">                                </w:t>
            </w:r>
          </w:p>
          <w:p w14:paraId="759F892F" w14:textId="77777777" w:rsidR="00B75B90" w:rsidRPr="00E91D15" w:rsidRDefault="00B75B90" w:rsidP="00B86712">
            <w:pPr>
              <w:rPr>
                <w:sz w:val="24"/>
                <w:szCs w:val="24"/>
              </w:rPr>
            </w:pPr>
            <w:r w:rsidRPr="00E91D15">
              <w:rPr>
                <w:sz w:val="24"/>
                <w:szCs w:val="24"/>
              </w:rPr>
              <w:tab/>
              <w:t>Plaintiff,</w:t>
            </w:r>
          </w:p>
          <w:p w14:paraId="045ED048" w14:textId="77777777" w:rsidR="00B75B90" w:rsidRPr="00E91D15" w:rsidRDefault="00B75B90" w:rsidP="00B86712">
            <w:pPr>
              <w:rPr>
                <w:sz w:val="24"/>
                <w:szCs w:val="24"/>
              </w:rPr>
            </w:pPr>
          </w:p>
          <w:p w14:paraId="4469058A" w14:textId="77777777" w:rsidR="00B75B90" w:rsidRPr="00E91D15" w:rsidRDefault="00B75B90" w:rsidP="00B86712">
            <w:pPr>
              <w:rPr>
                <w:sz w:val="24"/>
                <w:szCs w:val="24"/>
              </w:rPr>
            </w:pPr>
            <w:r w:rsidRPr="00E91D15">
              <w:rPr>
                <w:sz w:val="24"/>
                <w:szCs w:val="24"/>
              </w:rPr>
              <w:t>vs.</w:t>
            </w:r>
          </w:p>
          <w:p w14:paraId="0C065F7E" w14:textId="77777777" w:rsidR="00B75B90" w:rsidRPr="00E91D15" w:rsidRDefault="00B75B90" w:rsidP="00B86712">
            <w:pPr>
              <w:rPr>
                <w:sz w:val="24"/>
                <w:szCs w:val="24"/>
              </w:rPr>
            </w:pPr>
          </w:p>
          <w:p w14:paraId="6B8A2EE0" w14:textId="77777777" w:rsidR="00B75B90" w:rsidRPr="00E91D15" w:rsidRDefault="00B75B90" w:rsidP="00B86712">
            <w:pPr>
              <w:rPr>
                <w:sz w:val="24"/>
                <w:szCs w:val="24"/>
              </w:rPr>
            </w:pPr>
            <w:r w:rsidRPr="00E91D15">
              <w:rPr>
                <w:sz w:val="24"/>
                <w:szCs w:val="24"/>
              </w:rPr>
              <w:t>&lt;&lt;INSURANCECOMPANY_SUITNAME&gt;&gt;</w:t>
            </w:r>
          </w:p>
          <w:p w14:paraId="2F3539DE" w14:textId="77777777" w:rsidR="00B75B90" w:rsidRPr="00E91D15" w:rsidRDefault="00B75B90" w:rsidP="00B86712">
            <w:pPr>
              <w:rPr>
                <w:sz w:val="24"/>
                <w:szCs w:val="24"/>
              </w:rPr>
            </w:pPr>
          </w:p>
          <w:p w14:paraId="27F9C21B" w14:textId="77777777" w:rsidR="00B75B90" w:rsidRPr="00E91D15" w:rsidRDefault="00B75B90" w:rsidP="00B86712">
            <w:pPr>
              <w:ind w:left="720"/>
              <w:rPr>
                <w:sz w:val="24"/>
                <w:szCs w:val="24"/>
              </w:rPr>
            </w:pPr>
            <w:r w:rsidRPr="00E91D15">
              <w:rPr>
                <w:sz w:val="24"/>
                <w:szCs w:val="24"/>
              </w:rPr>
              <w:tab/>
              <w:t>Defendant.</w:t>
            </w:r>
          </w:p>
        </w:tc>
        <w:tc>
          <w:tcPr>
            <w:tcW w:w="4590" w:type="dxa"/>
          </w:tcPr>
          <w:p w14:paraId="33985216" w14:textId="77777777" w:rsidR="00B75B90" w:rsidRPr="00E91D15" w:rsidRDefault="00B75B90" w:rsidP="00B86712">
            <w:pPr>
              <w:rPr>
                <w:sz w:val="24"/>
                <w:szCs w:val="24"/>
              </w:rPr>
            </w:pPr>
            <w:r w:rsidRPr="00E91D15">
              <w:rPr>
                <w:sz w:val="24"/>
                <w:szCs w:val="24"/>
              </w:rPr>
              <w:t>Case No. &lt;&lt;INDEXORAAA_NUMBER&gt;&gt;</w:t>
            </w:r>
            <w:r w:rsidRPr="00E91D15">
              <w:rPr>
                <w:sz w:val="24"/>
                <w:szCs w:val="24"/>
              </w:rPr>
              <w:br/>
            </w:r>
          </w:p>
          <w:p w14:paraId="7591EC62" w14:textId="77777777" w:rsidR="00B75B90" w:rsidRPr="00E91D15" w:rsidRDefault="00B75B90" w:rsidP="00B86712">
            <w:pPr>
              <w:rPr>
                <w:sz w:val="24"/>
                <w:szCs w:val="24"/>
              </w:rPr>
            </w:pPr>
          </w:p>
          <w:p w14:paraId="7A2655FF" w14:textId="77777777" w:rsidR="00B75B90" w:rsidRPr="00E91D15" w:rsidRDefault="00B75B90" w:rsidP="00B86712">
            <w:pPr>
              <w:rPr>
                <w:sz w:val="24"/>
                <w:szCs w:val="24"/>
              </w:rPr>
            </w:pPr>
          </w:p>
        </w:tc>
      </w:tr>
    </w:tbl>
    <w:p w14:paraId="363DE982" w14:textId="77777777" w:rsidR="00B75B90" w:rsidRPr="00E91D15" w:rsidRDefault="00B75B90" w:rsidP="00B75B90">
      <w:pPr>
        <w:rPr>
          <w:sz w:val="24"/>
          <w:szCs w:val="24"/>
        </w:rPr>
      </w:pPr>
      <w:r w:rsidRPr="00E91D15">
        <w:rPr>
          <w:sz w:val="24"/>
          <w:szCs w:val="24"/>
        </w:rPr>
        <w:t>__________________________________________/</w:t>
      </w:r>
    </w:p>
    <w:p w14:paraId="0033FB7E" w14:textId="77777777" w:rsidR="00B75B90" w:rsidRPr="00E91D15" w:rsidRDefault="00B75B90" w:rsidP="00B75B90">
      <w:pPr>
        <w:suppressAutoHyphens/>
        <w:spacing w:before="240" w:line="480" w:lineRule="auto"/>
        <w:jc w:val="center"/>
        <w:rPr>
          <w:b/>
          <w:sz w:val="24"/>
          <w:szCs w:val="24"/>
          <w:u w:val="single"/>
        </w:rPr>
      </w:pPr>
      <w:r w:rsidRPr="00E91D15">
        <w:rPr>
          <w:b/>
          <w:sz w:val="24"/>
          <w:szCs w:val="24"/>
          <w:u w:val="single"/>
        </w:rPr>
        <w:t xml:space="preserve">PLAINTIFF’S </w:t>
      </w:r>
      <w:r>
        <w:rPr>
          <w:b/>
          <w:sz w:val="24"/>
          <w:szCs w:val="24"/>
          <w:u w:val="single"/>
        </w:rPr>
        <w:t>MOTION TO STAY PROCEEDINGS</w:t>
      </w:r>
    </w:p>
    <w:p w14:paraId="6543CD63" w14:textId="77777777" w:rsidR="00B75B90" w:rsidRPr="00E91D15" w:rsidRDefault="00B75B90" w:rsidP="00B75B90">
      <w:pPr>
        <w:suppressAutoHyphens/>
        <w:spacing w:line="480" w:lineRule="auto"/>
        <w:ind w:firstLine="720"/>
        <w:jc w:val="both"/>
        <w:rPr>
          <w:sz w:val="24"/>
          <w:szCs w:val="24"/>
        </w:rPr>
      </w:pPr>
      <w:r w:rsidRPr="00E91D15">
        <w:rPr>
          <w:sz w:val="24"/>
        </w:rPr>
        <w:t>Plaintiff</w:t>
      </w:r>
      <w:r w:rsidRPr="00E91D15">
        <w:rPr>
          <w:sz w:val="24"/>
          <w:szCs w:val="24"/>
        </w:rPr>
        <w:t xml:space="preserve">, </w:t>
      </w:r>
      <w:r w:rsidRPr="00E91D15">
        <w:rPr>
          <w:sz w:val="24"/>
        </w:rPr>
        <w:t xml:space="preserve">&lt;&lt;PROVIDER_SUITNAME&gt;&gt;, </w:t>
      </w:r>
      <w:r w:rsidRPr="00E91D15">
        <w:rPr>
          <w:sz w:val="24"/>
          <w:szCs w:val="24"/>
        </w:rPr>
        <w:t xml:space="preserve">by and through the undersigned counsel, hereby </w:t>
      </w:r>
      <w:r w:rsidRPr="00E91D15">
        <w:rPr>
          <w:spacing w:val="-3"/>
          <w:sz w:val="24"/>
          <w:szCs w:val="24"/>
        </w:rPr>
        <w:t xml:space="preserve">files this Motion </w:t>
      </w:r>
      <w:r>
        <w:rPr>
          <w:spacing w:val="-3"/>
          <w:sz w:val="24"/>
          <w:szCs w:val="24"/>
        </w:rPr>
        <w:t xml:space="preserve">to Stay Proceedings </w:t>
      </w:r>
      <w:r w:rsidRPr="00E91D15">
        <w:rPr>
          <w:spacing w:val="-3"/>
          <w:sz w:val="24"/>
          <w:szCs w:val="24"/>
        </w:rPr>
        <w:t>and in support thereof further states:</w:t>
      </w:r>
    </w:p>
    <w:p w14:paraId="752B4D25"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Plaintiff has brought a breach of contract action against the Defendant for failure to pay all insurance benefits due and owing to the Plaintiff under an assignment of benefits.</w:t>
      </w:r>
    </w:p>
    <w:p w14:paraId="193B682C"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 xml:space="preserve">Plaintiff had received the assignment of benefits from </w:t>
      </w:r>
      <w:r w:rsidRPr="00E91D15">
        <w:rPr>
          <w:sz w:val="24"/>
          <w:szCs w:val="24"/>
        </w:rPr>
        <w:t>&lt;&lt;INJUREDPARTY_NAME&gt;&gt;</w:t>
      </w:r>
      <w:r>
        <w:rPr>
          <w:sz w:val="24"/>
          <w:szCs w:val="24"/>
        </w:rPr>
        <w:t xml:space="preserve"> in exchange for certain engineering services performed directly relating to damage sustained in relation to an insurance claim.</w:t>
      </w:r>
    </w:p>
    <w:p w14:paraId="171830D6"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Defendant is now seeking summary judgment on the validity of Plaintiff’s assignment of benefits and/or on the issue of coverage of engineering services under the subject policy of insurance.</w:t>
      </w:r>
    </w:p>
    <w:p w14:paraId="161634D9"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The issues of the validity of the Plaintiff’s assignment of benefits in relation to Fla. Stat. §627.7152 and the coverage of engineering services under an all-risks HO-3 policy are issues of legal importance that are being analyzed around the state.</w:t>
      </w:r>
    </w:p>
    <w:p w14:paraId="6CF617A9"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These issues have previously been presented to this Court in a previous action and the Court’s decision is currently in appeal.</w:t>
      </w:r>
    </w:p>
    <w:p w14:paraId="37F69C64"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The Court has broad discretion in granting Motions to Stay a proceeding.</w:t>
      </w:r>
    </w:p>
    <w:p w14:paraId="0ADA74AF"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lastRenderedPageBreak/>
        <w:t xml:space="preserve">In </w:t>
      </w:r>
      <w:r w:rsidRPr="000338F1">
        <w:rPr>
          <w:sz w:val="24"/>
          <w:szCs w:val="24"/>
          <w:u w:val="single"/>
        </w:rPr>
        <w:t>Shake Consulting, LLC v. Sun Cruz Casinos, LLC</w:t>
      </w:r>
      <w:r>
        <w:rPr>
          <w:sz w:val="24"/>
          <w:szCs w:val="24"/>
        </w:rPr>
        <w:t>, 781 So.2d 494, 495 (Fla. 4</w:t>
      </w:r>
      <w:r w:rsidRPr="000338F1">
        <w:rPr>
          <w:sz w:val="24"/>
          <w:szCs w:val="24"/>
          <w:vertAlign w:val="superscript"/>
        </w:rPr>
        <w:t>th</w:t>
      </w:r>
      <w:r>
        <w:rPr>
          <w:sz w:val="24"/>
          <w:szCs w:val="24"/>
        </w:rPr>
        <w:t xml:space="preserve"> DCA 2001), the court of appeal upheld a trial court’s decision to stay a case, stating that the trial court acted within its discretion in granting the stay as there were numerous lawsuits pending involving many of the same issues, and there was the risk of inconsistent and/or duplicative rulings.</w:t>
      </w:r>
    </w:p>
    <w:p w14:paraId="79BB1492" w14:textId="77777777" w:rsidR="00B75B90" w:rsidRPr="0052416A" w:rsidRDefault="00B75B90" w:rsidP="00B75B90">
      <w:pPr>
        <w:pStyle w:val="ListParagraph"/>
        <w:numPr>
          <w:ilvl w:val="0"/>
          <w:numId w:val="13"/>
        </w:numPr>
        <w:suppressAutoHyphens/>
        <w:spacing w:line="480" w:lineRule="auto"/>
        <w:ind w:left="0" w:firstLine="720"/>
        <w:jc w:val="both"/>
        <w:rPr>
          <w:sz w:val="24"/>
          <w:szCs w:val="24"/>
        </w:rPr>
      </w:pPr>
      <w:r>
        <w:rPr>
          <w:sz w:val="24"/>
          <w:szCs w:val="24"/>
        </w:rPr>
        <w:t xml:space="preserve">In </w:t>
      </w:r>
      <w:r w:rsidRPr="002A1AFA">
        <w:rPr>
          <w:sz w:val="24"/>
          <w:szCs w:val="24"/>
          <w:u w:val="single"/>
        </w:rPr>
        <w:t xml:space="preserve">Rosenberg v. </w:t>
      </w:r>
      <w:proofErr w:type="spellStart"/>
      <w:r w:rsidRPr="002A1AFA">
        <w:rPr>
          <w:sz w:val="24"/>
          <w:szCs w:val="24"/>
          <w:u w:val="single"/>
        </w:rPr>
        <w:t>Zoberg</w:t>
      </w:r>
      <w:proofErr w:type="spellEnd"/>
      <w:r>
        <w:rPr>
          <w:sz w:val="24"/>
          <w:szCs w:val="24"/>
        </w:rPr>
        <w:t>, 680 So.2d 1050,1052 (Fla. 3</w:t>
      </w:r>
      <w:r w:rsidRPr="002A1AFA">
        <w:rPr>
          <w:sz w:val="24"/>
          <w:szCs w:val="24"/>
          <w:vertAlign w:val="superscript"/>
        </w:rPr>
        <w:t>rd</w:t>
      </w:r>
      <w:r>
        <w:rPr>
          <w:sz w:val="24"/>
          <w:szCs w:val="24"/>
        </w:rPr>
        <w:t xml:space="preserve"> DCA 1996), </w:t>
      </w:r>
      <w:r w:rsidRPr="000A2314">
        <w:rPr>
          <w:sz w:val="24"/>
          <w:szCs w:val="24"/>
        </w:rPr>
        <w:t xml:space="preserve">the </w:t>
      </w:r>
      <w:r>
        <w:rPr>
          <w:sz w:val="24"/>
          <w:szCs w:val="24"/>
        </w:rPr>
        <w:t>Third District Court of Appeals</w:t>
      </w:r>
      <w:r w:rsidRPr="000A2314">
        <w:rPr>
          <w:sz w:val="24"/>
          <w:szCs w:val="24"/>
        </w:rPr>
        <w:t xml:space="preserve"> held it was abuse of discretion for a trial judge to deny a stay of proceedings, since “[a] stay is the proper vehicle to avoid a waste of judicial resources.</w:t>
      </w:r>
      <w:r>
        <w:rPr>
          <w:sz w:val="24"/>
          <w:szCs w:val="24"/>
        </w:rPr>
        <w:t>”</w:t>
      </w:r>
    </w:p>
    <w:p w14:paraId="19110B52"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The same issues upon which Defendant is seeking summary judgment is already before the Appellate Court for this jurisdiction.</w:t>
      </w:r>
    </w:p>
    <w:p w14:paraId="3DEBFA04"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There is no binding case law regarding these issues as they are issue of first impression in the state of Florida.</w:t>
      </w:r>
    </w:p>
    <w:p w14:paraId="20E35242" w14:textId="77777777" w:rsidR="00B75B90" w:rsidRDefault="00B75B90" w:rsidP="00B75B90">
      <w:pPr>
        <w:pStyle w:val="ListParagraph"/>
        <w:numPr>
          <w:ilvl w:val="0"/>
          <w:numId w:val="13"/>
        </w:numPr>
        <w:suppressAutoHyphens/>
        <w:spacing w:line="480" w:lineRule="auto"/>
        <w:ind w:left="0" w:firstLine="720"/>
        <w:jc w:val="both"/>
        <w:rPr>
          <w:sz w:val="24"/>
          <w:szCs w:val="24"/>
        </w:rPr>
      </w:pPr>
      <w:r>
        <w:rPr>
          <w:sz w:val="24"/>
          <w:szCs w:val="24"/>
        </w:rPr>
        <w:t>The Court has the discretion to stay this action pending the outcome of the previous appeal to avoid inconsistent and/or duplicative rulings.</w:t>
      </w:r>
    </w:p>
    <w:p w14:paraId="4BD7698B" w14:textId="77777777" w:rsidR="00B75B90" w:rsidRPr="00E91D15" w:rsidRDefault="00B75B90" w:rsidP="00B75B90">
      <w:pPr>
        <w:pStyle w:val="ListParagraph"/>
        <w:numPr>
          <w:ilvl w:val="0"/>
          <w:numId w:val="13"/>
        </w:numPr>
        <w:suppressAutoHyphens/>
        <w:spacing w:line="480" w:lineRule="auto"/>
        <w:ind w:left="0" w:firstLine="720"/>
        <w:jc w:val="both"/>
        <w:rPr>
          <w:sz w:val="24"/>
          <w:szCs w:val="24"/>
        </w:rPr>
      </w:pPr>
      <w:r>
        <w:rPr>
          <w:sz w:val="24"/>
          <w:szCs w:val="24"/>
        </w:rPr>
        <w:t>Defendant will not be prejudiced by the stay of the instant action.</w:t>
      </w:r>
    </w:p>
    <w:p w14:paraId="21F8E2D9" w14:textId="77777777" w:rsidR="00B75B90" w:rsidRPr="00E91D15" w:rsidRDefault="00B75B90" w:rsidP="00B75B90">
      <w:pPr>
        <w:suppressAutoHyphens/>
        <w:spacing w:line="480" w:lineRule="auto"/>
        <w:ind w:firstLine="720"/>
        <w:jc w:val="both"/>
        <w:rPr>
          <w:spacing w:val="-3"/>
          <w:sz w:val="24"/>
          <w:szCs w:val="24"/>
        </w:rPr>
      </w:pPr>
      <w:r w:rsidRPr="00E91D15">
        <w:rPr>
          <w:sz w:val="24"/>
          <w:szCs w:val="24"/>
        </w:rPr>
        <w:tab/>
        <w:t xml:space="preserve">WHEREFORE, </w:t>
      </w:r>
      <w:r w:rsidRPr="00E91D15">
        <w:rPr>
          <w:sz w:val="24"/>
        </w:rPr>
        <w:t>Plaintiff</w:t>
      </w:r>
      <w:r w:rsidRPr="00E91D15">
        <w:rPr>
          <w:sz w:val="24"/>
          <w:szCs w:val="24"/>
        </w:rPr>
        <w:t xml:space="preserve">, </w:t>
      </w:r>
      <w:r w:rsidRPr="00E91D15">
        <w:rPr>
          <w:sz w:val="24"/>
        </w:rPr>
        <w:t xml:space="preserve">&lt;&lt;PROVIDER_SUITNAME&gt;&gt;, </w:t>
      </w:r>
      <w:r w:rsidRPr="00E91D15">
        <w:rPr>
          <w:spacing w:val="-3"/>
          <w:sz w:val="24"/>
          <w:szCs w:val="24"/>
        </w:rPr>
        <w:t xml:space="preserve">requests the Court to enter an Order </w:t>
      </w:r>
      <w:r>
        <w:rPr>
          <w:spacing w:val="-3"/>
          <w:sz w:val="24"/>
          <w:szCs w:val="24"/>
        </w:rPr>
        <w:t xml:space="preserve">Staying the action pending the appellate decision in </w:t>
      </w:r>
      <w:r w:rsidRPr="00982003">
        <w:rPr>
          <w:sz w:val="24"/>
          <w:szCs w:val="24"/>
        </w:rPr>
        <w:t>The Kidwell Group</w:t>
      </w:r>
      <w:r>
        <w:rPr>
          <w:sz w:val="24"/>
          <w:szCs w:val="24"/>
        </w:rPr>
        <w:t>,</w:t>
      </w:r>
      <w:r w:rsidRPr="00982003">
        <w:rPr>
          <w:sz w:val="24"/>
          <w:szCs w:val="24"/>
        </w:rPr>
        <w:t xml:space="preserve"> LLC dba Air Quality Assessors of Florida a/a/o Michael Feehan v. Omega Insurance Company</w:t>
      </w:r>
      <w:r>
        <w:rPr>
          <w:sz w:val="24"/>
          <w:szCs w:val="24"/>
        </w:rPr>
        <w:t>;</w:t>
      </w:r>
      <w:r>
        <w:rPr>
          <w:spacing w:val="-3"/>
          <w:sz w:val="24"/>
          <w:szCs w:val="24"/>
        </w:rPr>
        <w:t xml:space="preserve"> </w:t>
      </w:r>
      <w:r w:rsidRPr="00E91D15">
        <w:rPr>
          <w:spacing w:val="-3"/>
          <w:sz w:val="24"/>
          <w:szCs w:val="24"/>
        </w:rPr>
        <w:t>and grant such other further relief that is just and appropriate under the circumstances.</w:t>
      </w:r>
    </w:p>
    <w:p w14:paraId="64236124" w14:textId="77777777" w:rsidR="00B75B90" w:rsidRDefault="00B75B90" w:rsidP="00B75B90">
      <w:pPr>
        <w:suppressAutoHyphens/>
        <w:spacing w:line="480" w:lineRule="auto"/>
        <w:jc w:val="center"/>
        <w:rPr>
          <w:b/>
          <w:sz w:val="24"/>
          <w:szCs w:val="24"/>
          <w:u w:val="single"/>
        </w:rPr>
      </w:pPr>
    </w:p>
    <w:p w14:paraId="3C5298C4" w14:textId="77777777" w:rsidR="00B75B90" w:rsidRDefault="00B75B90" w:rsidP="00B75B90">
      <w:pPr>
        <w:suppressAutoHyphens/>
        <w:spacing w:line="480" w:lineRule="auto"/>
        <w:jc w:val="center"/>
        <w:rPr>
          <w:b/>
          <w:sz w:val="24"/>
          <w:szCs w:val="24"/>
          <w:u w:val="single"/>
        </w:rPr>
      </w:pPr>
    </w:p>
    <w:p w14:paraId="47BB6641" w14:textId="77777777" w:rsidR="00B75B90" w:rsidRDefault="00B75B90" w:rsidP="00B75B90">
      <w:pPr>
        <w:suppressAutoHyphens/>
        <w:spacing w:line="480" w:lineRule="auto"/>
        <w:jc w:val="center"/>
        <w:rPr>
          <w:b/>
          <w:sz w:val="24"/>
          <w:szCs w:val="24"/>
          <w:u w:val="single"/>
        </w:rPr>
      </w:pPr>
    </w:p>
    <w:p w14:paraId="7B4E974A" w14:textId="77777777" w:rsidR="00B75B90" w:rsidRDefault="00B75B90" w:rsidP="00B75B90">
      <w:pPr>
        <w:suppressAutoHyphens/>
        <w:spacing w:line="480" w:lineRule="auto"/>
        <w:jc w:val="center"/>
        <w:rPr>
          <w:b/>
          <w:sz w:val="24"/>
          <w:szCs w:val="24"/>
          <w:u w:val="single"/>
        </w:rPr>
      </w:pPr>
    </w:p>
    <w:p w14:paraId="110EDD42" w14:textId="77777777" w:rsidR="00B75B90" w:rsidRPr="00AB65BC" w:rsidRDefault="00B75B90" w:rsidP="00B75B90">
      <w:pPr>
        <w:suppressAutoHyphens/>
        <w:spacing w:line="480" w:lineRule="auto"/>
        <w:jc w:val="center"/>
        <w:rPr>
          <w:bCs/>
          <w:sz w:val="24"/>
          <w:szCs w:val="24"/>
        </w:rPr>
      </w:pPr>
      <w:r w:rsidRPr="00AB65BC">
        <w:rPr>
          <w:bCs/>
          <w:sz w:val="24"/>
          <w:szCs w:val="24"/>
        </w:rPr>
        <w:t>THIS SPACE INTENTIONALLY LEFT BLANK</w:t>
      </w:r>
    </w:p>
    <w:p w14:paraId="024AEBB2" w14:textId="77777777" w:rsidR="00B75B90" w:rsidRPr="00E91D15" w:rsidRDefault="00B75B90" w:rsidP="00B75B90">
      <w:pPr>
        <w:suppressAutoHyphens/>
        <w:spacing w:line="480" w:lineRule="auto"/>
        <w:jc w:val="center"/>
        <w:rPr>
          <w:b/>
          <w:sz w:val="24"/>
          <w:szCs w:val="24"/>
          <w:u w:val="single"/>
        </w:rPr>
      </w:pPr>
      <w:r w:rsidRPr="00E91D15">
        <w:rPr>
          <w:b/>
          <w:sz w:val="24"/>
          <w:szCs w:val="24"/>
          <w:u w:val="single"/>
        </w:rPr>
        <w:lastRenderedPageBreak/>
        <w:t>CERTIFICATE OF SERVICE</w:t>
      </w:r>
    </w:p>
    <w:p w14:paraId="0F40C06B" w14:textId="77777777" w:rsidR="00B75B90" w:rsidRPr="00E91D15" w:rsidRDefault="00B75B90" w:rsidP="00B75B90">
      <w:pPr>
        <w:suppressAutoHyphens/>
        <w:spacing w:line="480" w:lineRule="auto"/>
        <w:ind w:firstLine="720"/>
        <w:jc w:val="both"/>
        <w:rPr>
          <w:sz w:val="24"/>
          <w:szCs w:val="24"/>
        </w:rPr>
      </w:pPr>
      <w:r w:rsidRPr="00E91D15">
        <w:rPr>
          <w:sz w:val="24"/>
          <w:szCs w:val="24"/>
        </w:rPr>
        <w:t xml:space="preserve">I HEREBY CERTIFY that on </w:t>
      </w:r>
      <w:r w:rsidRPr="00E91D15">
        <w:rPr>
          <w:sz w:val="24"/>
          <w:szCs w:val="24"/>
        </w:rPr>
        <w:fldChar w:fldCharType="begin"/>
      </w:r>
      <w:r w:rsidRPr="00E91D15">
        <w:rPr>
          <w:sz w:val="24"/>
          <w:szCs w:val="24"/>
        </w:rPr>
        <w:instrText xml:space="preserve"> DATE \@ "MMMM d, yyyy" </w:instrText>
      </w:r>
      <w:r w:rsidRPr="00E91D15">
        <w:rPr>
          <w:sz w:val="24"/>
          <w:szCs w:val="24"/>
        </w:rPr>
        <w:fldChar w:fldCharType="separate"/>
      </w:r>
      <w:r>
        <w:rPr>
          <w:noProof/>
          <w:sz w:val="24"/>
          <w:szCs w:val="24"/>
        </w:rPr>
        <w:t>February 19, 2022</w:t>
      </w:r>
      <w:r w:rsidRPr="00E91D15">
        <w:rPr>
          <w:sz w:val="24"/>
          <w:szCs w:val="24"/>
        </w:rPr>
        <w:fldChar w:fldCharType="end"/>
      </w:r>
      <w:r w:rsidRPr="00E91D15">
        <w:rPr>
          <w:sz w:val="24"/>
          <w:szCs w:val="24"/>
        </w:rPr>
        <w:t>, a true and correct copy of the foregoing was served to all parties registered for this case</w:t>
      </w:r>
      <w:r>
        <w:rPr>
          <w:sz w:val="24"/>
          <w:szCs w:val="24"/>
        </w:rPr>
        <w:t xml:space="preserve"> </w:t>
      </w:r>
      <w:r w:rsidRPr="00E91D15">
        <w:rPr>
          <w:sz w:val="24"/>
          <w:szCs w:val="24"/>
        </w:rPr>
        <w:t>via the Florida E-filing Portal.</w:t>
      </w:r>
    </w:p>
    <w:p w14:paraId="4222778E" w14:textId="77777777" w:rsidR="00B75B90" w:rsidRPr="004A07BD" w:rsidRDefault="00B75B90" w:rsidP="00B75B90">
      <w:pPr>
        <w:suppressAutoHyphens/>
        <w:ind w:left="4320" w:firstLine="720"/>
        <w:jc w:val="both"/>
        <w:rPr>
          <w:sz w:val="24"/>
          <w:szCs w:val="24"/>
          <w:lang w:eastAsia="x-none"/>
        </w:rPr>
      </w:pPr>
      <w:r w:rsidRPr="004A07BD">
        <w:rPr>
          <w:b/>
          <w:bCs/>
          <w:sz w:val="24"/>
          <w:szCs w:val="24"/>
          <w:lang w:eastAsia="x-none"/>
        </w:rPr>
        <w:t>Florida Insurance Law Group</w:t>
      </w:r>
      <w:r w:rsidRPr="004A07BD">
        <w:rPr>
          <w:b/>
          <w:bCs/>
          <w:sz w:val="24"/>
          <w:szCs w:val="24"/>
          <w:lang w:val="x-none" w:eastAsia="x-none"/>
        </w:rPr>
        <w:t xml:space="preserve">, </w:t>
      </w:r>
      <w:r w:rsidRPr="004A07BD">
        <w:rPr>
          <w:b/>
          <w:bCs/>
          <w:sz w:val="24"/>
          <w:szCs w:val="24"/>
          <w:lang w:eastAsia="x-none"/>
        </w:rPr>
        <w:t>LLC</w:t>
      </w:r>
    </w:p>
    <w:p w14:paraId="3F515349" w14:textId="77777777" w:rsidR="00B75B90" w:rsidRPr="004A07BD" w:rsidRDefault="00B75B90" w:rsidP="00B75B90">
      <w:pPr>
        <w:suppressAutoHyphens/>
        <w:ind w:left="4320" w:firstLine="720"/>
        <w:jc w:val="both"/>
        <w:rPr>
          <w:sz w:val="24"/>
          <w:szCs w:val="24"/>
          <w:lang w:eastAsia="x-none"/>
        </w:rPr>
      </w:pPr>
      <w:r w:rsidRPr="004A07BD">
        <w:rPr>
          <w:sz w:val="24"/>
          <w:szCs w:val="24"/>
          <w:lang w:eastAsia="x-none"/>
        </w:rPr>
        <w:t>6330 Manor Lane, Ste 200B</w:t>
      </w:r>
    </w:p>
    <w:p w14:paraId="2DF4E30C" w14:textId="77777777" w:rsidR="00B75B90" w:rsidRPr="004A07BD" w:rsidRDefault="00B75B90" w:rsidP="00B75B90">
      <w:pPr>
        <w:suppressAutoHyphens/>
        <w:ind w:left="4320" w:firstLine="720"/>
        <w:jc w:val="both"/>
        <w:rPr>
          <w:sz w:val="24"/>
          <w:szCs w:val="24"/>
          <w:lang w:eastAsia="x-none"/>
        </w:rPr>
      </w:pPr>
      <w:r w:rsidRPr="004A07BD">
        <w:rPr>
          <w:sz w:val="24"/>
          <w:szCs w:val="24"/>
          <w:lang w:eastAsia="x-none"/>
        </w:rPr>
        <w:t>South Miami, FL 33143</w:t>
      </w:r>
    </w:p>
    <w:p w14:paraId="26B720CC" w14:textId="77777777" w:rsidR="00B75B90" w:rsidRPr="004A07BD" w:rsidRDefault="00B75B90" w:rsidP="00B75B90">
      <w:pPr>
        <w:suppressAutoHyphens/>
        <w:ind w:left="4320" w:firstLine="720"/>
        <w:jc w:val="both"/>
        <w:rPr>
          <w:sz w:val="24"/>
          <w:szCs w:val="24"/>
          <w:lang w:eastAsia="x-none"/>
        </w:rPr>
      </w:pPr>
      <w:r w:rsidRPr="004A07BD">
        <w:rPr>
          <w:sz w:val="24"/>
          <w:szCs w:val="24"/>
          <w:lang w:eastAsia="x-none"/>
        </w:rPr>
        <w:t>Tel. (305) 906-4262</w:t>
      </w:r>
    </w:p>
    <w:p w14:paraId="5A71F8FE" w14:textId="77777777" w:rsidR="00B75B90" w:rsidRPr="004A07BD" w:rsidRDefault="00B75B90" w:rsidP="00B75B90">
      <w:pPr>
        <w:suppressAutoHyphens/>
        <w:ind w:left="4320" w:firstLine="720"/>
        <w:jc w:val="both"/>
        <w:rPr>
          <w:sz w:val="24"/>
          <w:szCs w:val="24"/>
          <w:lang w:val="es-ES" w:eastAsia="x-none"/>
        </w:rPr>
      </w:pPr>
      <w:r w:rsidRPr="004A07BD">
        <w:rPr>
          <w:rFonts w:eastAsia="Calibri"/>
          <w:noProof/>
          <w:sz w:val="24"/>
          <w:szCs w:val="24"/>
        </w:rPr>
        <w:drawing>
          <wp:inline distT="0" distB="0" distL="0" distR="0" wp14:anchorId="1ED159A4" wp14:editId="6068BBE6">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6169FBAB" w14:textId="77777777" w:rsidR="00B75B90" w:rsidRPr="004A07BD" w:rsidRDefault="00B75B90" w:rsidP="00B75B90">
      <w:pPr>
        <w:suppressAutoHyphens/>
        <w:ind w:left="5040"/>
        <w:jc w:val="both"/>
        <w:rPr>
          <w:sz w:val="24"/>
          <w:szCs w:val="24"/>
          <w:lang w:val="es-ES" w:eastAsia="x-none"/>
        </w:rPr>
      </w:pPr>
      <w:r w:rsidRPr="004A07BD">
        <w:rPr>
          <w:sz w:val="24"/>
          <w:szCs w:val="24"/>
          <w:lang w:val="es-ES" w:eastAsia="x-none"/>
        </w:rPr>
        <w:t>Robert F. Gonzalez, Esq.</w:t>
      </w:r>
    </w:p>
    <w:p w14:paraId="39E8AF54" w14:textId="77777777" w:rsidR="00B75B90" w:rsidRPr="004A07BD" w:rsidRDefault="00B75B90" w:rsidP="00B75B90">
      <w:pPr>
        <w:suppressAutoHyphens/>
        <w:ind w:left="4320" w:firstLine="720"/>
        <w:jc w:val="both"/>
        <w:rPr>
          <w:sz w:val="24"/>
          <w:szCs w:val="24"/>
          <w:lang w:val="es-US" w:eastAsia="x-none"/>
        </w:rPr>
      </w:pPr>
      <w:r w:rsidRPr="004A07BD">
        <w:rPr>
          <w:sz w:val="24"/>
          <w:szCs w:val="24"/>
          <w:lang w:val="es-US" w:eastAsia="x-none"/>
        </w:rPr>
        <w:t>Fla. Bar No. 68865</w:t>
      </w:r>
    </w:p>
    <w:p w14:paraId="2E9B0C0C" w14:textId="77777777" w:rsidR="00B75B90" w:rsidRPr="004A07BD" w:rsidRDefault="00B75B90" w:rsidP="00B75B90">
      <w:pPr>
        <w:suppressAutoHyphens/>
        <w:ind w:left="4320" w:firstLine="720"/>
        <w:jc w:val="both"/>
        <w:rPr>
          <w:color w:val="0563C1"/>
          <w:sz w:val="24"/>
          <w:szCs w:val="24"/>
          <w:u w:val="single"/>
          <w:lang w:val="es-US" w:eastAsia="x-none"/>
        </w:rPr>
      </w:pPr>
      <w:hyperlink r:id="rId8" w:history="1">
        <w:r w:rsidRPr="004A07BD">
          <w:rPr>
            <w:color w:val="0563C1"/>
            <w:sz w:val="24"/>
            <w:szCs w:val="24"/>
            <w:u w:val="single"/>
            <w:lang w:val="es-US"/>
          </w:rPr>
          <w:t>Pleadings@flinslaw.com</w:t>
        </w:r>
      </w:hyperlink>
    </w:p>
    <w:p w14:paraId="0D29FCBB" w14:textId="77777777" w:rsidR="00B75B90" w:rsidRDefault="00B75B90" w:rsidP="00B75B90"/>
    <w:p w14:paraId="334E8A1A" w14:textId="77777777" w:rsidR="00A227A4" w:rsidRPr="00B75B90" w:rsidRDefault="00A227A4" w:rsidP="00B75B90"/>
    <w:sectPr w:rsidR="00A227A4" w:rsidRPr="00B75B90">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A5814" w14:textId="77777777" w:rsidR="001C5A94" w:rsidRDefault="001C5A94" w:rsidP="001F3B28">
      <w:r>
        <w:separator/>
      </w:r>
    </w:p>
  </w:endnote>
  <w:endnote w:type="continuationSeparator" w:id="0">
    <w:p w14:paraId="501612E7" w14:textId="77777777" w:rsidR="001C5A94" w:rsidRDefault="001C5A94"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1C5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48E9A" w14:textId="77777777" w:rsidR="001C5A94" w:rsidRDefault="001C5A94" w:rsidP="001F3B28">
      <w:r>
        <w:separator/>
      </w:r>
    </w:p>
  </w:footnote>
  <w:footnote w:type="continuationSeparator" w:id="0">
    <w:p w14:paraId="39CA2F86" w14:textId="77777777" w:rsidR="001C5A94" w:rsidRDefault="001C5A94"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4"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9"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8"/>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1"/>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56FCE"/>
    <w:rsid w:val="000C6A5F"/>
    <w:rsid w:val="000F6DDA"/>
    <w:rsid w:val="00116064"/>
    <w:rsid w:val="001A575C"/>
    <w:rsid w:val="001C5A94"/>
    <w:rsid w:val="001F3B28"/>
    <w:rsid w:val="00273C84"/>
    <w:rsid w:val="0028323D"/>
    <w:rsid w:val="00293A4C"/>
    <w:rsid w:val="0029482B"/>
    <w:rsid w:val="002E5FFF"/>
    <w:rsid w:val="00305522"/>
    <w:rsid w:val="00331D40"/>
    <w:rsid w:val="0037409B"/>
    <w:rsid w:val="003F6114"/>
    <w:rsid w:val="004839DC"/>
    <w:rsid w:val="00514516"/>
    <w:rsid w:val="005B6359"/>
    <w:rsid w:val="00602655"/>
    <w:rsid w:val="0063368A"/>
    <w:rsid w:val="006A4D67"/>
    <w:rsid w:val="007000F3"/>
    <w:rsid w:val="00725BC6"/>
    <w:rsid w:val="008057A3"/>
    <w:rsid w:val="00976539"/>
    <w:rsid w:val="00990C63"/>
    <w:rsid w:val="009F1F4D"/>
    <w:rsid w:val="00A227A4"/>
    <w:rsid w:val="00A67865"/>
    <w:rsid w:val="00AA46BC"/>
    <w:rsid w:val="00AB3C47"/>
    <w:rsid w:val="00AF5D10"/>
    <w:rsid w:val="00B75B90"/>
    <w:rsid w:val="00BA246F"/>
    <w:rsid w:val="00BB36CB"/>
    <w:rsid w:val="00D16880"/>
    <w:rsid w:val="00E85580"/>
    <w:rsid w:val="00ED3E9E"/>
    <w:rsid w:val="00EE4D4E"/>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11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528</Words>
  <Characters>2887</Characters>
  <Application>Microsoft Office Word</Application>
  <DocSecurity>0</DocSecurity>
  <Lines>70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2022-02-19T23:49:00Z</dcterms:created>
  <dcterms:modified xsi:type="dcterms:W3CDTF">2022-02-19T23:49:00Z</dcterms:modified>
</cp:coreProperties>
</file>