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10A17" w14:textId="77777777" w:rsidR="006E3EBF" w:rsidRPr="00762850" w:rsidRDefault="006E3EBF" w:rsidP="006E3EBF">
      <w:pPr>
        <w:ind w:left="720" w:right="720"/>
        <w:jc w:val="center"/>
        <w:rPr>
          <w:rFonts w:asciiTheme="majorBidi" w:hAnsiTheme="majorBidi" w:cstheme="majorBidi"/>
          <w:sz w:val="24"/>
          <w:szCs w:val="24"/>
        </w:rPr>
      </w:pPr>
      <w:r w:rsidRPr="00762850">
        <w:rPr>
          <w:rFonts w:asciiTheme="majorBidi" w:hAnsiTheme="majorBidi" w:cstheme="majorBidi"/>
          <w:color w:val="000000"/>
          <w:sz w:val="24"/>
          <w:szCs w:val="24"/>
        </w:rPr>
        <w:t>&lt;&lt;COURT_NAME&gt;&gt;</w:t>
      </w:r>
    </w:p>
    <w:p w14:paraId="29ECE2BB" w14:textId="77777777" w:rsidR="006E3EBF" w:rsidRPr="00762850" w:rsidRDefault="006E3EBF" w:rsidP="006E3EBF">
      <w:pPr>
        <w:rPr>
          <w:rFonts w:asciiTheme="majorBidi" w:hAnsiTheme="majorBidi" w:cstheme="majorBidi"/>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040"/>
        <w:gridCol w:w="4320"/>
      </w:tblGrid>
      <w:tr w:rsidR="006E3EBF" w:rsidRPr="00762850" w14:paraId="1BD671C0" w14:textId="77777777" w:rsidTr="00B86712">
        <w:tc>
          <w:tcPr>
            <w:tcW w:w="5040" w:type="dxa"/>
            <w:tcMar>
              <w:top w:w="0" w:type="dxa"/>
              <w:left w:w="108" w:type="dxa"/>
              <w:bottom w:w="0" w:type="dxa"/>
              <w:right w:w="108" w:type="dxa"/>
            </w:tcMar>
            <w:hideMark/>
          </w:tcPr>
          <w:p w14:paraId="7FC2F99F" w14:textId="77777777" w:rsidR="006E3EBF" w:rsidRPr="00762850" w:rsidRDefault="006E3EBF" w:rsidP="00B86712">
            <w:pPr>
              <w:rPr>
                <w:rFonts w:asciiTheme="majorBidi" w:hAnsiTheme="majorBidi" w:cstheme="majorBidi"/>
                <w:sz w:val="24"/>
                <w:szCs w:val="24"/>
              </w:rPr>
            </w:pPr>
            <w:r w:rsidRPr="00762850">
              <w:rPr>
                <w:rFonts w:asciiTheme="majorBidi" w:hAnsiTheme="majorBidi" w:cstheme="majorBidi"/>
                <w:color w:val="000000"/>
                <w:sz w:val="24"/>
                <w:szCs w:val="24"/>
              </w:rPr>
              <w:t xml:space="preserve">&lt;&lt;PROVIDER_SUITNAME&gt;&gt;, </w:t>
            </w:r>
            <w:r w:rsidRPr="00762850">
              <w:rPr>
                <w:rFonts w:asciiTheme="majorBidi" w:hAnsiTheme="majorBidi" w:cstheme="majorBidi"/>
                <w:color w:val="000000"/>
                <w:sz w:val="24"/>
                <w:szCs w:val="24"/>
              </w:rPr>
              <w:tab/>
            </w:r>
            <w:r w:rsidRPr="00762850">
              <w:rPr>
                <w:rFonts w:asciiTheme="majorBidi" w:hAnsiTheme="majorBidi" w:cstheme="majorBidi"/>
                <w:color w:val="000000"/>
                <w:sz w:val="24"/>
                <w:szCs w:val="24"/>
              </w:rPr>
              <w:tab/>
            </w:r>
          </w:p>
          <w:p w14:paraId="75EF32DB" w14:textId="77777777" w:rsidR="006E3EBF" w:rsidRPr="00762850" w:rsidRDefault="006E3EBF" w:rsidP="00B86712">
            <w:pPr>
              <w:rPr>
                <w:rFonts w:asciiTheme="majorBidi" w:hAnsiTheme="majorBidi" w:cstheme="majorBidi"/>
                <w:sz w:val="24"/>
                <w:szCs w:val="24"/>
              </w:rPr>
            </w:pPr>
            <w:r w:rsidRPr="00762850">
              <w:rPr>
                <w:rFonts w:asciiTheme="majorBidi" w:hAnsiTheme="majorBidi" w:cstheme="majorBidi"/>
                <w:color w:val="000000"/>
                <w:sz w:val="24"/>
                <w:szCs w:val="24"/>
              </w:rPr>
              <w:t>a/a/o &lt;&lt;INJUREDPARTY_NAME&gt;&gt;</w:t>
            </w:r>
            <w:r w:rsidRPr="00762850">
              <w:rPr>
                <w:rFonts w:asciiTheme="majorBidi" w:hAnsiTheme="majorBidi" w:cstheme="majorBidi"/>
                <w:color w:val="000000"/>
                <w:sz w:val="24"/>
                <w:szCs w:val="24"/>
              </w:rPr>
              <w:tab/>
              <w:t>                                            </w:t>
            </w:r>
          </w:p>
          <w:p w14:paraId="747F038D" w14:textId="77777777" w:rsidR="006E3EBF" w:rsidRPr="00762850" w:rsidRDefault="006E3EBF" w:rsidP="00B86712">
            <w:pPr>
              <w:rPr>
                <w:rFonts w:asciiTheme="majorBidi" w:hAnsiTheme="majorBidi" w:cstheme="majorBidi"/>
                <w:sz w:val="24"/>
                <w:szCs w:val="24"/>
              </w:rPr>
            </w:pPr>
            <w:r w:rsidRPr="00762850">
              <w:rPr>
                <w:rFonts w:asciiTheme="majorBidi" w:hAnsiTheme="majorBidi" w:cstheme="majorBidi"/>
                <w:color w:val="000000"/>
                <w:sz w:val="24"/>
                <w:szCs w:val="24"/>
              </w:rPr>
              <w:tab/>
            </w:r>
            <w:r w:rsidRPr="00762850">
              <w:rPr>
                <w:rFonts w:asciiTheme="majorBidi" w:hAnsiTheme="majorBidi" w:cstheme="majorBidi"/>
                <w:color w:val="000000"/>
                <w:sz w:val="24"/>
                <w:szCs w:val="24"/>
              </w:rPr>
              <w:tab/>
            </w:r>
            <w:r w:rsidRPr="00762850">
              <w:rPr>
                <w:rFonts w:asciiTheme="majorBidi" w:hAnsiTheme="majorBidi" w:cstheme="majorBidi"/>
                <w:color w:val="000000"/>
                <w:sz w:val="24"/>
                <w:szCs w:val="24"/>
              </w:rPr>
              <w:tab/>
              <w:t>                                </w:t>
            </w:r>
          </w:p>
          <w:p w14:paraId="47B82C23" w14:textId="77777777" w:rsidR="006E3EBF" w:rsidRPr="00762850" w:rsidRDefault="006E3EBF" w:rsidP="00B86712">
            <w:pPr>
              <w:rPr>
                <w:rFonts w:asciiTheme="majorBidi" w:hAnsiTheme="majorBidi" w:cstheme="majorBidi"/>
                <w:sz w:val="24"/>
                <w:szCs w:val="24"/>
              </w:rPr>
            </w:pPr>
            <w:r w:rsidRPr="00762850">
              <w:rPr>
                <w:rFonts w:asciiTheme="majorBidi" w:hAnsiTheme="majorBidi" w:cstheme="majorBidi"/>
                <w:color w:val="000000"/>
                <w:sz w:val="24"/>
                <w:szCs w:val="24"/>
              </w:rPr>
              <w:tab/>
              <w:t>Plaintiff,</w:t>
            </w:r>
          </w:p>
          <w:p w14:paraId="7F82148D" w14:textId="77777777" w:rsidR="006E3EBF" w:rsidRPr="00762850" w:rsidRDefault="006E3EBF" w:rsidP="00B86712">
            <w:pPr>
              <w:rPr>
                <w:rFonts w:asciiTheme="majorBidi" w:hAnsiTheme="majorBidi" w:cstheme="majorBidi"/>
                <w:sz w:val="24"/>
                <w:szCs w:val="24"/>
              </w:rPr>
            </w:pPr>
          </w:p>
          <w:p w14:paraId="3C5B5D42" w14:textId="77777777" w:rsidR="006E3EBF" w:rsidRPr="00762850" w:rsidRDefault="006E3EBF" w:rsidP="00B86712">
            <w:pPr>
              <w:rPr>
                <w:rFonts w:asciiTheme="majorBidi" w:hAnsiTheme="majorBidi" w:cstheme="majorBidi"/>
                <w:sz w:val="24"/>
                <w:szCs w:val="24"/>
              </w:rPr>
            </w:pPr>
            <w:r w:rsidRPr="00762850">
              <w:rPr>
                <w:rFonts w:asciiTheme="majorBidi" w:hAnsiTheme="majorBidi" w:cstheme="majorBidi"/>
                <w:color w:val="000000"/>
                <w:sz w:val="24"/>
                <w:szCs w:val="24"/>
              </w:rPr>
              <w:t>vs.</w:t>
            </w:r>
          </w:p>
          <w:p w14:paraId="18158685" w14:textId="77777777" w:rsidR="006E3EBF" w:rsidRPr="00762850" w:rsidRDefault="006E3EBF" w:rsidP="00B86712">
            <w:pPr>
              <w:rPr>
                <w:rFonts w:asciiTheme="majorBidi" w:hAnsiTheme="majorBidi" w:cstheme="majorBidi"/>
                <w:sz w:val="24"/>
                <w:szCs w:val="24"/>
              </w:rPr>
            </w:pPr>
          </w:p>
          <w:p w14:paraId="0CD6521E" w14:textId="77777777" w:rsidR="006E3EBF" w:rsidRPr="00762850" w:rsidRDefault="006E3EBF" w:rsidP="00B86712">
            <w:pPr>
              <w:rPr>
                <w:rFonts w:asciiTheme="majorBidi" w:hAnsiTheme="majorBidi" w:cstheme="majorBidi"/>
                <w:sz w:val="24"/>
                <w:szCs w:val="24"/>
              </w:rPr>
            </w:pPr>
            <w:r w:rsidRPr="00762850">
              <w:rPr>
                <w:rFonts w:asciiTheme="majorBidi" w:hAnsiTheme="majorBidi" w:cstheme="majorBidi"/>
                <w:color w:val="000000"/>
                <w:sz w:val="24"/>
                <w:szCs w:val="24"/>
              </w:rPr>
              <w:t>&lt;&lt;INSURANCECOMPANY_SUITNAME&gt;&gt;</w:t>
            </w:r>
          </w:p>
          <w:p w14:paraId="15190C69" w14:textId="77777777" w:rsidR="006E3EBF" w:rsidRPr="00762850" w:rsidRDefault="006E3EBF" w:rsidP="00B86712">
            <w:pPr>
              <w:rPr>
                <w:rFonts w:asciiTheme="majorBidi" w:hAnsiTheme="majorBidi" w:cstheme="majorBidi"/>
                <w:sz w:val="24"/>
                <w:szCs w:val="24"/>
              </w:rPr>
            </w:pPr>
          </w:p>
          <w:p w14:paraId="7CFDE4DE" w14:textId="77777777" w:rsidR="006E3EBF" w:rsidRPr="00762850" w:rsidRDefault="006E3EBF" w:rsidP="00B86712">
            <w:pPr>
              <w:ind w:left="720"/>
              <w:rPr>
                <w:rFonts w:asciiTheme="majorBidi" w:hAnsiTheme="majorBidi" w:cstheme="majorBidi"/>
                <w:sz w:val="24"/>
                <w:szCs w:val="24"/>
              </w:rPr>
            </w:pPr>
            <w:r w:rsidRPr="00762850">
              <w:rPr>
                <w:rFonts w:asciiTheme="majorBidi" w:hAnsiTheme="majorBidi" w:cstheme="majorBidi"/>
                <w:color w:val="000000"/>
                <w:sz w:val="24"/>
                <w:szCs w:val="24"/>
              </w:rPr>
              <w:tab/>
              <w:t>Defendant.</w:t>
            </w:r>
          </w:p>
          <w:p w14:paraId="334218DA" w14:textId="77777777" w:rsidR="006E3EBF" w:rsidRPr="00762850" w:rsidRDefault="006E3EBF" w:rsidP="00B86712">
            <w:pPr>
              <w:rPr>
                <w:rFonts w:asciiTheme="majorBidi" w:hAnsiTheme="majorBidi" w:cstheme="majorBidi"/>
                <w:sz w:val="24"/>
                <w:szCs w:val="24"/>
              </w:rPr>
            </w:pPr>
          </w:p>
        </w:tc>
        <w:tc>
          <w:tcPr>
            <w:tcW w:w="4320" w:type="dxa"/>
            <w:tcMar>
              <w:top w:w="0" w:type="dxa"/>
              <w:left w:w="108" w:type="dxa"/>
              <w:bottom w:w="0" w:type="dxa"/>
              <w:right w:w="108" w:type="dxa"/>
            </w:tcMar>
            <w:hideMark/>
          </w:tcPr>
          <w:p w14:paraId="09C034F2" w14:textId="77777777" w:rsidR="006E3EBF" w:rsidRPr="00762850" w:rsidRDefault="006E3EBF" w:rsidP="00B86712">
            <w:pPr>
              <w:rPr>
                <w:rFonts w:asciiTheme="majorBidi" w:hAnsiTheme="majorBidi" w:cstheme="majorBidi"/>
                <w:sz w:val="24"/>
                <w:szCs w:val="24"/>
              </w:rPr>
            </w:pPr>
            <w:r w:rsidRPr="00762850">
              <w:rPr>
                <w:rFonts w:asciiTheme="majorBidi" w:hAnsiTheme="majorBidi" w:cstheme="majorBidi"/>
                <w:color w:val="000000"/>
                <w:sz w:val="24"/>
                <w:szCs w:val="24"/>
              </w:rPr>
              <w:t>Case No. &lt;&lt;INDEXORAAA_NUMBER&gt;&gt;</w:t>
            </w:r>
            <w:r w:rsidRPr="00762850">
              <w:rPr>
                <w:rFonts w:asciiTheme="majorBidi" w:hAnsiTheme="majorBidi" w:cstheme="majorBidi"/>
                <w:color w:val="000000"/>
                <w:sz w:val="24"/>
                <w:szCs w:val="24"/>
              </w:rPr>
              <w:br/>
            </w:r>
            <w:r w:rsidRPr="00762850">
              <w:rPr>
                <w:rFonts w:asciiTheme="majorBidi" w:hAnsiTheme="majorBidi" w:cstheme="majorBidi"/>
                <w:color w:val="000000"/>
                <w:sz w:val="24"/>
                <w:szCs w:val="24"/>
              </w:rPr>
              <w:br/>
            </w:r>
          </w:p>
          <w:p w14:paraId="2DBBE1E9" w14:textId="77777777" w:rsidR="006E3EBF" w:rsidRPr="00762850" w:rsidRDefault="006E3EBF" w:rsidP="00B86712">
            <w:pPr>
              <w:spacing w:after="240"/>
              <w:rPr>
                <w:rFonts w:asciiTheme="majorBidi" w:hAnsiTheme="majorBidi" w:cstheme="majorBidi"/>
                <w:sz w:val="24"/>
                <w:szCs w:val="24"/>
              </w:rPr>
            </w:pPr>
          </w:p>
        </w:tc>
      </w:tr>
    </w:tbl>
    <w:p w14:paraId="0CD69EE1" w14:textId="77777777" w:rsidR="006E3EBF" w:rsidRPr="00762850" w:rsidRDefault="006E3EBF" w:rsidP="006E3EBF">
      <w:pPr>
        <w:spacing w:line="480" w:lineRule="auto"/>
        <w:jc w:val="both"/>
        <w:rPr>
          <w:rFonts w:asciiTheme="majorBidi" w:hAnsiTheme="majorBidi" w:cstheme="majorBidi"/>
          <w:sz w:val="24"/>
          <w:szCs w:val="24"/>
        </w:rPr>
      </w:pPr>
      <w:r w:rsidRPr="00762850">
        <w:rPr>
          <w:rFonts w:asciiTheme="majorBidi" w:hAnsiTheme="majorBidi" w:cstheme="majorBidi"/>
          <w:color w:val="000000"/>
          <w:sz w:val="24"/>
          <w:szCs w:val="24"/>
        </w:rPr>
        <w:t>_______________________________________________/</w:t>
      </w:r>
    </w:p>
    <w:p w14:paraId="2099E632" w14:textId="77777777" w:rsidR="006E3EBF" w:rsidRPr="00762850" w:rsidRDefault="006E3EBF" w:rsidP="006E3EBF">
      <w:pPr>
        <w:rPr>
          <w:rFonts w:asciiTheme="majorBidi" w:hAnsiTheme="majorBidi" w:cstheme="majorBidi"/>
          <w:sz w:val="24"/>
          <w:szCs w:val="24"/>
        </w:rPr>
      </w:pPr>
    </w:p>
    <w:p w14:paraId="4B20D871" w14:textId="77777777" w:rsidR="006E3EBF" w:rsidRPr="00762850" w:rsidRDefault="006E3EBF" w:rsidP="006E3EBF">
      <w:pPr>
        <w:jc w:val="center"/>
        <w:rPr>
          <w:rFonts w:asciiTheme="majorBidi" w:hAnsiTheme="majorBidi" w:cstheme="majorBidi"/>
          <w:color w:val="000000"/>
          <w:sz w:val="24"/>
          <w:szCs w:val="24"/>
          <w:u w:val="single"/>
        </w:rPr>
      </w:pPr>
      <w:r w:rsidRPr="00762850">
        <w:rPr>
          <w:rFonts w:asciiTheme="majorBidi" w:hAnsiTheme="majorBidi" w:cstheme="majorBidi"/>
          <w:color w:val="000000"/>
          <w:sz w:val="24"/>
          <w:szCs w:val="24"/>
          <w:u w:val="single"/>
        </w:rPr>
        <w:t xml:space="preserve">PLAINTIFF’S MOTION FOR SUMMARY JUDGMENT </w:t>
      </w:r>
    </w:p>
    <w:p w14:paraId="461C3D71" w14:textId="77777777" w:rsidR="006E3EBF" w:rsidRPr="00762850" w:rsidRDefault="006E3EBF" w:rsidP="006E3EBF">
      <w:pPr>
        <w:jc w:val="center"/>
        <w:rPr>
          <w:rFonts w:asciiTheme="majorBidi" w:hAnsiTheme="majorBidi" w:cstheme="majorBidi"/>
          <w:sz w:val="24"/>
          <w:szCs w:val="24"/>
        </w:rPr>
      </w:pPr>
      <w:r w:rsidRPr="00762850">
        <w:rPr>
          <w:rFonts w:asciiTheme="majorBidi" w:hAnsiTheme="majorBidi" w:cstheme="majorBidi"/>
          <w:color w:val="000000"/>
          <w:sz w:val="24"/>
          <w:szCs w:val="24"/>
          <w:u w:val="single"/>
        </w:rPr>
        <w:t xml:space="preserve">FOR </w:t>
      </w:r>
      <w:r>
        <w:rPr>
          <w:rFonts w:asciiTheme="majorBidi" w:hAnsiTheme="majorBidi" w:cstheme="majorBidi"/>
          <w:color w:val="000000"/>
          <w:sz w:val="24"/>
          <w:szCs w:val="24"/>
          <w:u w:val="single"/>
        </w:rPr>
        <w:t>COVERAGE</w:t>
      </w:r>
      <w:r w:rsidRPr="00762850">
        <w:rPr>
          <w:rFonts w:asciiTheme="majorBidi" w:hAnsiTheme="majorBidi" w:cstheme="majorBidi"/>
          <w:color w:val="000000"/>
          <w:sz w:val="24"/>
          <w:szCs w:val="24"/>
          <w:u w:val="single"/>
        </w:rPr>
        <w:t xml:space="preserve"> OF ENGINEERING SERVICES</w:t>
      </w:r>
    </w:p>
    <w:p w14:paraId="446E0273" w14:textId="77777777" w:rsidR="006E3EBF" w:rsidRPr="00762850" w:rsidRDefault="006E3EBF" w:rsidP="006E3EBF">
      <w:pPr>
        <w:rPr>
          <w:rFonts w:asciiTheme="majorBidi" w:hAnsiTheme="majorBidi" w:cstheme="majorBidi"/>
          <w:sz w:val="24"/>
          <w:szCs w:val="24"/>
        </w:rPr>
      </w:pPr>
    </w:p>
    <w:p w14:paraId="4B60CCEB" w14:textId="77777777" w:rsidR="006E3EBF" w:rsidRPr="00762850" w:rsidRDefault="006E3EBF" w:rsidP="006E3EBF">
      <w:pPr>
        <w:spacing w:line="480" w:lineRule="auto"/>
        <w:ind w:firstLine="720"/>
        <w:jc w:val="both"/>
        <w:rPr>
          <w:rFonts w:asciiTheme="majorBidi" w:hAnsiTheme="majorBidi" w:cstheme="majorBidi"/>
          <w:color w:val="000000"/>
          <w:sz w:val="24"/>
          <w:szCs w:val="24"/>
        </w:rPr>
      </w:pPr>
      <w:r w:rsidRPr="00762850">
        <w:rPr>
          <w:rFonts w:asciiTheme="majorBidi" w:hAnsiTheme="majorBidi" w:cstheme="majorBidi"/>
          <w:color w:val="000000"/>
          <w:sz w:val="24"/>
          <w:szCs w:val="24"/>
        </w:rPr>
        <w:t>Plaintiff, &lt;&lt;PROVIDER_SUITNAME&gt;&gt;</w:t>
      </w:r>
      <w:r>
        <w:rPr>
          <w:rFonts w:asciiTheme="majorBidi" w:hAnsiTheme="majorBidi" w:cstheme="majorBidi"/>
          <w:color w:val="000000"/>
          <w:sz w:val="24"/>
          <w:szCs w:val="24"/>
        </w:rPr>
        <w:t xml:space="preserve"> </w:t>
      </w:r>
      <w:r w:rsidRPr="00762850">
        <w:rPr>
          <w:rFonts w:asciiTheme="majorBidi" w:hAnsiTheme="majorBidi" w:cstheme="majorBidi"/>
          <w:color w:val="000000"/>
          <w:sz w:val="24"/>
          <w:szCs w:val="24"/>
        </w:rPr>
        <w:t>a/a/o &lt;&lt;INJUREDPARTY_NAME&gt;&gt;, pursuant to Florida Rule of Civil Procedure 1.510, respectfully moves this court for summary judgment for payment of its engineering services provided in connection with the subject loss herein.  Plaintiffs are entitled to summary judgment for the reasons set forth in the attached Memorandum of Law filed herewith.</w:t>
      </w:r>
    </w:p>
    <w:p w14:paraId="5BA236BA" w14:textId="77777777" w:rsidR="006E3EBF" w:rsidRPr="00762850" w:rsidRDefault="006E3EBF" w:rsidP="006E3EBF">
      <w:pPr>
        <w:pStyle w:val="BodyText"/>
        <w:jc w:val="center"/>
        <w:rPr>
          <w:rFonts w:asciiTheme="majorBidi" w:hAnsiTheme="majorBidi" w:cstheme="majorBidi"/>
          <w:szCs w:val="24"/>
        </w:rPr>
      </w:pPr>
      <w:r w:rsidRPr="00762850">
        <w:rPr>
          <w:rFonts w:asciiTheme="majorBidi" w:hAnsiTheme="majorBidi" w:cstheme="majorBidi"/>
          <w:szCs w:val="24"/>
        </w:rPr>
        <w:t>STATEMENT OF UNDISPUTED FACTS</w:t>
      </w:r>
    </w:p>
    <w:p w14:paraId="791A51DD" w14:textId="77777777" w:rsidR="006E3EBF" w:rsidRPr="00762850" w:rsidRDefault="006E3EBF" w:rsidP="00AE0E82">
      <w:pPr>
        <w:pStyle w:val="BodyText"/>
        <w:widowControl w:val="0"/>
        <w:numPr>
          <w:ilvl w:val="0"/>
          <w:numId w:val="3"/>
        </w:numPr>
        <w:ind w:left="0" w:firstLine="720"/>
        <w:rPr>
          <w:rFonts w:asciiTheme="majorBidi" w:hAnsiTheme="majorBidi" w:cstheme="majorBidi"/>
          <w:szCs w:val="24"/>
        </w:rPr>
      </w:pPr>
      <w:r w:rsidRPr="00762850">
        <w:rPr>
          <w:rFonts w:asciiTheme="majorBidi" w:hAnsiTheme="majorBidi" w:cstheme="majorBidi"/>
          <w:szCs w:val="24"/>
        </w:rPr>
        <w:t xml:space="preserve">This lawsuit arises from a claim for damages to real property located at &lt;&lt;INJUREDPARTY_FULL_ADDRESS&gt;&gt; (hereinafter the “Property”) in connection with a covered loss that occurred on &lt;&lt;ACCIDENT_DATE&gt;&gt; (hereinafter the “Loss”). </w:t>
      </w:r>
    </w:p>
    <w:p w14:paraId="01C37264" w14:textId="77777777" w:rsidR="006E3EBF" w:rsidRPr="00762850" w:rsidRDefault="006E3EBF" w:rsidP="00AE0E82">
      <w:pPr>
        <w:pStyle w:val="BodyText"/>
        <w:widowControl w:val="0"/>
        <w:numPr>
          <w:ilvl w:val="0"/>
          <w:numId w:val="3"/>
        </w:numPr>
        <w:ind w:left="0" w:firstLine="720"/>
        <w:rPr>
          <w:rFonts w:asciiTheme="majorBidi" w:hAnsiTheme="majorBidi" w:cstheme="majorBidi"/>
          <w:szCs w:val="24"/>
        </w:rPr>
      </w:pPr>
      <w:r w:rsidRPr="00762850">
        <w:rPr>
          <w:rFonts w:asciiTheme="majorBidi" w:hAnsiTheme="majorBidi" w:cstheme="majorBidi"/>
          <w:szCs w:val="24"/>
        </w:rPr>
        <w:t>Defendant issued an HO-3 Form “all-risk” homeowners insurance policy (hereinafter the “Policy”)</w:t>
      </w:r>
      <w:r>
        <w:rPr>
          <w:rFonts w:asciiTheme="majorBidi" w:hAnsiTheme="majorBidi" w:cstheme="majorBidi"/>
          <w:szCs w:val="24"/>
        </w:rPr>
        <w:t xml:space="preserve"> Policy No. &lt;&lt;POLICY_NUMBER&gt;&gt; </w:t>
      </w:r>
      <w:r w:rsidRPr="00762850">
        <w:rPr>
          <w:rFonts w:asciiTheme="majorBidi" w:hAnsiTheme="majorBidi" w:cstheme="majorBidi"/>
          <w:szCs w:val="24"/>
        </w:rPr>
        <w:t xml:space="preserve"> to &lt;&lt;INJUREDPARTY_NAME&gt;&gt; (hereinafter the “Insured”)</w:t>
      </w:r>
      <w:r>
        <w:rPr>
          <w:rFonts w:asciiTheme="majorBidi" w:hAnsiTheme="majorBidi" w:cstheme="majorBidi"/>
          <w:szCs w:val="24"/>
        </w:rPr>
        <w:t>, which was in full force and effect at the time of the loss.</w:t>
      </w:r>
    </w:p>
    <w:p w14:paraId="42081768" w14:textId="77777777" w:rsidR="006E3EBF" w:rsidRPr="00762850" w:rsidRDefault="006E3EBF" w:rsidP="00AE0E82">
      <w:pPr>
        <w:pStyle w:val="BodyText"/>
        <w:widowControl w:val="0"/>
        <w:numPr>
          <w:ilvl w:val="0"/>
          <w:numId w:val="3"/>
        </w:numPr>
        <w:ind w:left="0" w:firstLine="720"/>
        <w:rPr>
          <w:rFonts w:asciiTheme="majorBidi" w:hAnsiTheme="majorBidi" w:cstheme="majorBidi"/>
          <w:szCs w:val="24"/>
        </w:rPr>
      </w:pPr>
      <w:r w:rsidRPr="00762850">
        <w:rPr>
          <w:rFonts w:asciiTheme="majorBidi" w:hAnsiTheme="majorBidi" w:cstheme="majorBidi"/>
          <w:szCs w:val="24"/>
        </w:rPr>
        <w:t xml:space="preserve">During the subject policy period and prior to the filing of the instant lawsuit the </w:t>
      </w:r>
      <w:r w:rsidRPr="00762850">
        <w:rPr>
          <w:rFonts w:asciiTheme="majorBidi" w:hAnsiTheme="majorBidi" w:cstheme="majorBidi"/>
          <w:szCs w:val="24"/>
        </w:rPr>
        <w:lastRenderedPageBreak/>
        <w:t>Insured reported to the Defendant the loss to the insured property.</w:t>
      </w:r>
    </w:p>
    <w:p w14:paraId="4B76C9A6" w14:textId="77777777" w:rsidR="006E3EBF" w:rsidRPr="00762850" w:rsidRDefault="006E3EBF" w:rsidP="00AE0E82">
      <w:pPr>
        <w:pStyle w:val="BodyText"/>
        <w:widowControl w:val="0"/>
        <w:numPr>
          <w:ilvl w:val="0"/>
          <w:numId w:val="3"/>
        </w:numPr>
        <w:ind w:left="0" w:firstLine="720"/>
        <w:rPr>
          <w:rFonts w:asciiTheme="majorBidi" w:hAnsiTheme="majorBidi" w:cstheme="majorBidi"/>
          <w:szCs w:val="24"/>
        </w:rPr>
      </w:pPr>
      <w:r w:rsidRPr="00762850">
        <w:rPr>
          <w:rFonts w:asciiTheme="majorBidi" w:hAnsiTheme="majorBidi" w:cstheme="majorBidi"/>
          <w:szCs w:val="24"/>
        </w:rPr>
        <w:t>Following the loss, the Insured executed an assignment of benefits to the Plaintiff in exchange for</w:t>
      </w:r>
      <w:r>
        <w:rPr>
          <w:rFonts w:asciiTheme="majorBidi" w:hAnsiTheme="majorBidi" w:cstheme="majorBidi"/>
          <w:szCs w:val="24"/>
        </w:rPr>
        <w:t xml:space="preserve"> engineering </w:t>
      </w:r>
      <w:r w:rsidRPr="00762850">
        <w:rPr>
          <w:rFonts w:asciiTheme="majorBidi" w:hAnsiTheme="majorBidi" w:cstheme="majorBidi"/>
          <w:szCs w:val="24"/>
        </w:rPr>
        <w:t xml:space="preserve">services meant to assist in the repair or replacement of damaged physical property. See Exhibit </w:t>
      </w:r>
      <w:r>
        <w:rPr>
          <w:rFonts w:asciiTheme="majorBidi" w:hAnsiTheme="majorBidi" w:cstheme="majorBidi"/>
          <w:szCs w:val="24"/>
        </w:rPr>
        <w:t>A</w:t>
      </w:r>
      <w:r w:rsidRPr="00762850">
        <w:rPr>
          <w:rFonts w:asciiTheme="majorBidi" w:hAnsiTheme="majorBidi" w:cstheme="majorBidi"/>
          <w:szCs w:val="24"/>
        </w:rPr>
        <w:t>.</w:t>
      </w:r>
    </w:p>
    <w:p w14:paraId="2722C01F" w14:textId="77777777" w:rsidR="006E3EBF" w:rsidRPr="00762850" w:rsidRDefault="006E3EBF" w:rsidP="00AE0E82">
      <w:pPr>
        <w:pStyle w:val="BodyText"/>
        <w:widowControl w:val="0"/>
        <w:numPr>
          <w:ilvl w:val="0"/>
          <w:numId w:val="3"/>
        </w:numPr>
        <w:ind w:left="0" w:firstLine="720"/>
        <w:rPr>
          <w:rFonts w:asciiTheme="majorBidi" w:hAnsiTheme="majorBidi" w:cstheme="majorBidi"/>
          <w:szCs w:val="24"/>
        </w:rPr>
      </w:pPr>
      <w:r w:rsidRPr="00762850">
        <w:rPr>
          <w:rFonts w:asciiTheme="majorBidi" w:hAnsiTheme="majorBidi" w:cstheme="majorBidi"/>
          <w:szCs w:val="24"/>
        </w:rPr>
        <w:t xml:space="preserve">Subsequent to the assignment of benefits, the Defendant refused to pay the insurance benefits due to the Plaintiff for services rendered. </w:t>
      </w:r>
    </w:p>
    <w:p w14:paraId="7B311E6E" w14:textId="77777777" w:rsidR="006E3EBF" w:rsidRPr="00762850" w:rsidRDefault="006E3EBF" w:rsidP="00AE0E82">
      <w:pPr>
        <w:pStyle w:val="BodyText"/>
        <w:widowControl w:val="0"/>
        <w:numPr>
          <w:ilvl w:val="0"/>
          <w:numId w:val="3"/>
        </w:numPr>
        <w:ind w:left="0" w:firstLine="720"/>
        <w:rPr>
          <w:rFonts w:asciiTheme="majorBidi" w:hAnsiTheme="majorBidi" w:cstheme="majorBidi"/>
          <w:szCs w:val="24"/>
        </w:rPr>
      </w:pPr>
      <w:r w:rsidRPr="00762850">
        <w:rPr>
          <w:rFonts w:asciiTheme="majorBidi" w:hAnsiTheme="majorBidi" w:cstheme="majorBidi"/>
          <w:szCs w:val="24"/>
        </w:rPr>
        <w:t>As a result of Defendant’s actions, Plaintiff filed the instant lawsuit for breach of contract for Defendant’s failure to issue policy benefits under the subject policy of insurance</w:t>
      </w:r>
      <w:r>
        <w:rPr>
          <w:rFonts w:asciiTheme="majorBidi" w:hAnsiTheme="majorBidi" w:cstheme="majorBidi"/>
          <w:szCs w:val="24"/>
        </w:rPr>
        <w:t>.</w:t>
      </w:r>
    </w:p>
    <w:p w14:paraId="26695281" w14:textId="77777777" w:rsidR="006E3EBF" w:rsidRPr="00553177" w:rsidRDefault="006E3EBF" w:rsidP="00AE0E82">
      <w:pPr>
        <w:pStyle w:val="BodyText"/>
        <w:widowControl w:val="0"/>
        <w:numPr>
          <w:ilvl w:val="0"/>
          <w:numId w:val="3"/>
        </w:numPr>
        <w:ind w:left="0" w:firstLine="720"/>
        <w:rPr>
          <w:rFonts w:asciiTheme="majorBidi" w:hAnsiTheme="majorBidi" w:cstheme="majorBidi"/>
          <w:szCs w:val="24"/>
        </w:rPr>
      </w:pPr>
      <w:r w:rsidRPr="00762850">
        <w:rPr>
          <w:rFonts w:asciiTheme="majorBidi" w:hAnsiTheme="majorBidi" w:cstheme="majorBidi"/>
          <w:szCs w:val="24"/>
        </w:rPr>
        <w:t>In response to Plaintiff’s Complaint, Defendant filed an Answer and Affirmative Defenses</w:t>
      </w:r>
      <w:r>
        <w:rPr>
          <w:rFonts w:asciiTheme="majorBidi" w:hAnsiTheme="majorBidi" w:cstheme="majorBidi"/>
          <w:szCs w:val="24"/>
        </w:rPr>
        <w:t xml:space="preserve">, and </w:t>
      </w:r>
      <w:r w:rsidRPr="00FF3A7A">
        <w:rPr>
          <w:rFonts w:asciiTheme="majorBidi" w:hAnsiTheme="majorBidi" w:cstheme="majorBidi"/>
          <w:szCs w:val="24"/>
        </w:rPr>
        <w:t>state</w:t>
      </w:r>
      <w:r>
        <w:rPr>
          <w:rFonts w:asciiTheme="majorBidi" w:hAnsiTheme="majorBidi" w:cstheme="majorBidi"/>
          <w:szCs w:val="24"/>
        </w:rPr>
        <w:t>d</w:t>
      </w:r>
      <w:r w:rsidRPr="00FF3A7A">
        <w:rPr>
          <w:rFonts w:asciiTheme="majorBidi" w:hAnsiTheme="majorBidi" w:cstheme="majorBidi"/>
          <w:szCs w:val="24"/>
        </w:rPr>
        <w:t xml:space="preserve"> without any justification, that the services provided by Plaintiff </w:t>
      </w:r>
      <w:r>
        <w:rPr>
          <w:rFonts w:asciiTheme="majorBidi" w:hAnsiTheme="majorBidi" w:cstheme="majorBidi"/>
          <w:szCs w:val="24"/>
        </w:rPr>
        <w:t>are</w:t>
      </w:r>
      <w:r w:rsidRPr="00FF3A7A">
        <w:rPr>
          <w:rFonts w:asciiTheme="majorBidi" w:hAnsiTheme="majorBidi" w:cstheme="majorBidi"/>
          <w:szCs w:val="24"/>
        </w:rPr>
        <w:t xml:space="preserve"> not covered by the Policy</w:t>
      </w:r>
      <w:r w:rsidRPr="00553177">
        <w:rPr>
          <w:rFonts w:asciiTheme="majorBidi" w:hAnsiTheme="majorBidi" w:cstheme="majorBidi"/>
          <w:szCs w:val="24"/>
        </w:rPr>
        <w:t xml:space="preserve">. </w:t>
      </w:r>
    </w:p>
    <w:p w14:paraId="318EF21C" w14:textId="77777777" w:rsidR="006E3EBF" w:rsidRPr="00AF4B22" w:rsidRDefault="006E3EBF" w:rsidP="00AE0E82">
      <w:pPr>
        <w:pStyle w:val="ListParagraph"/>
        <w:numPr>
          <w:ilvl w:val="0"/>
          <w:numId w:val="3"/>
        </w:numPr>
        <w:spacing w:line="480" w:lineRule="auto"/>
        <w:ind w:left="0" w:firstLine="720"/>
        <w:jc w:val="both"/>
        <w:rPr>
          <w:rFonts w:asciiTheme="majorBidi" w:hAnsiTheme="majorBidi" w:cstheme="majorBidi"/>
          <w:sz w:val="24"/>
          <w:szCs w:val="24"/>
        </w:rPr>
      </w:pPr>
      <w:r w:rsidRPr="00AF4B22">
        <w:rPr>
          <w:rFonts w:asciiTheme="majorBidi" w:hAnsiTheme="majorBidi" w:cstheme="majorBidi"/>
          <w:sz w:val="24"/>
          <w:szCs w:val="24"/>
        </w:rPr>
        <w:t>Plaintiff, with the support of the facts and Florida law, asserts that the Defendant is liable to the Plaintiff for all damages sought in this lawsuit.</w:t>
      </w:r>
    </w:p>
    <w:p w14:paraId="53EAEE71" w14:textId="77777777" w:rsidR="006E3EBF" w:rsidRPr="00FB4151" w:rsidRDefault="006E3EBF" w:rsidP="006E3EBF">
      <w:pPr>
        <w:jc w:val="center"/>
        <w:rPr>
          <w:rFonts w:asciiTheme="majorBidi" w:hAnsiTheme="majorBidi" w:cstheme="majorBidi"/>
          <w:b/>
          <w:bCs/>
          <w:color w:val="000000"/>
          <w:sz w:val="24"/>
          <w:szCs w:val="24"/>
        </w:rPr>
      </w:pPr>
      <w:r w:rsidRPr="00FB4151">
        <w:rPr>
          <w:rFonts w:asciiTheme="majorBidi" w:hAnsiTheme="majorBidi" w:cstheme="majorBidi"/>
          <w:b/>
          <w:bCs/>
          <w:color w:val="000000"/>
          <w:sz w:val="24"/>
          <w:szCs w:val="24"/>
        </w:rPr>
        <w:t>MEMORANDUM OF LAW</w:t>
      </w:r>
    </w:p>
    <w:p w14:paraId="76CA4FD2" w14:textId="77777777" w:rsidR="006E3EBF" w:rsidRPr="00762850" w:rsidRDefault="006E3EBF" w:rsidP="006E3EBF">
      <w:pPr>
        <w:rPr>
          <w:rFonts w:asciiTheme="majorBidi" w:hAnsiTheme="majorBidi" w:cstheme="majorBidi"/>
          <w:sz w:val="24"/>
          <w:szCs w:val="24"/>
        </w:rPr>
      </w:pPr>
    </w:p>
    <w:p w14:paraId="4A652546" w14:textId="77777777" w:rsidR="006E3EBF" w:rsidRPr="00762850" w:rsidRDefault="006E3EBF" w:rsidP="006E3EBF">
      <w:pPr>
        <w:jc w:val="center"/>
        <w:rPr>
          <w:rFonts w:asciiTheme="majorBidi" w:hAnsiTheme="majorBidi" w:cstheme="majorBidi"/>
          <w:sz w:val="24"/>
          <w:szCs w:val="24"/>
          <w:u w:val="single"/>
        </w:rPr>
      </w:pPr>
      <w:r w:rsidRPr="00762850">
        <w:rPr>
          <w:rFonts w:asciiTheme="majorBidi" w:hAnsiTheme="majorBidi" w:cstheme="majorBidi"/>
          <w:color w:val="000000"/>
          <w:sz w:val="24"/>
          <w:szCs w:val="24"/>
          <w:u w:val="single"/>
        </w:rPr>
        <w:t>INTRODUCTION</w:t>
      </w:r>
    </w:p>
    <w:p w14:paraId="2553BD2E" w14:textId="77777777" w:rsidR="006E3EBF" w:rsidRPr="00762850" w:rsidRDefault="006E3EBF" w:rsidP="006E3EBF">
      <w:pPr>
        <w:rPr>
          <w:rFonts w:asciiTheme="majorBidi" w:hAnsiTheme="majorBidi" w:cstheme="majorBidi"/>
          <w:sz w:val="24"/>
          <w:szCs w:val="24"/>
        </w:rPr>
      </w:pPr>
    </w:p>
    <w:p w14:paraId="188D63E2" w14:textId="77777777" w:rsidR="006E3EBF" w:rsidRPr="00762850" w:rsidRDefault="006E3EBF" w:rsidP="006E3EBF">
      <w:pPr>
        <w:spacing w:line="480" w:lineRule="auto"/>
        <w:ind w:firstLine="720"/>
        <w:jc w:val="both"/>
        <w:rPr>
          <w:rFonts w:asciiTheme="majorBidi" w:hAnsiTheme="majorBidi" w:cstheme="majorBidi"/>
          <w:color w:val="000000"/>
          <w:sz w:val="24"/>
          <w:szCs w:val="24"/>
        </w:rPr>
      </w:pPr>
      <w:r w:rsidRPr="00762850">
        <w:rPr>
          <w:rFonts w:asciiTheme="majorBidi" w:hAnsiTheme="majorBidi" w:cstheme="majorBidi"/>
          <w:color w:val="000000"/>
          <w:sz w:val="24"/>
          <w:szCs w:val="24"/>
        </w:rPr>
        <w:t xml:space="preserve">Plaintiff provided forensic engineering services in connection with a covered loss.  Defendant refused to pay for the services claiming that the same are not compensable under its “HO-3 all-risks policy”, because engineering services are not specifically referenced or listed as covered services in its policy. However, the existing Florida case law provides without exception that insurance policies should be construed broadly to provide the insured with the greatest possible policy benefit. </w:t>
      </w:r>
    </w:p>
    <w:p w14:paraId="033D843C" w14:textId="77777777" w:rsidR="006E3EBF" w:rsidRPr="00762850" w:rsidRDefault="006E3EBF" w:rsidP="006E3EBF">
      <w:pPr>
        <w:spacing w:line="480" w:lineRule="auto"/>
        <w:ind w:firstLine="720"/>
        <w:jc w:val="both"/>
        <w:rPr>
          <w:rFonts w:asciiTheme="majorBidi" w:hAnsiTheme="majorBidi" w:cstheme="majorBidi"/>
          <w:color w:val="000000"/>
          <w:sz w:val="24"/>
          <w:szCs w:val="24"/>
        </w:rPr>
      </w:pPr>
      <w:r w:rsidRPr="00762850">
        <w:rPr>
          <w:rFonts w:asciiTheme="majorBidi" w:hAnsiTheme="majorBidi" w:cstheme="majorBidi"/>
          <w:color w:val="000000"/>
          <w:sz w:val="24"/>
          <w:szCs w:val="24"/>
        </w:rPr>
        <w:t xml:space="preserve">Essentially, for the Plaintiff to prevail on a Motion for Summary Judgment on this issue, all it must show is that a covered cause of loss occurred during the policy period, while the policy </w:t>
      </w:r>
      <w:r w:rsidRPr="00762850">
        <w:rPr>
          <w:rFonts w:asciiTheme="majorBidi" w:hAnsiTheme="majorBidi" w:cstheme="majorBidi"/>
          <w:color w:val="000000"/>
          <w:sz w:val="24"/>
          <w:szCs w:val="24"/>
        </w:rPr>
        <w:lastRenderedPageBreak/>
        <w:t xml:space="preserve">was in full force and effect. The burden then shifts to the insurer to show that the specific service is excluded under the policy. </w:t>
      </w:r>
    </w:p>
    <w:p w14:paraId="6A06AEF0" w14:textId="77777777" w:rsidR="006E3EBF" w:rsidRPr="00762850" w:rsidRDefault="006E3EBF" w:rsidP="006E3EBF">
      <w:pPr>
        <w:spacing w:line="480" w:lineRule="auto"/>
        <w:ind w:firstLine="720"/>
        <w:jc w:val="both"/>
        <w:rPr>
          <w:rFonts w:asciiTheme="majorBidi" w:hAnsiTheme="majorBidi" w:cstheme="majorBidi"/>
          <w:color w:val="000000"/>
          <w:sz w:val="24"/>
          <w:szCs w:val="24"/>
        </w:rPr>
      </w:pPr>
      <w:r w:rsidRPr="00762850">
        <w:rPr>
          <w:rFonts w:asciiTheme="majorBidi" w:hAnsiTheme="majorBidi" w:cstheme="majorBidi"/>
          <w:color w:val="000000"/>
          <w:sz w:val="24"/>
          <w:szCs w:val="24"/>
        </w:rPr>
        <w:t xml:space="preserve">Defendant’s HO-3 policy covers the type of peril suffered by the insured property, and the policy was in full force at the time of the loss. Plaintiff’s engineering services were performed in response to said covered loss, and Defendant’s “all-risk” policy contains no exclusion for engineering services. </w:t>
      </w:r>
    </w:p>
    <w:p w14:paraId="1D720F6C" w14:textId="77777777" w:rsidR="006E3EBF" w:rsidRPr="00762850" w:rsidRDefault="006E3EBF" w:rsidP="006E3EBF">
      <w:pPr>
        <w:spacing w:line="480" w:lineRule="auto"/>
        <w:ind w:firstLine="720"/>
        <w:jc w:val="both"/>
        <w:rPr>
          <w:rFonts w:asciiTheme="majorBidi" w:hAnsiTheme="majorBidi" w:cstheme="majorBidi"/>
          <w:color w:val="000000"/>
          <w:sz w:val="24"/>
          <w:szCs w:val="24"/>
        </w:rPr>
      </w:pPr>
      <w:r w:rsidRPr="00762850">
        <w:rPr>
          <w:rFonts w:asciiTheme="majorBidi" w:hAnsiTheme="majorBidi" w:cstheme="majorBidi"/>
          <w:color w:val="000000"/>
          <w:sz w:val="24"/>
          <w:szCs w:val="24"/>
        </w:rPr>
        <w:t xml:space="preserve">Accordingly, Plaintiff has met its burden and entering summary judgment in its favor is proper.   </w:t>
      </w:r>
    </w:p>
    <w:p w14:paraId="3BC671BC" w14:textId="77777777" w:rsidR="006E3EBF" w:rsidRPr="00762850" w:rsidRDefault="006E3EBF" w:rsidP="006E3EBF">
      <w:pPr>
        <w:spacing w:line="480" w:lineRule="auto"/>
        <w:jc w:val="center"/>
        <w:rPr>
          <w:rFonts w:asciiTheme="majorBidi" w:hAnsiTheme="majorBidi" w:cstheme="majorBidi"/>
          <w:sz w:val="24"/>
          <w:szCs w:val="24"/>
          <w:u w:val="single"/>
        </w:rPr>
      </w:pPr>
      <w:r w:rsidRPr="00762850">
        <w:rPr>
          <w:rFonts w:asciiTheme="majorBidi" w:hAnsiTheme="majorBidi" w:cstheme="majorBidi"/>
          <w:color w:val="000000"/>
          <w:sz w:val="24"/>
          <w:szCs w:val="24"/>
          <w:u w:val="single"/>
        </w:rPr>
        <w:t>ARGUMENT</w:t>
      </w:r>
    </w:p>
    <w:p w14:paraId="4706086C" w14:textId="77777777" w:rsidR="006E3EBF" w:rsidRPr="00762850" w:rsidRDefault="006E3EBF" w:rsidP="006E3EBF">
      <w:pPr>
        <w:shd w:val="clear" w:color="auto" w:fill="FFFFFF"/>
        <w:spacing w:line="480" w:lineRule="auto"/>
        <w:ind w:firstLine="720"/>
        <w:jc w:val="both"/>
        <w:rPr>
          <w:rFonts w:asciiTheme="majorBidi" w:hAnsiTheme="majorBidi" w:cstheme="majorBidi"/>
          <w:sz w:val="24"/>
          <w:szCs w:val="24"/>
        </w:rPr>
      </w:pPr>
      <w:r w:rsidRPr="00762850">
        <w:rPr>
          <w:rFonts w:asciiTheme="majorBidi" w:hAnsiTheme="majorBidi" w:cstheme="majorBidi"/>
          <w:color w:val="000000"/>
          <w:sz w:val="24"/>
          <w:szCs w:val="24"/>
        </w:rPr>
        <w:t xml:space="preserve">“Summary judgment is proper if there is no genuine issue of material fact and if the moving party is entitled to a judgment as a matter of law.” </w:t>
      </w:r>
      <w:r w:rsidRPr="00762850">
        <w:rPr>
          <w:rFonts w:asciiTheme="majorBidi" w:hAnsiTheme="majorBidi" w:cstheme="majorBidi"/>
          <w:color w:val="000000"/>
          <w:sz w:val="24"/>
          <w:szCs w:val="24"/>
          <w:u w:val="single"/>
          <w:shd w:val="clear" w:color="auto" w:fill="FFFFFF"/>
        </w:rPr>
        <w:t>Volusia Cty. v. Aberdeen at Ormond Beach, L.P.</w:t>
      </w:r>
      <w:r w:rsidRPr="00762850">
        <w:rPr>
          <w:rFonts w:asciiTheme="majorBidi" w:hAnsiTheme="majorBidi" w:cstheme="majorBidi"/>
          <w:color w:val="000000"/>
          <w:sz w:val="24"/>
          <w:szCs w:val="24"/>
          <w:shd w:val="clear" w:color="auto" w:fill="FFFFFF"/>
        </w:rPr>
        <w:t>, 760 So. 2d 126, 130 (Fla. 2000)</w:t>
      </w:r>
      <w:r w:rsidRPr="00762850">
        <w:rPr>
          <w:rFonts w:asciiTheme="majorBidi" w:hAnsiTheme="majorBidi" w:cstheme="majorBidi"/>
          <w:color w:val="000000"/>
          <w:sz w:val="24"/>
          <w:szCs w:val="24"/>
        </w:rPr>
        <w:t xml:space="preserve">. “Summary judgment is designed to test the sufficiency of the evidence to determine if there is sufficient evidence at issue to justify a trial or formal hearing on the issues raised in the pleadings.” </w:t>
      </w:r>
      <w:r w:rsidRPr="00762850">
        <w:rPr>
          <w:rFonts w:asciiTheme="majorBidi" w:hAnsiTheme="majorBidi" w:cstheme="majorBidi"/>
          <w:color w:val="000000"/>
          <w:sz w:val="24"/>
          <w:szCs w:val="24"/>
          <w:u w:val="single"/>
        </w:rPr>
        <w:t>The Fla. Bar v. Greene</w:t>
      </w:r>
      <w:r w:rsidRPr="00762850">
        <w:rPr>
          <w:rFonts w:asciiTheme="majorBidi" w:hAnsiTheme="majorBidi" w:cstheme="majorBidi"/>
          <w:color w:val="000000"/>
          <w:sz w:val="24"/>
          <w:szCs w:val="24"/>
        </w:rPr>
        <w:t xml:space="preserve">, 926 So. 2d 1195, 1200 (Fla. 2006). A court considering summary judgment must avoid putting a party through “the expense of going through a trial, where the only possible result will be a directed verdict.” </w:t>
      </w:r>
      <w:r w:rsidRPr="00762850">
        <w:rPr>
          <w:rFonts w:asciiTheme="majorBidi" w:hAnsiTheme="majorBidi" w:cstheme="majorBidi"/>
          <w:color w:val="000000"/>
          <w:sz w:val="24"/>
          <w:szCs w:val="24"/>
          <w:u w:val="single"/>
        </w:rPr>
        <w:t>Gonzalez v. Citizens Prop. Ins. Corp.</w:t>
      </w:r>
      <w:r w:rsidRPr="00762850">
        <w:rPr>
          <w:rFonts w:asciiTheme="majorBidi" w:hAnsiTheme="majorBidi" w:cstheme="majorBidi"/>
          <w:color w:val="000000"/>
          <w:sz w:val="24"/>
          <w:szCs w:val="24"/>
        </w:rPr>
        <w:t xml:space="preserve">, 273 So. 3d 1031, 1035 (Fla. Dist. Ct. App. 2019) (quoting </w:t>
      </w:r>
      <w:r w:rsidRPr="00762850">
        <w:rPr>
          <w:rFonts w:asciiTheme="majorBidi" w:hAnsiTheme="majorBidi" w:cstheme="majorBidi"/>
          <w:color w:val="000000"/>
          <w:sz w:val="24"/>
          <w:szCs w:val="24"/>
          <w:u w:val="single"/>
        </w:rPr>
        <w:t>Martin Petroleum Corp. v. Amerada Hess Corp.</w:t>
      </w:r>
      <w:r w:rsidRPr="00762850">
        <w:rPr>
          <w:rFonts w:asciiTheme="majorBidi" w:hAnsiTheme="majorBidi" w:cstheme="majorBidi"/>
          <w:color w:val="000000"/>
          <w:sz w:val="24"/>
          <w:szCs w:val="24"/>
        </w:rPr>
        <w:t>, 769 So.2d 1105, 1108 (Fla. 4th DCA 2000)).</w:t>
      </w:r>
    </w:p>
    <w:p w14:paraId="4D7DE9E1" w14:textId="77777777" w:rsidR="006E3EBF" w:rsidRPr="00762850" w:rsidRDefault="006E3EBF" w:rsidP="006E3EBF">
      <w:pPr>
        <w:spacing w:line="480" w:lineRule="auto"/>
        <w:ind w:firstLine="720"/>
        <w:jc w:val="both"/>
        <w:rPr>
          <w:rFonts w:asciiTheme="majorBidi" w:hAnsiTheme="majorBidi" w:cstheme="majorBidi"/>
          <w:color w:val="000000"/>
          <w:sz w:val="24"/>
          <w:szCs w:val="24"/>
        </w:rPr>
      </w:pPr>
      <w:r w:rsidRPr="00BA79E3">
        <w:rPr>
          <w:rFonts w:asciiTheme="majorBidi" w:hAnsiTheme="majorBidi" w:cstheme="majorBidi"/>
          <w:color w:val="000000"/>
          <w:sz w:val="24"/>
          <w:szCs w:val="24"/>
          <w:shd w:val="clear" w:color="auto" w:fill="FFFFFF"/>
        </w:rPr>
        <w:t xml:space="preserve">To answer the questions at issue, </w:t>
      </w:r>
      <w:r w:rsidRPr="00BA79E3">
        <w:rPr>
          <w:rFonts w:asciiTheme="majorBidi" w:hAnsiTheme="majorBidi" w:cstheme="majorBidi"/>
          <w:color w:val="000000"/>
          <w:sz w:val="24"/>
          <w:szCs w:val="24"/>
        </w:rPr>
        <w:t xml:space="preserve">Plaintiff must show that a loss occurred apparently within the terms of the policy </w:t>
      </w:r>
      <w:r w:rsidRPr="00510695">
        <w:rPr>
          <w:rFonts w:asciiTheme="majorBidi" w:hAnsiTheme="majorBidi" w:cstheme="majorBidi"/>
          <w:color w:val="000000"/>
          <w:sz w:val="24"/>
          <w:szCs w:val="24"/>
        </w:rPr>
        <w:t>Jones v. Federated Nat'l Ins. Co.</w:t>
      </w:r>
      <w:r w:rsidRPr="00356370">
        <w:rPr>
          <w:rFonts w:asciiTheme="majorBidi" w:hAnsiTheme="majorBidi" w:cstheme="majorBidi"/>
          <w:color w:val="000000"/>
          <w:sz w:val="24"/>
          <w:szCs w:val="24"/>
          <w:u w:val="single"/>
        </w:rPr>
        <w:t xml:space="preserve">, 235 So. 3d 936 (Fla. 4th DCA 2018) citing </w:t>
      </w:r>
      <w:r w:rsidRPr="00356370">
        <w:rPr>
          <w:rFonts w:asciiTheme="majorBidi" w:hAnsiTheme="majorBidi" w:cstheme="majorBidi"/>
          <w:color w:val="212529"/>
          <w:sz w:val="24"/>
          <w:szCs w:val="24"/>
          <w:u w:val="single"/>
          <w:shd w:val="clear" w:color="auto" w:fill="FFFFFF"/>
        </w:rPr>
        <w:t>Phoenix Insurance Company v. Branch</w:t>
      </w:r>
      <w:r w:rsidRPr="00BA79E3">
        <w:rPr>
          <w:rFonts w:asciiTheme="majorBidi" w:hAnsiTheme="majorBidi" w:cstheme="majorBidi"/>
          <w:color w:val="212529"/>
          <w:sz w:val="24"/>
          <w:szCs w:val="24"/>
          <w:shd w:val="clear" w:color="auto" w:fill="FFFFFF"/>
        </w:rPr>
        <w:t>, 234 So. 2d 396, 398</w:t>
      </w:r>
      <w:r w:rsidRPr="003A32C9">
        <w:rPr>
          <w:rFonts w:asciiTheme="majorBidi" w:hAnsiTheme="majorBidi" w:cstheme="majorBidi"/>
          <w:color w:val="212529"/>
          <w:sz w:val="24"/>
          <w:szCs w:val="24"/>
          <w:shd w:val="clear" w:color="auto" w:fill="FFFFFF"/>
        </w:rPr>
        <w:t xml:space="preserve"> (Fla. Dist. Ct. App. 1970)</w:t>
      </w:r>
      <w:r w:rsidRPr="00762850">
        <w:rPr>
          <w:rFonts w:asciiTheme="majorBidi" w:hAnsiTheme="majorBidi" w:cstheme="majorBidi"/>
          <w:color w:val="000000"/>
          <w:sz w:val="24"/>
          <w:szCs w:val="24"/>
        </w:rPr>
        <w:t xml:space="preserve">. Once Plaintiff establishes this, the burden shifts to Defendant to prove that the loss or </w:t>
      </w:r>
      <w:r>
        <w:rPr>
          <w:rFonts w:asciiTheme="majorBidi" w:hAnsiTheme="majorBidi" w:cstheme="majorBidi"/>
          <w:color w:val="000000"/>
          <w:sz w:val="24"/>
          <w:szCs w:val="24"/>
        </w:rPr>
        <w:t xml:space="preserve">in </w:t>
      </w:r>
      <w:r w:rsidRPr="00762850">
        <w:rPr>
          <w:rFonts w:asciiTheme="majorBidi" w:hAnsiTheme="majorBidi" w:cstheme="majorBidi"/>
          <w:color w:val="000000"/>
          <w:sz w:val="24"/>
          <w:szCs w:val="24"/>
        </w:rPr>
        <w:t xml:space="preserve">this instance the service in question was excluded. </w:t>
      </w:r>
      <w:r w:rsidRPr="00762850">
        <w:rPr>
          <w:rFonts w:asciiTheme="majorBidi" w:hAnsiTheme="majorBidi" w:cstheme="majorBidi"/>
          <w:color w:val="000000"/>
          <w:sz w:val="24"/>
          <w:szCs w:val="24"/>
          <w:u w:val="single"/>
        </w:rPr>
        <w:t>Id.</w:t>
      </w:r>
      <w:r w:rsidRPr="00762850">
        <w:rPr>
          <w:rFonts w:asciiTheme="majorBidi" w:hAnsiTheme="majorBidi" w:cstheme="majorBidi"/>
          <w:color w:val="000000"/>
          <w:sz w:val="24"/>
          <w:szCs w:val="24"/>
        </w:rPr>
        <w:t xml:space="preserve"> Defendant fails to meet this burden. </w:t>
      </w:r>
    </w:p>
    <w:p w14:paraId="728243FD" w14:textId="77777777" w:rsidR="006E3EBF" w:rsidRPr="00762850" w:rsidRDefault="006E3EBF" w:rsidP="006E3EBF">
      <w:pPr>
        <w:spacing w:line="480" w:lineRule="auto"/>
        <w:ind w:firstLine="720"/>
        <w:jc w:val="both"/>
        <w:rPr>
          <w:rFonts w:asciiTheme="majorBidi" w:hAnsiTheme="majorBidi" w:cstheme="majorBidi"/>
          <w:sz w:val="24"/>
          <w:szCs w:val="24"/>
        </w:rPr>
      </w:pPr>
      <w:r w:rsidRPr="00762850">
        <w:rPr>
          <w:rFonts w:asciiTheme="majorBidi" w:hAnsiTheme="majorBidi" w:cstheme="majorBidi"/>
          <w:color w:val="000000"/>
          <w:sz w:val="24"/>
          <w:szCs w:val="24"/>
        </w:rPr>
        <w:lastRenderedPageBreak/>
        <w:t xml:space="preserve">Because questions of coverage are legal questions, not questions of fact, Plaintiff’s find a Motion for Summary Judgment is most appropriate. </w:t>
      </w:r>
      <w:r w:rsidRPr="00762850">
        <w:rPr>
          <w:rFonts w:asciiTheme="majorBidi" w:hAnsiTheme="majorBidi" w:cstheme="majorBidi"/>
          <w:color w:val="000000"/>
          <w:sz w:val="24"/>
          <w:szCs w:val="24"/>
          <w:u w:val="single"/>
        </w:rPr>
        <w:t>Id.</w:t>
      </w:r>
      <w:r w:rsidRPr="00762850">
        <w:rPr>
          <w:rFonts w:asciiTheme="majorBidi" w:hAnsiTheme="majorBidi" w:cstheme="majorBidi"/>
          <w:color w:val="000000"/>
          <w:sz w:val="24"/>
          <w:szCs w:val="24"/>
        </w:rPr>
        <w:t xml:space="preserve"> (“Coverage determinations are legal questions decided by the court, not a jury.”). </w:t>
      </w:r>
      <w:r w:rsidRPr="00762850">
        <w:rPr>
          <w:rFonts w:asciiTheme="majorBidi" w:hAnsiTheme="majorBidi" w:cstheme="majorBidi"/>
          <w:color w:val="000000"/>
          <w:sz w:val="24"/>
          <w:szCs w:val="24"/>
          <w:u w:val="single"/>
        </w:rPr>
        <w:t>Fayad v. Clarendon Nat. Ins. Co.,</w:t>
      </w:r>
      <w:r w:rsidRPr="00762850">
        <w:rPr>
          <w:rFonts w:asciiTheme="majorBidi" w:hAnsiTheme="majorBidi" w:cstheme="majorBidi"/>
          <w:color w:val="000000"/>
          <w:sz w:val="24"/>
          <w:szCs w:val="24"/>
        </w:rPr>
        <w:t xml:space="preserve"> 899 So. 2d 1082, 1085 (Fla. 2005) </w:t>
      </w:r>
    </w:p>
    <w:p w14:paraId="0A77264B" w14:textId="77777777" w:rsidR="006E3EBF" w:rsidRPr="00762850" w:rsidRDefault="006E3EBF" w:rsidP="00AE0E82">
      <w:pPr>
        <w:pStyle w:val="ListParagraph"/>
        <w:numPr>
          <w:ilvl w:val="0"/>
          <w:numId w:val="2"/>
        </w:numPr>
        <w:ind w:left="720"/>
        <w:jc w:val="both"/>
        <w:rPr>
          <w:rFonts w:asciiTheme="majorBidi" w:hAnsiTheme="majorBidi" w:cstheme="majorBidi"/>
          <w:sz w:val="24"/>
          <w:szCs w:val="24"/>
        </w:rPr>
      </w:pPr>
      <w:r w:rsidRPr="00762850">
        <w:rPr>
          <w:rFonts w:asciiTheme="majorBidi" w:hAnsiTheme="majorBidi" w:cstheme="majorBidi"/>
          <w:color w:val="000000"/>
          <w:sz w:val="24"/>
          <w:szCs w:val="24"/>
        </w:rPr>
        <w:t>THE PERIL AT ISSUE WAS COVERED UNDER PLAINTIFF’S HO3 POLICY INSURED BY DEFENDANT. </w:t>
      </w:r>
    </w:p>
    <w:p w14:paraId="1804B595" w14:textId="77777777" w:rsidR="006E3EBF" w:rsidRPr="00762850" w:rsidRDefault="006E3EBF" w:rsidP="006E3EBF">
      <w:pPr>
        <w:pStyle w:val="ListParagraph"/>
        <w:ind w:left="1080"/>
        <w:jc w:val="both"/>
        <w:rPr>
          <w:rFonts w:asciiTheme="majorBidi" w:hAnsiTheme="majorBidi" w:cstheme="majorBidi"/>
          <w:sz w:val="24"/>
          <w:szCs w:val="24"/>
        </w:rPr>
      </w:pPr>
    </w:p>
    <w:p w14:paraId="07B6E0A9" w14:textId="77777777" w:rsidR="006E3EBF" w:rsidRPr="00762850" w:rsidRDefault="006E3EBF" w:rsidP="006E3EBF">
      <w:pPr>
        <w:spacing w:line="480" w:lineRule="auto"/>
        <w:ind w:firstLine="720"/>
        <w:jc w:val="both"/>
        <w:rPr>
          <w:rFonts w:asciiTheme="majorBidi" w:hAnsiTheme="majorBidi" w:cstheme="majorBidi"/>
          <w:sz w:val="24"/>
          <w:szCs w:val="24"/>
        </w:rPr>
      </w:pPr>
      <w:r w:rsidRPr="00D54E65">
        <w:rPr>
          <w:rFonts w:asciiTheme="majorBidi" w:hAnsiTheme="majorBidi" w:cstheme="majorBidi"/>
          <w:color w:val="000000"/>
          <w:sz w:val="24"/>
          <w:szCs w:val="24"/>
        </w:rPr>
        <w:t xml:space="preserve">Plaintiff’s insured property located </w:t>
      </w:r>
      <w:r w:rsidRPr="002D6416">
        <w:rPr>
          <w:color w:val="000000"/>
          <w:sz w:val="24"/>
          <w:szCs w:val="24"/>
        </w:rPr>
        <w:t xml:space="preserve">at </w:t>
      </w:r>
      <w:r w:rsidRPr="00C623A9">
        <w:rPr>
          <w:rFonts w:asciiTheme="majorBidi" w:hAnsiTheme="majorBidi" w:cstheme="majorBidi"/>
          <w:sz w:val="24"/>
          <w:szCs w:val="24"/>
        </w:rPr>
        <w:t>&lt;&lt;INJUREDPARTY_FULL_ADDRESS&gt;&gt;</w:t>
      </w:r>
      <w:r w:rsidRPr="00C623A9">
        <w:rPr>
          <w:color w:val="000000"/>
          <w:sz w:val="24"/>
          <w:szCs w:val="24"/>
        </w:rPr>
        <w:t>,</w:t>
      </w:r>
      <w:r w:rsidRPr="00D54E65">
        <w:rPr>
          <w:rFonts w:asciiTheme="majorBidi" w:hAnsiTheme="majorBidi" w:cstheme="majorBidi"/>
          <w:color w:val="000000"/>
          <w:sz w:val="24"/>
          <w:szCs w:val="24"/>
        </w:rPr>
        <w:t xml:space="preserve"> </w:t>
      </w:r>
      <w:r w:rsidRPr="0051225B">
        <w:rPr>
          <w:rFonts w:asciiTheme="majorBidi" w:hAnsiTheme="majorBidi" w:cstheme="majorBidi"/>
          <w:color w:val="000000"/>
          <w:sz w:val="24"/>
          <w:szCs w:val="24"/>
        </w:rPr>
        <w:t xml:space="preserve">suffered damages </w:t>
      </w:r>
      <w:r w:rsidRPr="00D54E65">
        <w:rPr>
          <w:rFonts w:asciiTheme="majorBidi" w:hAnsiTheme="majorBidi" w:cstheme="majorBidi"/>
          <w:color w:val="000000"/>
          <w:sz w:val="24"/>
          <w:szCs w:val="24"/>
        </w:rPr>
        <w:t>a</w:t>
      </w:r>
      <w:r w:rsidRPr="00762850">
        <w:rPr>
          <w:rFonts w:asciiTheme="majorBidi" w:hAnsiTheme="majorBidi" w:cstheme="majorBidi"/>
          <w:color w:val="000000"/>
          <w:sz w:val="24"/>
          <w:szCs w:val="24"/>
        </w:rPr>
        <w:t xml:space="preserve"> result of a covered loss which occurred on about &lt;&lt;ACCIDENT_DATE&gt;&gt;. At the time of the loss, the Insured had a HO-3 form Homeowner’s Insurance Policy issued by Defendant in full force and effect</w:t>
      </w:r>
      <w:r>
        <w:rPr>
          <w:rFonts w:asciiTheme="majorBidi" w:hAnsiTheme="majorBidi" w:cstheme="majorBidi"/>
          <w:color w:val="000000"/>
          <w:sz w:val="24"/>
          <w:szCs w:val="24"/>
        </w:rPr>
        <w:t>..</w:t>
      </w:r>
      <w:r w:rsidRPr="00762850">
        <w:rPr>
          <w:rFonts w:asciiTheme="majorBidi" w:hAnsiTheme="majorBidi" w:cstheme="majorBidi"/>
          <w:color w:val="000000"/>
          <w:sz w:val="24"/>
          <w:szCs w:val="24"/>
        </w:rPr>
        <w:t xml:space="preserve"> An HO-3 policy is an all-risk policy, meaning that </w:t>
      </w:r>
      <w:r w:rsidRPr="00762850">
        <w:rPr>
          <w:rFonts w:asciiTheme="majorBidi" w:hAnsiTheme="majorBidi" w:cstheme="majorBidi"/>
          <w:color w:val="000000"/>
          <w:sz w:val="24"/>
          <w:szCs w:val="24"/>
          <w:shd w:val="clear" w:color="auto" w:fill="FFFFFF"/>
        </w:rPr>
        <w:t>“[u]nless the policy expressly excludes the loss from coverage . . . [Defendant must] provide[] coverage for all fortuitous loss or damage other than that resulting from willful misconduct or fraudulent acts.” </w:t>
      </w:r>
      <w:r w:rsidRPr="00762850">
        <w:rPr>
          <w:rFonts w:asciiTheme="majorBidi" w:hAnsiTheme="majorBidi" w:cstheme="majorBidi"/>
          <w:color w:val="000000"/>
          <w:sz w:val="24"/>
          <w:szCs w:val="24"/>
          <w:u w:val="single"/>
          <w:shd w:val="clear" w:color="auto" w:fill="FFFFFF"/>
        </w:rPr>
        <w:t>Fayad v. Clarendon Nat. Ins. Co., 899 So.2d 1082, 1085 (Fla.2005</w:t>
      </w:r>
      <w:r w:rsidRPr="00762850">
        <w:rPr>
          <w:rFonts w:asciiTheme="majorBidi" w:hAnsiTheme="majorBidi" w:cstheme="majorBidi"/>
          <w:color w:val="000000"/>
          <w:sz w:val="24"/>
          <w:szCs w:val="24"/>
          <w:shd w:val="clear" w:color="auto" w:fill="FFFFFF"/>
        </w:rPr>
        <w:t xml:space="preserve">). </w:t>
      </w:r>
      <w:r w:rsidRPr="00762850">
        <w:rPr>
          <w:rFonts w:asciiTheme="majorBidi" w:hAnsiTheme="majorBidi" w:cstheme="majorBidi"/>
          <w:color w:val="000000"/>
          <w:sz w:val="24"/>
          <w:szCs w:val="24"/>
        </w:rPr>
        <w:t xml:space="preserve">An all-risk policy protects all direct losses except those explicitly excluded from the policy. </w:t>
      </w:r>
      <w:r w:rsidRPr="00762850">
        <w:rPr>
          <w:rFonts w:asciiTheme="majorBidi" w:hAnsiTheme="majorBidi" w:cstheme="majorBidi"/>
          <w:color w:val="000000"/>
          <w:sz w:val="24"/>
          <w:szCs w:val="24"/>
          <w:u w:val="single"/>
        </w:rPr>
        <w:t>Jones v. Federated Nation Insurance Company,</w:t>
      </w:r>
      <w:r w:rsidRPr="00762850">
        <w:rPr>
          <w:rFonts w:asciiTheme="majorBidi" w:hAnsiTheme="majorBidi" w:cstheme="majorBidi"/>
          <w:color w:val="000000"/>
          <w:sz w:val="24"/>
          <w:szCs w:val="24"/>
        </w:rPr>
        <w:t xml:space="preserve"> 235 So. 3d 936, 940-41 (Fla. 4</w:t>
      </w:r>
      <w:r w:rsidRPr="00762850">
        <w:rPr>
          <w:rFonts w:asciiTheme="majorBidi" w:hAnsiTheme="majorBidi" w:cstheme="majorBidi"/>
          <w:color w:val="000000"/>
          <w:sz w:val="24"/>
          <w:szCs w:val="24"/>
          <w:vertAlign w:val="superscript"/>
        </w:rPr>
        <w:t>th</w:t>
      </w:r>
      <w:r w:rsidRPr="00762850">
        <w:rPr>
          <w:rFonts w:asciiTheme="majorBidi" w:hAnsiTheme="majorBidi" w:cstheme="majorBidi"/>
          <w:color w:val="000000"/>
          <w:sz w:val="24"/>
          <w:szCs w:val="24"/>
        </w:rPr>
        <w:t xml:space="preserve"> DCA 2018). In </w:t>
      </w:r>
      <w:r w:rsidRPr="00762850">
        <w:rPr>
          <w:rFonts w:asciiTheme="majorBidi" w:hAnsiTheme="majorBidi" w:cstheme="majorBidi"/>
          <w:color w:val="000000"/>
          <w:sz w:val="24"/>
          <w:szCs w:val="24"/>
          <w:u w:val="single"/>
        </w:rPr>
        <w:t>Jones</w:t>
      </w:r>
      <w:r w:rsidRPr="00762850">
        <w:rPr>
          <w:rFonts w:asciiTheme="majorBidi" w:hAnsiTheme="majorBidi" w:cstheme="majorBidi"/>
          <w:color w:val="000000"/>
          <w:sz w:val="24"/>
          <w:szCs w:val="24"/>
        </w:rPr>
        <w:t>, the 4</w:t>
      </w:r>
      <w:r w:rsidRPr="00762850">
        <w:rPr>
          <w:rFonts w:asciiTheme="majorBidi" w:hAnsiTheme="majorBidi" w:cstheme="majorBidi"/>
          <w:color w:val="000000"/>
          <w:sz w:val="24"/>
          <w:szCs w:val="24"/>
          <w:vertAlign w:val="superscript"/>
        </w:rPr>
        <w:t>th</w:t>
      </w:r>
      <w:r w:rsidRPr="00762850">
        <w:rPr>
          <w:rFonts w:asciiTheme="majorBidi" w:hAnsiTheme="majorBidi" w:cstheme="majorBidi"/>
          <w:color w:val="000000"/>
          <w:sz w:val="24"/>
          <w:szCs w:val="24"/>
        </w:rPr>
        <w:t xml:space="preserve"> DCA held,</w:t>
      </w:r>
    </w:p>
    <w:p w14:paraId="0DD56A78" w14:textId="77777777" w:rsidR="006E3EBF" w:rsidRPr="00762850" w:rsidRDefault="006E3EBF" w:rsidP="006E3EBF">
      <w:pPr>
        <w:ind w:left="1440" w:right="1440"/>
        <w:jc w:val="both"/>
        <w:rPr>
          <w:rFonts w:asciiTheme="majorBidi" w:hAnsiTheme="majorBidi" w:cstheme="majorBidi"/>
          <w:sz w:val="24"/>
          <w:szCs w:val="24"/>
        </w:rPr>
      </w:pPr>
      <w:r w:rsidRPr="00762850">
        <w:rPr>
          <w:rFonts w:asciiTheme="majorBidi" w:hAnsiTheme="majorBidi" w:cstheme="majorBidi"/>
          <w:color w:val="000000"/>
          <w:sz w:val="24"/>
          <w:szCs w:val="24"/>
        </w:rPr>
        <w:t>“Under an all-risk insurance policy, ‘the rule is that once the insured establishes a loss apparently within the terms of the policy, the burden is upon to the insurer to prove the loss arose from a cause that was excepted.” Our allocation of this preliminary burden of proof is consistent with the general notion that an all-risk insurance policy guards against all risk except those explicitly excluded by the policy.</w:t>
      </w:r>
    </w:p>
    <w:p w14:paraId="4F62447A" w14:textId="77777777" w:rsidR="006E3EBF" w:rsidRPr="00762850" w:rsidRDefault="006E3EBF" w:rsidP="006E3EBF">
      <w:pPr>
        <w:rPr>
          <w:rFonts w:asciiTheme="majorBidi" w:hAnsiTheme="majorBidi" w:cstheme="majorBidi"/>
          <w:sz w:val="24"/>
          <w:szCs w:val="24"/>
        </w:rPr>
      </w:pPr>
    </w:p>
    <w:p w14:paraId="07E9CFB8" w14:textId="77777777" w:rsidR="006E3EBF" w:rsidRPr="00762850" w:rsidRDefault="006E3EBF" w:rsidP="006E3EBF">
      <w:pPr>
        <w:ind w:left="1440" w:right="1440"/>
        <w:jc w:val="both"/>
        <w:rPr>
          <w:rFonts w:asciiTheme="majorBidi" w:hAnsiTheme="majorBidi" w:cstheme="majorBidi"/>
          <w:sz w:val="24"/>
          <w:szCs w:val="24"/>
        </w:rPr>
      </w:pPr>
      <w:r w:rsidRPr="00762850">
        <w:rPr>
          <w:rFonts w:asciiTheme="majorBidi" w:hAnsiTheme="majorBidi" w:cstheme="majorBidi"/>
          <w:color w:val="000000"/>
          <w:sz w:val="24"/>
          <w:szCs w:val="24"/>
        </w:rPr>
        <w:t>The court explained: “an insured claiming under an all risks policy has the burden of proving that the insured property suffered a loss while the policy was in effect. The burden then shifts to the insurer to prove that the cause of the loss was excluded from coverage under the policy’s terms.</w:t>
      </w:r>
    </w:p>
    <w:p w14:paraId="2FD27FB1" w14:textId="77777777" w:rsidR="006E3EBF" w:rsidRPr="00762850" w:rsidRDefault="006E3EBF" w:rsidP="006E3EBF">
      <w:pPr>
        <w:ind w:left="1440" w:right="1440"/>
        <w:jc w:val="both"/>
        <w:rPr>
          <w:rFonts w:asciiTheme="majorBidi" w:hAnsiTheme="majorBidi" w:cstheme="majorBidi"/>
          <w:sz w:val="24"/>
          <w:szCs w:val="24"/>
        </w:rPr>
      </w:pPr>
      <w:r w:rsidRPr="00762850">
        <w:rPr>
          <w:rFonts w:asciiTheme="majorBidi" w:hAnsiTheme="majorBidi" w:cstheme="majorBidi"/>
          <w:color w:val="000000"/>
          <w:sz w:val="24"/>
          <w:szCs w:val="24"/>
        </w:rPr>
        <w:t> </w:t>
      </w:r>
    </w:p>
    <w:p w14:paraId="39796578" w14:textId="77777777" w:rsidR="006E3EBF" w:rsidRPr="00762850" w:rsidRDefault="006E3EBF" w:rsidP="006E3EBF">
      <w:pPr>
        <w:spacing w:line="480" w:lineRule="auto"/>
        <w:ind w:left="720" w:firstLine="720"/>
        <w:jc w:val="both"/>
        <w:rPr>
          <w:rFonts w:asciiTheme="majorBidi" w:hAnsiTheme="majorBidi" w:cstheme="majorBidi"/>
          <w:color w:val="000000"/>
          <w:sz w:val="24"/>
          <w:szCs w:val="24"/>
        </w:rPr>
      </w:pPr>
      <w:r w:rsidRPr="00762850">
        <w:rPr>
          <w:rFonts w:asciiTheme="majorBidi" w:hAnsiTheme="majorBidi" w:cstheme="majorBidi"/>
          <w:color w:val="000000"/>
          <w:sz w:val="24"/>
          <w:szCs w:val="24"/>
        </w:rPr>
        <w:t>235 So. 3d 936, 940-41 (Fla. 4th DCA 2018</w:t>
      </w:r>
      <w:r>
        <w:rPr>
          <w:rFonts w:asciiTheme="majorBidi" w:hAnsiTheme="majorBidi" w:cstheme="majorBidi"/>
          <w:color w:val="000000"/>
          <w:sz w:val="24"/>
          <w:szCs w:val="24"/>
        </w:rPr>
        <w:t>).</w:t>
      </w:r>
      <w:r w:rsidRPr="00762850">
        <w:rPr>
          <w:rFonts w:asciiTheme="majorBidi" w:hAnsiTheme="majorBidi" w:cstheme="majorBidi"/>
          <w:color w:val="000000"/>
          <w:sz w:val="24"/>
          <w:szCs w:val="24"/>
        </w:rPr>
        <w:t xml:space="preserve"> </w:t>
      </w:r>
    </w:p>
    <w:p w14:paraId="013680F8" w14:textId="77777777" w:rsidR="006E3EBF" w:rsidRPr="00762850" w:rsidRDefault="006E3EBF" w:rsidP="006E3EBF">
      <w:pPr>
        <w:spacing w:line="480" w:lineRule="auto"/>
        <w:ind w:firstLine="720"/>
        <w:jc w:val="both"/>
        <w:rPr>
          <w:rFonts w:asciiTheme="majorBidi" w:hAnsiTheme="majorBidi" w:cstheme="majorBidi"/>
          <w:sz w:val="24"/>
          <w:szCs w:val="24"/>
        </w:rPr>
      </w:pPr>
      <w:r w:rsidRPr="00762850">
        <w:rPr>
          <w:rFonts w:asciiTheme="majorBidi" w:hAnsiTheme="majorBidi" w:cstheme="majorBidi"/>
          <w:color w:val="000000"/>
          <w:sz w:val="24"/>
          <w:szCs w:val="24"/>
        </w:rPr>
        <w:lastRenderedPageBreak/>
        <w:t>Because the insured’s property was covered on &lt;&lt;ACCIDENT_DATE&gt;&gt; and the damage was not explicitly excluded from coverage under Plaintiff’s policy, the terms of a HO-3 policy require that Plaintiff’s damage be covered. Thus, Plaintiff’s burden to show that the damage was covered under the policy has been met. </w:t>
      </w:r>
    </w:p>
    <w:p w14:paraId="22FE4B70" w14:textId="77777777" w:rsidR="006E3EBF" w:rsidRPr="00EF133A" w:rsidRDefault="006E3EBF" w:rsidP="00AE0E82">
      <w:pPr>
        <w:pStyle w:val="ListParagraph"/>
        <w:numPr>
          <w:ilvl w:val="0"/>
          <w:numId w:val="2"/>
        </w:numPr>
        <w:ind w:left="720"/>
        <w:jc w:val="both"/>
        <w:textAlignment w:val="baseline"/>
        <w:rPr>
          <w:rFonts w:asciiTheme="majorBidi" w:hAnsiTheme="majorBidi" w:cstheme="majorBidi"/>
          <w:color w:val="000000"/>
          <w:sz w:val="24"/>
          <w:szCs w:val="24"/>
        </w:rPr>
      </w:pPr>
      <w:r w:rsidRPr="00EF133A">
        <w:rPr>
          <w:rFonts w:asciiTheme="majorBidi" w:hAnsiTheme="majorBidi" w:cstheme="majorBidi"/>
          <w:color w:val="000000"/>
          <w:sz w:val="24"/>
          <w:szCs w:val="24"/>
        </w:rPr>
        <w:t>COSTS OF ENGINEERING SERVICES ARE REASONABLE AND COMPENSABLE. </w:t>
      </w:r>
    </w:p>
    <w:p w14:paraId="10A0DB03" w14:textId="77777777" w:rsidR="006E3EBF" w:rsidRPr="00762850" w:rsidRDefault="006E3EBF" w:rsidP="006E3EBF">
      <w:pPr>
        <w:rPr>
          <w:rFonts w:asciiTheme="majorBidi" w:hAnsiTheme="majorBidi" w:cstheme="majorBidi"/>
          <w:sz w:val="24"/>
          <w:szCs w:val="24"/>
        </w:rPr>
      </w:pPr>
    </w:p>
    <w:p w14:paraId="05FEC079" w14:textId="77777777" w:rsidR="006E3EBF" w:rsidRPr="00762850" w:rsidRDefault="006E3EBF" w:rsidP="006E3EBF">
      <w:pPr>
        <w:spacing w:line="480" w:lineRule="auto"/>
        <w:ind w:firstLine="720"/>
        <w:jc w:val="both"/>
        <w:rPr>
          <w:rFonts w:asciiTheme="majorBidi" w:hAnsiTheme="majorBidi" w:cstheme="majorBidi"/>
          <w:color w:val="000000"/>
          <w:sz w:val="24"/>
          <w:szCs w:val="24"/>
        </w:rPr>
      </w:pPr>
      <w:r w:rsidRPr="00762850">
        <w:rPr>
          <w:rFonts w:asciiTheme="majorBidi" w:hAnsiTheme="majorBidi" w:cstheme="majorBidi"/>
          <w:color w:val="000000"/>
          <w:sz w:val="24"/>
          <w:szCs w:val="24"/>
        </w:rPr>
        <w:t xml:space="preserve">Under an all-risk policy, costs of engineering services are compensable because (1)  payment for services of a professional, to identify the cause and origin of the loss and/or to determine necessary steps needed to repair a property is reasonable; and (2) Defendant’s policy did not exclude engineering services. </w:t>
      </w:r>
    </w:p>
    <w:p w14:paraId="192A8A89" w14:textId="77777777" w:rsidR="006E3EBF" w:rsidRPr="00762850" w:rsidRDefault="006E3EBF" w:rsidP="006E3EBF">
      <w:pPr>
        <w:spacing w:line="480" w:lineRule="auto"/>
        <w:ind w:firstLine="720"/>
        <w:jc w:val="both"/>
        <w:rPr>
          <w:rFonts w:asciiTheme="majorBidi" w:hAnsiTheme="majorBidi" w:cstheme="majorBidi"/>
          <w:sz w:val="24"/>
          <w:szCs w:val="24"/>
        </w:rPr>
      </w:pPr>
      <w:r w:rsidRPr="00762850">
        <w:rPr>
          <w:rFonts w:asciiTheme="majorBidi" w:hAnsiTheme="majorBidi" w:cstheme="majorBidi"/>
          <w:color w:val="000000"/>
          <w:sz w:val="24"/>
          <w:szCs w:val="24"/>
          <w:shd w:val="clear" w:color="auto" w:fill="FFFFFF"/>
        </w:rPr>
        <w:t>Under Florida section 627.7011(6), an “insurer may limit its liability to the ‘reasonable and necessary cost’ to repair or replace the damaged property.”</w:t>
      </w:r>
      <w:r w:rsidRPr="00762850">
        <w:rPr>
          <w:rFonts w:asciiTheme="majorBidi" w:hAnsiTheme="majorBidi" w:cstheme="majorBidi"/>
          <w:color w:val="000000"/>
          <w:sz w:val="24"/>
          <w:szCs w:val="24"/>
        </w:rPr>
        <w:t xml:space="preserve"> </w:t>
      </w:r>
      <w:r w:rsidRPr="00762850">
        <w:rPr>
          <w:rFonts w:asciiTheme="majorBidi" w:hAnsiTheme="majorBidi" w:cstheme="majorBidi"/>
          <w:color w:val="000000"/>
          <w:sz w:val="24"/>
          <w:szCs w:val="24"/>
          <w:u w:val="single"/>
        </w:rPr>
        <w:t>Trinidad v. Fla. Peninsula Ins. Co.</w:t>
      </w:r>
      <w:r w:rsidRPr="00762850">
        <w:rPr>
          <w:rFonts w:asciiTheme="majorBidi" w:hAnsiTheme="majorBidi" w:cstheme="majorBidi"/>
          <w:color w:val="000000"/>
          <w:sz w:val="24"/>
          <w:szCs w:val="24"/>
        </w:rPr>
        <w:t xml:space="preserve">, 121 So. 3d 433, 440 (Fla. 2013). In </w:t>
      </w:r>
      <w:r w:rsidRPr="00762850">
        <w:rPr>
          <w:rFonts w:asciiTheme="majorBidi" w:hAnsiTheme="majorBidi" w:cstheme="majorBidi"/>
          <w:color w:val="000000"/>
          <w:sz w:val="24"/>
          <w:szCs w:val="24"/>
          <w:u w:val="single"/>
        </w:rPr>
        <w:t>Trinidad v. Florida Peninsula Insurance Company</w:t>
      </w:r>
      <w:r w:rsidRPr="00762850">
        <w:rPr>
          <w:rFonts w:asciiTheme="majorBidi" w:hAnsiTheme="majorBidi" w:cstheme="majorBidi"/>
          <w:color w:val="000000"/>
          <w:sz w:val="24"/>
          <w:szCs w:val="24"/>
        </w:rPr>
        <w:t xml:space="preserve">, the Florida Supreme Court held </w:t>
      </w:r>
      <w:r>
        <w:rPr>
          <w:rFonts w:asciiTheme="majorBidi" w:hAnsiTheme="majorBidi" w:cstheme="majorBidi"/>
          <w:color w:val="000000"/>
          <w:sz w:val="24"/>
          <w:szCs w:val="24"/>
        </w:rPr>
        <w:t xml:space="preserve">as a matter of law </w:t>
      </w:r>
      <w:r w:rsidRPr="00762850">
        <w:rPr>
          <w:rFonts w:asciiTheme="majorBidi" w:hAnsiTheme="majorBidi" w:cstheme="majorBidi"/>
          <w:color w:val="000000"/>
          <w:sz w:val="24"/>
          <w:szCs w:val="24"/>
        </w:rPr>
        <w:t>that overhead and profit were included in the replacement cost of a covered loss, where the insured is reasonably likely to need a general contractor for the repairs. 121 So. 3d 433, 436 (Fla. 2013). Specifically, the Court held that “</w:t>
      </w:r>
      <w:r w:rsidRPr="00762850">
        <w:rPr>
          <w:rFonts w:asciiTheme="majorBidi" w:hAnsiTheme="majorBidi" w:cstheme="majorBidi"/>
          <w:color w:val="000000"/>
          <w:sz w:val="24"/>
          <w:szCs w:val="24"/>
          <w:shd w:val="clear" w:color="auto" w:fill="FFFFFF"/>
        </w:rPr>
        <w:t xml:space="preserve">insurers are not statutorily permitted to hold back any portion of the replacement cost payment, including costs for overhead and profit, contingent on the insured's actually repairing or replacing the property.” </w:t>
      </w:r>
      <w:r w:rsidRPr="00762850">
        <w:rPr>
          <w:rFonts w:asciiTheme="majorBidi" w:hAnsiTheme="majorBidi" w:cstheme="majorBidi"/>
          <w:color w:val="000000"/>
          <w:sz w:val="24"/>
          <w:szCs w:val="24"/>
          <w:u w:val="single"/>
        </w:rPr>
        <w:t>Id</w:t>
      </w:r>
      <w:r w:rsidRPr="00762850">
        <w:rPr>
          <w:rFonts w:asciiTheme="majorBidi" w:hAnsiTheme="majorBidi" w:cstheme="majorBidi"/>
          <w:color w:val="000000"/>
          <w:sz w:val="24"/>
          <w:szCs w:val="24"/>
        </w:rPr>
        <w:t>. Lastly, the Court found that “</w:t>
      </w:r>
      <w:r w:rsidRPr="00762850">
        <w:rPr>
          <w:rFonts w:asciiTheme="majorBidi" w:hAnsiTheme="majorBidi" w:cstheme="majorBidi"/>
          <w:color w:val="000000"/>
          <w:sz w:val="24"/>
          <w:szCs w:val="24"/>
          <w:shd w:val="clear" w:color="auto" w:fill="FFFFFF"/>
        </w:rPr>
        <w:t>any other costs of a repair that the insured is reasonably likely to incur . . . are considered replacement costs.”  </w:t>
      </w:r>
    </w:p>
    <w:p w14:paraId="101157D1" w14:textId="77777777" w:rsidR="006E3EBF" w:rsidRPr="00762850" w:rsidRDefault="006E3EBF" w:rsidP="006E3EBF">
      <w:pPr>
        <w:spacing w:line="480" w:lineRule="auto"/>
        <w:ind w:firstLine="720"/>
        <w:jc w:val="both"/>
        <w:rPr>
          <w:rFonts w:asciiTheme="majorBidi" w:hAnsiTheme="majorBidi" w:cstheme="majorBidi"/>
          <w:sz w:val="24"/>
          <w:szCs w:val="24"/>
        </w:rPr>
      </w:pPr>
      <w:r w:rsidRPr="00762850">
        <w:rPr>
          <w:rFonts w:asciiTheme="majorBidi" w:hAnsiTheme="majorBidi" w:cstheme="majorBidi"/>
          <w:color w:val="000000"/>
          <w:sz w:val="24"/>
          <w:szCs w:val="24"/>
          <w:shd w:val="clear" w:color="auto" w:fill="FFFFFF"/>
        </w:rPr>
        <w:t xml:space="preserve">Just as the general contractor’s services in </w:t>
      </w:r>
      <w:r w:rsidRPr="00762850">
        <w:rPr>
          <w:rFonts w:asciiTheme="majorBidi" w:hAnsiTheme="majorBidi" w:cstheme="majorBidi"/>
          <w:color w:val="000000"/>
          <w:sz w:val="24"/>
          <w:szCs w:val="24"/>
          <w:u w:val="single"/>
          <w:shd w:val="clear" w:color="auto" w:fill="FFFFFF"/>
        </w:rPr>
        <w:t>Trinidad,</w:t>
      </w:r>
      <w:r w:rsidRPr="00762850">
        <w:rPr>
          <w:rFonts w:asciiTheme="majorBidi" w:hAnsiTheme="majorBidi" w:cstheme="majorBidi"/>
          <w:color w:val="000000"/>
          <w:sz w:val="24"/>
          <w:szCs w:val="24"/>
          <w:shd w:val="clear" w:color="auto" w:fill="FFFFFF"/>
        </w:rPr>
        <w:t xml:space="preserve"> here, the engineering services were reasonable services rendered to survey the property damage, make a determination as to whether a repair or replacement of the damaged property was  warranted</w:t>
      </w:r>
      <w:r>
        <w:rPr>
          <w:rFonts w:asciiTheme="majorBidi" w:hAnsiTheme="majorBidi" w:cstheme="majorBidi"/>
          <w:color w:val="000000"/>
          <w:sz w:val="24"/>
          <w:szCs w:val="24"/>
          <w:shd w:val="clear" w:color="auto" w:fill="FFFFFF"/>
        </w:rPr>
        <w:t>,</w:t>
      </w:r>
      <w:r w:rsidRPr="00762850">
        <w:rPr>
          <w:rFonts w:asciiTheme="majorBidi" w:hAnsiTheme="majorBidi" w:cstheme="majorBidi"/>
          <w:color w:val="000000"/>
          <w:sz w:val="24"/>
          <w:szCs w:val="24"/>
          <w:shd w:val="clear" w:color="auto" w:fill="FFFFFF"/>
        </w:rPr>
        <w:t xml:space="preserve"> and proscribe the method for restoring the property to its pre-loss condition. </w:t>
      </w:r>
      <w:r>
        <w:rPr>
          <w:rFonts w:asciiTheme="majorBidi" w:hAnsiTheme="majorBidi" w:cstheme="majorBidi"/>
          <w:color w:val="000000"/>
          <w:sz w:val="24"/>
          <w:szCs w:val="24"/>
          <w:shd w:val="clear" w:color="auto" w:fill="FFFFFF"/>
        </w:rPr>
        <w:t xml:space="preserve"> Remarkably, insurers, including the Defendant, </w:t>
      </w:r>
      <w:r>
        <w:rPr>
          <w:rFonts w:asciiTheme="majorBidi" w:hAnsiTheme="majorBidi" w:cstheme="majorBidi"/>
          <w:color w:val="000000"/>
          <w:sz w:val="24"/>
          <w:szCs w:val="24"/>
          <w:shd w:val="clear" w:color="auto" w:fill="FFFFFF"/>
        </w:rPr>
        <w:lastRenderedPageBreak/>
        <w:t xml:space="preserve">routinely engage engineers to conduct </w:t>
      </w:r>
      <w:r>
        <w:rPr>
          <w:rFonts w:asciiTheme="majorBidi" w:hAnsiTheme="majorBidi" w:cstheme="majorBidi"/>
          <w:color w:val="000000"/>
          <w:sz w:val="24"/>
          <w:szCs w:val="24"/>
          <w:u w:val="single"/>
          <w:shd w:val="clear" w:color="auto" w:fill="FFFFFF"/>
        </w:rPr>
        <w:t xml:space="preserve">engineering testing for the exact same reasons that the Plaintiff conducted its services for here. </w:t>
      </w:r>
      <w:r w:rsidRPr="00B25160">
        <w:rPr>
          <w:rFonts w:asciiTheme="majorBidi" w:hAnsiTheme="majorBidi" w:cstheme="majorBidi"/>
          <w:color w:val="000000"/>
          <w:sz w:val="24"/>
          <w:szCs w:val="24"/>
          <w:u w:val="single"/>
          <w:shd w:val="clear" w:color="auto" w:fill="FFFFFF"/>
        </w:rPr>
        <w:t>Thus</w:t>
      </w:r>
      <w:r w:rsidRPr="00762850">
        <w:rPr>
          <w:rFonts w:asciiTheme="majorBidi" w:hAnsiTheme="majorBidi" w:cstheme="majorBidi"/>
          <w:color w:val="000000"/>
          <w:sz w:val="24"/>
          <w:szCs w:val="24"/>
          <w:shd w:val="clear" w:color="auto" w:fill="FFFFFF"/>
        </w:rPr>
        <w:t>, the engineering inspection at issue here was a “cost of a repair that the insured [was] reasonably likely to incur . . .” and should be considered</w:t>
      </w:r>
      <w:r>
        <w:rPr>
          <w:rFonts w:asciiTheme="majorBidi" w:hAnsiTheme="majorBidi" w:cstheme="majorBidi"/>
          <w:color w:val="000000"/>
          <w:sz w:val="24"/>
          <w:szCs w:val="24"/>
          <w:shd w:val="clear" w:color="auto" w:fill="FFFFFF"/>
        </w:rPr>
        <w:t xml:space="preserve"> as a matter of law</w:t>
      </w:r>
      <w:r w:rsidRPr="00762850">
        <w:rPr>
          <w:rFonts w:asciiTheme="majorBidi" w:hAnsiTheme="majorBidi" w:cstheme="majorBidi"/>
          <w:color w:val="000000"/>
          <w:sz w:val="24"/>
          <w:szCs w:val="24"/>
          <w:shd w:val="clear" w:color="auto" w:fill="FFFFFF"/>
        </w:rPr>
        <w:t xml:space="preserve"> a reasonable replacement cost covered under the policy. </w:t>
      </w:r>
      <w:r w:rsidRPr="00762850">
        <w:rPr>
          <w:rFonts w:asciiTheme="majorBidi" w:hAnsiTheme="majorBidi" w:cstheme="majorBidi"/>
          <w:color w:val="000000"/>
          <w:sz w:val="24"/>
          <w:szCs w:val="24"/>
          <w:u w:val="single"/>
          <w:shd w:val="clear" w:color="auto" w:fill="FFFFFF"/>
        </w:rPr>
        <w:t>Id.</w:t>
      </w:r>
      <w:r w:rsidRPr="00762850">
        <w:rPr>
          <w:rFonts w:asciiTheme="majorBidi" w:hAnsiTheme="majorBidi" w:cstheme="majorBidi"/>
          <w:color w:val="000000"/>
          <w:sz w:val="24"/>
          <w:szCs w:val="24"/>
          <w:shd w:val="clear" w:color="auto" w:fill="FFFFFF"/>
        </w:rPr>
        <w:t xml:space="preserve"> Because insurers who make “a payment to the insured, but refuse to pay the entire claim . . .”  are “not entitled to withhold replacement cost payments,” here, Defendant should not be allowed to allege the inspection costs were unreasonable and withhold payment. </w:t>
      </w:r>
      <w:r w:rsidRPr="00762850">
        <w:rPr>
          <w:rFonts w:asciiTheme="majorBidi" w:hAnsiTheme="majorBidi" w:cstheme="majorBidi"/>
          <w:color w:val="000000"/>
          <w:sz w:val="24"/>
          <w:szCs w:val="24"/>
          <w:u w:val="single"/>
        </w:rPr>
        <w:t>Haynes v. Universal Prop. &amp; Cas. Ins. Co.</w:t>
      </w:r>
      <w:r w:rsidRPr="00762850">
        <w:rPr>
          <w:rFonts w:asciiTheme="majorBidi" w:hAnsiTheme="majorBidi" w:cstheme="majorBidi"/>
          <w:color w:val="000000"/>
          <w:sz w:val="24"/>
          <w:szCs w:val="24"/>
        </w:rPr>
        <w:t>, 120 So. 3d 651, 654 (Fla. Dist. Ct. App. 2013).</w:t>
      </w:r>
    </w:p>
    <w:p w14:paraId="0462A4F0" w14:textId="77777777" w:rsidR="006E3EBF" w:rsidRDefault="006E3EBF" w:rsidP="006E3EBF">
      <w:pPr>
        <w:spacing w:line="480" w:lineRule="auto"/>
        <w:ind w:firstLine="720"/>
        <w:jc w:val="both"/>
        <w:rPr>
          <w:rFonts w:asciiTheme="majorBidi" w:hAnsiTheme="majorBidi" w:cstheme="majorBidi"/>
          <w:color w:val="000000"/>
          <w:sz w:val="24"/>
          <w:szCs w:val="24"/>
        </w:rPr>
      </w:pPr>
      <w:r w:rsidRPr="00762850">
        <w:rPr>
          <w:rFonts w:asciiTheme="majorBidi" w:hAnsiTheme="majorBidi" w:cstheme="majorBidi"/>
          <w:color w:val="000000"/>
          <w:sz w:val="24"/>
          <w:szCs w:val="24"/>
        </w:rPr>
        <w:t xml:space="preserve">Second, Defendant’s policy does not explicitly exclude these services or limit liability to cover these services. Defendant has not identified any policy provision that excludes the engineering services from coverage. Where “the language used in an insurance policy is plain and unambiguous, a court must interpret the policy in accordance with the plain meaning of the language used so as to give effect to the policy as written.” </w:t>
      </w:r>
      <w:r w:rsidRPr="00762850">
        <w:rPr>
          <w:rFonts w:asciiTheme="majorBidi" w:hAnsiTheme="majorBidi" w:cstheme="majorBidi"/>
          <w:color w:val="000000"/>
          <w:sz w:val="24"/>
          <w:szCs w:val="24"/>
          <w:u w:val="single"/>
          <w:shd w:val="clear" w:color="auto" w:fill="FFFFFF"/>
        </w:rPr>
        <w:t xml:space="preserve">See </w:t>
      </w:r>
      <w:r w:rsidRPr="00762850">
        <w:rPr>
          <w:rFonts w:asciiTheme="majorBidi" w:hAnsiTheme="majorBidi" w:cstheme="majorBidi"/>
          <w:color w:val="000000"/>
          <w:sz w:val="24"/>
          <w:szCs w:val="24"/>
          <w:u w:val="single"/>
        </w:rPr>
        <w:t>Lenhart v. Federated National Insurance Company</w:t>
      </w:r>
      <w:r w:rsidRPr="00762850">
        <w:rPr>
          <w:rFonts w:asciiTheme="majorBidi" w:hAnsiTheme="majorBidi" w:cstheme="majorBidi"/>
          <w:color w:val="000000"/>
          <w:sz w:val="24"/>
          <w:szCs w:val="24"/>
        </w:rPr>
        <w:t>, 950 So. 2d 454, 457 (Fla. 4</w:t>
      </w:r>
      <w:r w:rsidRPr="00762850">
        <w:rPr>
          <w:rFonts w:asciiTheme="majorBidi" w:hAnsiTheme="majorBidi" w:cstheme="majorBidi"/>
          <w:color w:val="000000"/>
          <w:sz w:val="24"/>
          <w:szCs w:val="24"/>
          <w:vertAlign w:val="superscript"/>
        </w:rPr>
        <w:t>th</w:t>
      </w:r>
      <w:r w:rsidRPr="00762850">
        <w:rPr>
          <w:rFonts w:asciiTheme="majorBidi" w:hAnsiTheme="majorBidi" w:cstheme="majorBidi"/>
          <w:color w:val="000000"/>
          <w:sz w:val="24"/>
          <w:szCs w:val="24"/>
        </w:rPr>
        <w:t xml:space="preserve"> DCA 2007). “When an insurer fails to define a policy term having more than one meaning, the insurer cannot argue a narrow or restrictive interpretation of the coverage provided.” </w:t>
      </w:r>
      <w:r w:rsidRPr="00762850">
        <w:rPr>
          <w:rFonts w:asciiTheme="majorBidi" w:hAnsiTheme="majorBidi" w:cstheme="majorBidi"/>
          <w:color w:val="000000"/>
          <w:sz w:val="24"/>
          <w:szCs w:val="24"/>
          <w:u w:val="single"/>
        </w:rPr>
        <w:t>State Farm Mutual Automobile Insurance Company v. Menendez</w:t>
      </w:r>
      <w:r w:rsidRPr="00762850">
        <w:rPr>
          <w:rFonts w:asciiTheme="majorBidi" w:hAnsiTheme="majorBidi" w:cstheme="majorBidi"/>
          <w:color w:val="000000"/>
          <w:sz w:val="24"/>
          <w:szCs w:val="24"/>
        </w:rPr>
        <w:t xml:space="preserve">, 70 So. 3d 556, 569-70 (Fla. 2011). Under the plain language of Defendant’s policy, the policy provides for all reasonable costs of repairing or replacing damaged property, which could include the services of </w:t>
      </w:r>
      <w:r>
        <w:rPr>
          <w:rFonts w:asciiTheme="majorBidi" w:hAnsiTheme="majorBidi" w:cstheme="majorBidi"/>
          <w:color w:val="000000"/>
          <w:sz w:val="24"/>
          <w:szCs w:val="24"/>
        </w:rPr>
        <w:t xml:space="preserve">an </w:t>
      </w:r>
      <w:r w:rsidRPr="00762850">
        <w:rPr>
          <w:rFonts w:asciiTheme="majorBidi" w:hAnsiTheme="majorBidi" w:cstheme="majorBidi"/>
          <w:color w:val="000000"/>
          <w:sz w:val="24"/>
          <w:szCs w:val="24"/>
        </w:rPr>
        <w:t xml:space="preserve">engineer, and there is no restriction that excludes the forensic engineering service in question from payment under Defendant’s policy. There are endorsements attached to the policy that provide and exclude coverage, but at no point do these endorsements exclude engineering services. This Court should not allow Defendant to argue for a more restrictive interpretation of the coverage provided than the restrictions it already includes in its policy. </w:t>
      </w:r>
      <w:r w:rsidRPr="00762850">
        <w:rPr>
          <w:rFonts w:asciiTheme="majorBidi" w:hAnsiTheme="majorBidi" w:cstheme="majorBidi"/>
          <w:color w:val="000000"/>
          <w:sz w:val="24"/>
          <w:szCs w:val="24"/>
          <w:u w:val="single"/>
        </w:rPr>
        <w:t>Id</w:t>
      </w:r>
      <w:r w:rsidRPr="00762850">
        <w:rPr>
          <w:rFonts w:asciiTheme="majorBidi" w:hAnsiTheme="majorBidi" w:cstheme="majorBidi"/>
          <w:color w:val="000000"/>
          <w:sz w:val="24"/>
          <w:szCs w:val="24"/>
        </w:rPr>
        <w:t xml:space="preserve">. </w:t>
      </w:r>
      <w:r w:rsidRPr="00762850">
        <w:rPr>
          <w:rFonts w:asciiTheme="majorBidi" w:hAnsiTheme="majorBidi" w:cstheme="majorBidi"/>
          <w:color w:val="000000"/>
          <w:sz w:val="24"/>
          <w:szCs w:val="24"/>
        </w:rPr>
        <w:lastRenderedPageBreak/>
        <w:t>Here, the plain meaning of Plaintiff’s all-risks policy is that their services are covered, because they are reasonable costs associated with the repair or replacement of damaged property and not explicitly excluded.</w:t>
      </w:r>
    </w:p>
    <w:p w14:paraId="575E4944" w14:textId="77777777" w:rsidR="006E3EBF" w:rsidRPr="00762850" w:rsidRDefault="006E3EBF" w:rsidP="006E3EBF">
      <w:pPr>
        <w:spacing w:line="480" w:lineRule="auto"/>
        <w:ind w:firstLine="720"/>
        <w:jc w:val="both"/>
        <w:rPr>
          <w:rFonts w:asciiTheme="majorBidi" w:hAnsiTheme="majorBidi" w:cstheme="majorBidi"/>
          <w:sz w:val="24"/>
          <w:szCs w:val="24"/>
        </w:rPr>
      </w:pPr>
      <w:r>
        <w:rPr>
          <w:rFonts w:asciiTheme="majorBidi" w:hAnsiTheme="majorBidi" w:cstheme="majorBidi"/>
          <w:color w:val="000000"/>
          <w:sz w:val="24"/>
          <w:szCs w:val="24"/>
        </w:rPr>
        <w:t xml:space="preserve">While the question of whether engineering services are compensable under a property insurance policy may be an issue of first impression in the State of Florida; however, a review of case law throughout the country has yielded a potential answer regarding this issue. In the case of </w:t>
      </w:r>
      <w:r w:rsidRPr="00595262">
        <w:rPr>
          <w:rFonts w:asciiTheme="majorBidi" w:hAnsiTheme="majorBidi" w:cstheme="majorBidi"/>
          <w:color w:val="000000"/>
          <w:sz w:val="24"/>
          <w:szCs w:val="24"/>
          <w:u w:val="single"/>
        </w:rPr>
        <w:t>Zurich American Ins. Co. v. Keating Bldg. Corp.</w:t>
      </w:r>
      <w:r>
        <w:rPr>
          <w:rFonts w:asciiTheme="majorBidi" w:hAnsiTheme="majorBidi" w:cstheme="majorBidi"/>
          <w:color w:val="000000"/>
          <w:sz w:val="24"/>
          <w:szCs w:val="24"/>
        </w:rPr>
        <w:t xml:space="preserve">, 513 F. Supp. 2d 55 (D.N.J. 2007), the United States District Court of New Jersey was tasked with determining whether certain type of services were compensable under a “Builder’s Risk” insurance policy.  Like in the instant matter, the policy of insurance provided coverage “against all risk of direct physical loss or damage”  and would pay the “[c]osts to repair or replace the property lost or damaged….” </w:t>
      </w:r>
      <w:r w:rsidRPr="00FB4151">
        <w:rPr>
          <w:rFonts w:asciiTheme="majorBidi" w:hAnsiTheme="majorBidi" w:cstheme="majorBidi"/>
          <w:color w:val="000000"/>
          <w:sz w:val="24"/>
          <w:szCs w:val="24"/>
          <w:u w:val="single"/>
        </w:rPr>
        <w:t>Id.</w:t>
      </w:r>
      <w:r>
        <w:rPr>
          <w:rFonts w:asciiTheme="majorBidi" w:hAnsiTheme="majorBidi" w:cstheme="majorBidi"/>
          <w:color w:val="000000"/>
          <w:sz w:val="24"/>
          <w:szCs w:val="24"/>
        </w:rPr>
        <w:t xml:space="preserve"> at 59.  The Insured sought payment for “engineering services” amongst other services relating to the demolition of a collapsed portion of the insured building. </w:t>
      </w:r>
      <w:r w:rsidRPr="00FB4151">
        <w:rPr>
          <w:rFonts w:asciiTheme="majorBidi" w:hAnsiTheme="majorBidi" w:cstheme="majorBidi"/>
          <w:i/>
          <w:iCs/>
          <w:color w:val="000000"/>
          <w:sz w:val="24"/>
          <w:szCs w:val="24"/>
        </w:rPr>
        <w:t>See</w:t>
      </w:r>
      <w:r>
        <w:rPr>
          <w:rFonts w:asciiTheme="majorBidi" w:hAnsiTheme="majorBidi" w:cstheme="majorBidi"/>
          <w:color w:val="000000"/>
          <w:sz w:val="24"/>
          <w:szCs w:val="24"/>
        </w:rPr>
        <w:t xml:space="preserve"> </w:t>
      </w:r>
      <w:r w:rsidRPr="00FB4151">
        <w:rPr>
          <w:rFonts w:asciiTheme="majorBidi" w:hAnsiTheme="majorBidi" w:cstheme="majorBidi"/>
          <w:color w:val="000000"/>
          <w:sz w:val="24"/>
          <w:szCs w:val="24"/>
          <w:u w:val="single"/>
        </w:rPr>
        <w:t>Id.</w:t>
      </w:r>
      <w:r>
        <w:rPr>
          <w:rFonts w:asciiTheme="majorBidi" w:hAnsiTheme="majorBidi" w:cstheme="majorBidi"/>
          <w:color w:val="000000"/>
          <w:sz w:val="24"/>
          <w:szCs w:val="24"/>
        </w:rPr>
        <w:t xml:space="preserve"> The Court found that “a reasonable person would conclude that costs of engineering [services]… was a cost associated with demolition…” which was compensable under the policy of insurance. </w:t>
      </w:r>
      <w:r w:rsidRPr="00FB4151">
        <w:rPr>
          <w:rFonts w:asciiTheme="majorBidi" w:hAnsiTheme="majorBidi" w:cstheme="majorBidi"/>
          <w:color w:val="000000"/>
          <w:sz w:val="24"/>
          <w:szCs w:val="24"/>
          <w:u w:val="single"/>
        </w:rPr>
        <w:t>Id.</w:t>
      </w:r>
      <w:r>
        <w:rPr>
          <w:rFonts w:asciiTheme="majorBidi" w:hAnsiTheme="majorBidi" w:cstheme="majorBidi"/>
          <w:color w:val="000000"/>
          <w:sz w:val="24"/>
          <w:szCs w:val="24"/>
        </w:rPr>
        <w:t xml:space="preserve"> at 65. Here, like in </w:t>
      </w:r>
      <w:r w:rsidRPr="00FB4151">
        <w:rPr>
          <w:rFonts w:asciiTheme="majorBidi" w:hAnsiTheme="majorBidi" w:cstheme="majorBidi"/>
          <w:color w:val="000000"/>
          <w:sz w:val="24"/>
          <w:szCs w:val="24"/>
          <w:u w:val="single"/>
        </w:rPr>
        <w:t>Zurich American</w:t>
      </w:r>
      <w:r>
        <w:rPr>
          <w:rFonts w:asciiTheme="majorBidi" w:hAnsiTheme="majorBidi" w:cstheme="majorBidi"/>
          <w:color w:val="000000"/>
          <w:sz w:val="24"/>
          <w:szCs w:val="24"/>
        </w:rPr>
        <w:t xml:space="preserve"> a reasonable person would conclude that the use of an engineer to determine the repairability and extent of damage to a major structural component of a building, such as a roof, would be a cost associated with the repair or replacement of the damaged physical property.</w:t>
      </w:r>
    </w:p>
    <w:p w14:paraId="572D8F21" w14:textId="77777777" w:rsidR="006E3EBF" w:rsidRPr="00595262" w:rsidRDefault="006E3EBF" w:rsidP="006E3EBF">
      <w:pPr>
        <w:spacing w:line="480" w:lineRule="auto"/>
        <w:jc w:val="both"/>
        <w:rPr>
          <w:color w:val="000000"/>
          <w:sz w:val="24"/>
          <w:szCs w:val="24"/>
        </w:rPr>
      </w:pPr>
      <w:r w:rsidRPr="00762850">
        <w:tab/>
      </w:r>
      <w:r w:rsidRPr="00595262">
        <w:rPr>
          <w:sz w:val="24"/>
          <w:szCs w:val="24"/>
        </w:rPr>
        <w:t xml:space="preserve">At best, Defendant’s policy is susceptible to more than one interpretation or may be considered ambiguous on whether engineering services are included in the all-risk policy. The Florida Supreme Court has found that “[i]nsurance policy language is considered to be ambiguous if the language is susceptible to more than one reasonable interpretation, one providing coverage and the other limiting coverage.” </w:t>
      </w:r>
      <w:r w:rsidRPr="00595262">
        <w:rPr>
          <w:sz w:val="24"/>
          <w:szCs w:val="24"/>
          <w:u w:val="single"/>
        </w:rPr>
        <w:t>Washington Nat. Ins. Corp. v. Ruderman</w:t>
      </w:r>
      <w:r w:rsidRPr="00595262">
        <w:rPr>
          <w:sz w:val="24"/>
          <w:szCs w:val="24"/>
        </w:rPr>
        <w:t xml:space="preserve">, 117 So. 3d 943 (Fla. </w:t>
      </w:r>
      <w:r w:rsidRPr="00595262">
        <w:rPr>
          <w:sz w:val="24"/>
          <w:szCs w:val="24"/>
        </w:rPr>
        <w:lastRenderedPageBreak/>
        <w:t xml:space="preserve">2013).  However, even if this Court finds that Defendant’s policy is ambiguous on the issue of engineering services, or that both party’s positions are reasonable, the Court must find for the insured or its assignee. </w:t>
      </w:r>
      <w:r w:rsidRPr="00595262">
        <w:rPr>
          <w:sz w:val="24"/>
          <w:szCs w:val="24"/>
          <w:u w:val="single"/>
        </w:rPr>
        <w:t>See</w:t>
      </w:r>
      <w:r w:rsidRPr="00595262">
        <w:rPr>
          <w:sz w:val="24"/>
          <w:szCs w:val="24"/>
        </w:rPr>
        <w:t xml:space="preserve"> </w:t>
      </w:r>
      <w:r w:rsidRPr="00595262">
        <w:rPr>
          <w:sz w:val="24"/>
          <w:szCs w:val="24"/>
          <w:u w:val="single"/>
        </w:rPr>
        <w:t>Washington Nat. Ins. Corp. v. Ruderman</w:t>
      </w:r>
      <w:r w:rsidRPr="00595262">
        <w:rPr>
          <w:sz w:val="24"/>
          <w:szCs w:val="24"/>
        </w:rPr>
        <w:t xml:space="preserve">, 117 So. 3d 943 (Fla. 2013) (“Where one reasonable interpretation of the policy provisions of an ambiguous </w:t>
      </w:r>
      <w:r w:rsidRPr="00595262">
        <w:rPr>
          <w:color w:val="000000"/>
          <w:sz w:val="24"/>
          <w:szCs w:val="24"/>
        </w:rPr>
        <w:t>insurance policy would provide coverage, that is the construction which must be adopted.”)</w:t>
      </w:r>
      <w:r w:rsidRPr="00595262">
        <w:rPr>
          <w:color w:val="000000"/>
          <w:sz w:val="24"/>
          <w:szCs w:val="24"/>
          <w:shd w:val="clear" w:color="auto" w:fill="FFFFFF"/>
        </w:rPr>
        <w:t xml:space="preserve"> </w:t>
      </w:r>
      <w:r w:rsidRPr="00595262">
        <w:rPr>
          <w:color w:val="000000"/>
          <w:sz w:val="24"/>
          <w:szCs w:val="24"/>
          <w:u w:val="single"/>
          <w:shd w:val="clear" w:color="auto" w:fill="FFFFFF"/>
        </w:rPr>
        <w:t>See also</w:t>
      </w:r>
      <w:r w:rsidRPr="00595262">
        <w:rPr>
          <w:color w:val="000000"/>
          <w:sz w:val="24"/>
          <w:szCs w:val="24"/>
          <w:u w:val="single"/>
        </w:rPr>
        <w:t xml:space="preserve"> Auto Owners Insurance Company v. Anderson</w:t>
      </w:r>
      <w:r w:rsidRPr="00595262">
        <w:rPr>
          <w:color w:val="000000"/>
          <w:sz w:val="24"/>
          <w:szCs w:val="24"/>
        </w:rPr>
        <w:t>, 756 So. 2d 29, 34 (Fla. 2000) (</w:t>
      </w:r>
      <w:r w:rsidRPr="00595262">
        <w:rPr>
          <w:color w:val="000000"/>
          <w:sz w:val="24"/>
          <w:szCs w:val="24"/>
          <w:shd w:val="clear" w:color="auto" w:fill="FFFFFF"/>
        </w:rPr>
        <w:t>“</w:t>
      </w:r>
      <w:r w:rsidRPr="00595262">
        <w:rPr>
          <w:color w:val="000000"/>
          <w:sz w:val="24"/>
          <w:szCs w:val="24"/>
        </w:rPr>
        <w:t xml:space="preserve">Ambiguous policy provisions are interpreted liberally in favor of the insured and strictly against the drafter who prepared the policy.”) Only if “the insurer makes clear that it has excluded a particular coverage, however, [is] the court is obliged to enforce the contract as written.” </w:t>
      </w:r>
      <w:r w:rsidRPr="00595262">
        <w:rPr>
          <w:color w:val="000000"/>
          <w:sz w:val="24"/>
          <w:szCs w:val="24"/>
          <w:u w:val="single"/>
        </w:rPr>
        <w:t>State Farm Fire and Casualty Insurance Company v. Deni Associates of Florida, Inc.</w:t>
      </w:r>
      <w:r w:rsidRPr="00595262">
        <w:rPr>
          <w:color w:val="000000"/>
          <w:sz w:val="24"/>
          <w:szCs w:val="24"/>
        </w:rPr>
        <w:t>, 678 So. 2d 397, 401 (Fla. 4</w:t>
      </w:r>
      <w:r w:rsidRPr="00595262">
        <w:rPr>
          <w:color w:val="000000"/>
          <w:sz w:val="24"/>
          <w:szCs w:val="24"/>
          <w:vertAlign w:val="superscript"/>
        </w:rPr>
        <w:t>th</w:t>
      </w:r>
      <w:r w:rsidRPr="00595262">
        <w:rPr>
          <w:color w:val="000000"/>
          <w:sz w:val="24"/>
          <w:szCs w:val="24"/>
        </w:rPr>
        <w:t xml:space="preserve"> DCA 1996). Engineering services are reasonable costs in the inspection of damages and Defendant failed to exclude these services under their all-risk policy, therefore, the Court should find the services are included in the coverage. </w:t>
      </w:r>
    </w:p>
    <w:p w14:paraId="09D8C9D8" w14:textId="77777777" w:rsidR="006E3EBF" w:rsidRPr="00762850" w:rsidRDefault="006E3EBF" w:rsidP="006E3EBF">
      <w:pPr>
        <w:widowControl w:val="0"/>
        <w:suppressAutoHyphens/>
        <w:spacing w:line="480" w:lineRule="auto"/>
        <w:jc w:val="center"/>
        <w:rPr>
          <w:rFonts w:asciiTheme="majorBidi" w:hAnsiTheme="majorBidi" w:cstheme="majorBidi"/>
          <w:spacing w:val="-3"/>
          <w:sz w:val="24"/>
          <w:szCs w:val="24"/>
          <w:u w:val="single"/>
        </w:rPr>
      </w:pPr>
      <w:r w:rsidRPr="00762850">
        <w:rPr>
          <w:rFonts w:asciiTheme="majorBidi" w:hAnsiTheme="majorBidi" w:cstheme="majorBidi"/>
          <w:spacing w:val="-3"/>
          <w:sz w:val="24"/>
          <w:szCs w:val="24"/>
          <w:u w:val="single"/>
        </w:rPr>
        <w:t>CONCLUSION</w:t>
      </w:r>
    </w:p>
    <w:p w14:paraId="5CC429AD" w14:textId="77777777" w:rsidR="006E3EBF" w:rsidRPr="00762850" w:rsidRDefault="006E3EBF" w:rsidP="006E3EBF">
      <w:pPr>
        <w:widowControl w:val="0"/>
        <w:suppressAutoHyphens/>
        <w:spacing w:line="480" w:lineRule="auto"/>
        <w:ind w:left="720"/>
        <w:jc w:val="both"/>
        <w:rPr>
          <w:rFonts w:asciiTheme="majorBidi" w:hAnsiTheme="majorBidi" w:cstheme="majorBidi"/>
          <w:spacing w:val="-3"/>
          <w:sz w:val="24"/>
          <w:szCs w:val="24"/>
        </w:rPr>
      </w:pPr>
      <w:r w:rsidRPr="00762850">
        <w:rPr>
          <w:rFonts w:asciiTheme="majorBidi" w:hAnsiTheme="majorBidi" w:cstheme="majorBidi"/>
          <w:spacing w:val="-3"/>
          <w:sz w:val="24"/>
          <w:szCs w:val="24"/>
        </w:rPr>
        <w:t xml:space="preserve">Based upon the foregoing, it is evident that no genuine issue of material fact exists in the </w:t>
      </w:r>
    </w:p>
    <w:p w14:paraId="6C7FB341" w14:textId="77777777" w:rsidR="006E3EBF" w:rsidRPr="00762850" w:rsidRDefault="006E3EBF" w:rsidP="006E3EBF">
      <w:pPr>
        <w:widowControl w:val="0"/>
        <w:suppressAutoHyphens/>
        <w:spacing w:line="480" w:lineRule="auto"/>
        <w:jc w:val="both"/>
        <w:rPr>
          <w:rFonts w:asciiTheme="majorBidi" w:hAnsiTheme="majorBidi" w:cstheme="majorBidi"/>
          <w:spacing w:val="-3"/>
          <w:sz w:val="24"/>
          <w:szCs w:val="24"/>
        </w:rPr>
      </w:pPr>
      <w:r w:rsidRPr="00762850">
        <w:rPr>
          <w:rFonts w:asciiTheme="majorBidi" w:hAnsiTheme="majorBidi" w:cstheme="majorBidi"/>
          <w:spacing w:val="-3"/>
          <w:sz w:val="24"/>
          <w:szCs w:val="24"/>
        </w:rPr>
        <w:t>present matter, as the facts are so crystallized as to leave only questions of law. Plaintiff is entitled to final summary judgment in this matter because Defendant cannot meet their burden of presenting evidence to reveal a genuine issue of material fact.</w:t>
      </w:r>
    </w:p>
    <w:p w14:paraId="7A0CA38B" w14:textId="77777777" w:rsidR="006E3EBF" w:rsidRPr="00762850" w:rsidRDefault="006E3EBF" w:rsidP="006E3EBF">
      <w:pPr>
        <w:widowControl w:val="0"/>
        <w:suppressAutoHyphens/>
        <w:spacing w:line="480" w:lineRule="auto"/>
        <w:jc w:val="both"/>
        <w:rPr>
          <w:rFonts w:asciiTheme="majorBidi" w:hAnsiTheme="majorBidi" w:cstheme="majorBidi"/>
          <w:spacing w:val="-3"/>
          <w:sz w:val="24"/>
          <w:szCs w:val="24"/>
        </w:rPr>
      </w:pPr>
      <w:r w:rsidRPr="00762850">
        <w:rPr>
          <w:rFonts w:asciiTheme="majorBidi" w:hAnsiTheme="majorBidi" w:cstheme="majorBidi"/>
          <w:spacing w:val="-3"/>
          <w:sz w:val="24"/>
          <w:szCs w:val="24"/>
        </w:rPr>
        <w:tab/>
        <w:t xml:space="preserve">WHEREFORE, Plaintiff, </w:t>
      </w:r>
      <w:r w:rsidRPr="00762850">
        <w:rPr>
          <w:rFonts w:asciiTheme="majorBidi" w:hAnsiTheme="majorBidi" w:cstheme="majorBidi"/>
          <w:color w:val="000000"/>
          <w:sz w:val="24"/>
          <w:szCs w:val="24"/>
        </w:rPr>
        <w:t>&lt;&lt;PROVIDER_SUITNAME&gt;&gt;</w:t>
      </w:r>
      <w:r w:rsidRPr="00762850">
        <w:rPr>
          <w:rFonts w:asciiTheme="majorBidi" w:hAnsiTheme="majorBidi" w:cstheme="majorBidi"/>
          <w:spacing w:val="-3"/>
          <w:sz w:val="24"/>
          <w:szCs w:val="24"/>
        </w:rPr>
        <w:t xml:space="preserve"> respectfully requests that this Court enter an Order Granting Plaintiff’s Motion for Final Summary Judgment against Defendant, as well as awarding Plaintiff its reasonable attorneys’ fees and costs associated with bringing forth this Motion and enter final summary judgment in its favor for the reasons set forth and for any other relief this Court deems necessary and proper.</w:t>
      </w:r>
    </w:p>
    <w:p w14:paraId="51EB1118" w14:textId="77777777" w:rsidR="006E3EBF" w:rsidRPr="00762850" w:rsidRDefault="006E3EBF" w:rsidP="006E3EBF">
      <w:pPr>
        <w:widowControl w:val="0"/>
        <w:suppressAutoHyphens/>
        <w:spacing w:line="480" w:lineRule="auto"/>
        <w:jc w:val="center"/>
        <w:rPr>
          <w:rFonts w:asciiTheme="majorBidi" w:hAnsiTheme="majorBidi" w:cstheme="majorBidi"/>
          <w:spacing w:val="-3"/>
          <w:sz w:val="24"/>
          <w:szCs w:val="24"/>
          <w:u w:val="single"/>
        </w:rPr>
      </w:pPr>
      <w:r w:rsidRPr="00762850">
        <w:rPr>
          <w:rFonts w:asciiTheme="majorBidi" w:hAnsiTheme="majorBidi" w:cstheme="majorBidi"/>
          <w:spacing w:val="-3"/>
          <w:sz w:val="24"/>
          <w:szCs w:val="24"/>
          <w:u w:val="single"/>
        </w:rPr>
        <w:lastRenderedPageBreak/>
        <w:t>CERTIFICATE OF SERVICE</w:t>
      </w:r>
    </w:p>
    <w:p w14:paraId="41FB9A76" w14:textId="77777777" w:rsidR="006E3EBF" w:rsidRPr="00762850" w:rsidRDefault="006E3EBF" w:rsidP="006E3EBF">
      <w:pPr>
        <w:keepNext/>
        <w:spacing w:line="480" w:lineRule="auto"/>
        <w:ind w:firstLine="720"/>
        <w:jc w:val="both"/>
        <w:rPr>
          <w:rFonts w:asciiTheme="majorBidi" w:hAnsiTheme="majorBidi" w:cstheme="majorBidi"/>
          <w:sz w:val="24"/>
          <w:szCs w:val="24"/>
        </w:rPr>
      </w:pPr>
      <w:r w:rsidRPr="00762850">
        <w:rPr>
          <w:rFonts w:asciiTheme="majorBidi" w:hAnsiTheme="majorBidi" w:cstheme="majorBidi"/>
          <w:sz w:val="24"/>
          <w:szCs w:val="24"/>
        </w:rPr>
        <w:t xml:space="preserve">I HEREBY CERTIFY that on </w:t>
      </w:r>
      <w:r>
        <w:rPr>
          <w:rFonts w:asciiTheme="majorBidi" w:hAnsiTheme="majorBidi" w:cstheme="majorBidi"/>
          <w:sz w:val="24"/>
          <w:szCs w:val="24"/>
        </w:rPr>
        <w:fldChar w:fldCharType="begin"/>
      </w:r>
      <w:r>
        <w:rPr>
          <w:rFonts w:asciiTheme="majorBidi" w:hAnsiTheme="majorBidi" w:cstheme="majorBidi"/>
          <w:sz w:val="24"/>
          <w:szCs w:val="24"/>
        </w:rPr>
        <w:instrText xml:space="preserve"> DATE \@ "MMMM d, yyyy" </w:instrText>
      </w:r>
      <w:r>
        <w:rPr>
          <w:rFonts w:asciiTheme="majorBidi" w:hAnsiTheme="majorBidi" w:cstheme="majorBidi"/>
          <w:sz w:val="24"/>
          <w:szCs w:val="24"/>
        </w:rPr>
        <w:fldChar w:fldCharType="separate"/>
      </w:r>
      <w:r>
        <w:rPr>
          <w:rFonts w:asciiTheme="majorBidi" w:hAnsiTheme="majorBidi" w:cstheme="majorBidi"/>
          <w:noProof/>
          <w:sz w:val="24"/>
          <w:szCs w:val="24"/>
        </w:rPr>
        <w:t>February 19, 2022</w:t>
      </w:r>
      <w:r>
        <w:rPr>
          <w:rFonts w:asciiTheme="majorBidi" w:hAnsiTheme="majorBidi" w:cstheme="majorBidi"/>
          <w:sz w:val="24"/>
          <w:szCs w:val="24"/>
        </w:rPr>
        <w:fldChar w:fldCharType="end"/>
      </w:r>
      <w:r w:rsidRPr="00762850">
        <w:rPr>
          <w:rFonts w:asciiTheme="majorBidi" w:hAnsiTheme="majorBidi" w:cstheme="majorBidi"/>
          <w:sz w:val="24"/>
          <w:szCs w:val="24"/>
        </w:rPr>
        <w:t xml:space="preserve"> a true and correct copy of the foregoing was </w:t>
      </w:r>
      <w:r>
        <w:rPr>
          <w:rFonts w:asciiTheme="majorBidi" w:hAnsiTheme="majorBidi" w:cstheme="majorBidi"/>
          <w:sz w:val="24"/>
          <w:szCs w:val="24"/>
        </w:rPr>
        <w:t>served upon the Defendant via the Florida E-file Portal.</w:t>
      </w:r>
      <w:r w:rsidRPr="00762850">
        <w:rPr>
          <w:rFonts w:asciiTheme="majorBidi" w:hAnsiTheme="majorBidi" w:cstheme="majorBidi"/>
          <w:sz w:val="24"/>
          <w:szCs w:val="24"/>
        </w:rPr>
        <w:t xml:space="preserve">  </w:t>
      </w:r>
    </w:p>
    <w:p w14:paraId="6C618B6A" w14:textId="77777777" w:rsidR="006E3EBF" w:rsidRPr="00762850" w:rsidRDefault="006E3EBF" w:rsidP="006E3EBF">
      <w:pPr>
        <w:ind w:left="4320" w:firstLine="720"/>
        <w:rPr>
          <w:rFonts w:asciiTheme="majorBidi" w:hAnsiTheme="majorBidi" w:cstheme="majorBidi"/>
          <w:sz w:val="24"/>
          <w:szCs w:val="24"/>
        </w:rPr>
      </w:pPr>
      <w:r w:rsidRPr="00762850">
        <w:rPr>
          <w:rFonts w:asciiTheme="majorBidi" w:hAnsiTheme="majorBidi" w:cstheme="majorBidi"/>
          <w:sz w:val="24"/>
          <w:szCs w:val="24"/>
        </w:rPr>
        <w:t>Florida Insurance Law Group</w:t>
      </w:r>
      <w:r w:rsidRPr="00762850">
        <w:rPr>
          <w:rFonts w:asciiTheme="majorBidi" w:hAnsiTheme="majorBidi" w:cstheme="majorBidi"/>
          <w:sz w:val="24"/>
          <w:szCs w:val="24"/>
          <w:lang w:val="x-none"/>
        </w:rPr>
        <w:t xml:space="preserve">, </w:t>
      </w:r>
      <w:r w:rsidRPr="00762850">
        <w:rPr>
          <w:rFonts w:asciiTheme="majorBidi" w:hAnsiTheme="majorBidi" w:cstheme="majorBidi"/>
          <w:sz w:val="24"/>
          <w:szCs w:val="24"/>
        </w:rPr>
        <w:t>LLC</w:t>
      </w:r>
    </w:p>
    <w:p w14:paraId="752E4695" w14:textId="77777777" w:rsidR="006E3EBF" w:rsidRPr="00762850" w:rsidRDefault="006E3EBF" w:rsidP="006E3EBF">
      <w:pPr>
        <w:ind w:left="5040"/>
        <w:rPr>
          <w:rFonts w:asciiTheme="majorBidi" w:hAnsiTheme="majorBidi" w:cstheme="majorBidi"/>
          <w:sz w:val="24"/>
          <w:szCs w:val="24"/>
        </w:rPr>
      </w:pPr>
      <w:r>
        <w:rPr>
          <w:rFonts w:asciiTheme="majorBidi" w:hAnsiTheme="majorBidi" w:cstheme="majorBidi"/>
          <w:sz w:val="24"/>
          <w:szCs w:val="24"/>
        </w:rPr>
        <w:t>6330 Manor Lane</w:t>
      </w:r>
      <w:r w:rsidRPr="00762850">
        <w:rPr>
          <w:rFonts w:asciiTheme="majorBidi" w:hAnsiTheme="majorBidi" w:cstheme="majorBidi"/>
          <w:sz w:val="24"/>
          <w:szCs w:val="24"/>
        </w:rPr>
        <w:t xml:space="preserve">, </w:t>
      </w:r>
      <w:r>
        <w:rPr>
          <w:rFonts w:asciiTheme="majorBidi" w:hAnsiTheme="majorBidi" w:cstheme="majorBidi"/>
          <w:sz w:val="24"/>
          <w:szCs w:val="24"/>
        </w:rPr>
        <w:t>Suite 203</w:t>
      </w:r>
      <w:r w:rsidRPr="00762850">
        <w:rPr>
          <w:rFonts w:asciiTheme="majorBidi" w:hAnsiTheme="majorBidi" w:cstheme="majorBidi"/>
          <w:sz w:val="24"/>
          <w:szCs w:val="24"/>
        </w:rPr>
        <w:t xml:space="preserve">, </w:t>
      </w:r>
      <w:r>
        <w:rPr>
          <w:rFonts w:asciiTheme="majorBidi" w:hAnsiTheme="majorBidi" w:cstheme="majorBidi"/>
          <w:sz w:val="24"/>
          <w:szCs w:val="24"/>
        </w:rPr>
        <w:t xml:space="preserve">South </w:t>
      </w:r>
      <w:r w:rsidRPr="00762850">
        <w:rPr>
          <w:rFonts w:asciiTheme="majorBidi" w:hAnsiTheme="majorBidi" w:cstheme="majorBidi"/>
          <w:sz w:val="24"/>
          <w:szCs w:val="24"/>
        </w:rPr>
        <w:t>Miami, FL 331</w:t>
      </w:r>
      <w:r>
        <w:rPr>
          <w:rFonts w:asciiTheme="majorBidi" w:hAnsiTheme="majorBidi" w:cstheme="majorBidi"/>
          <w:sz w:val="24"/>
          <w:szCs w:val="24"/>
        </w:rPr>
        <w:t>4</w:t>
      </w:r>
      <w:r w:rsidRPr="00762850">
        <w:rPr>
          <w:rFonts w:asciiTheme="majorBidi" w:hAnsiTheme="majorBidi" w:cstheme="majorBidi"/>
          <w:sz w:val="24"/>
          <w:szCs w:val="24"/>
        </w:rPr>
        <w:t>3</w:t>
      </w:r>
    </w:p>
    <w:p w14:paraId="0B56C3AF" w14:textId="77777777" w:rsidR="006E3EBF" w:rsidRPr="00762850" w:rsidRDefault="006E3EBF" w:rsidP="006E3EBF">
      <w:pPr>
        <w:ind w:left="4320" w:firstLine="720"/>
        <w:rPr>
          <w:rFonts w:asciiTheme="majorBidi" w:hAnsiTheme="majorBidi" w:cstheme="majorBidi"/>
          <w:sz w:val="24"/>
          <w:szCs w:val="24"/>
        </w:rPr>
      </w:pPr>
      <w:r w:rsidRPr="00762850">
        <w:rPr>
          <w:rFonts w:asciiTheme="majorBidi" w:hAnsiTheme="majorBidi" w:cstheme="majorBidi"/>
          <w:sz w:val="24"/>
          <w:szCs w:val="24"/>
        </w:rPr>
        <w:t>Tel. (305) 906-4262</w:t>
      </w:r>
    </w:p>
    <w:p w14:paraId="1A9DC64D" w14:textId="77777777" w:rsidR="006E3EBF" w:rsidRPr="00762850" w:rsidRDefault="006E3EBF" w:rsidP="006E3EBF">
      <w:pPr>
        <w:ind w:left="3600" w:firstLine="720"/>
        <w:jc w:val="center"/>
        <w:rPr>
          <w:rFonts w:asciiTheme="majorBidi" w:hAnsiTheme="majorBidi" w:cstheme="majorBidi"/>
          <w:sz w:val="24"/>
          <w:szCs w:val="24"/>
          <w:lang w:val="es-ES"/>
        </w:rPr>
      </w:pPr>
      <w:r w:rsidRPr="00762850">
        <w:rPr>
          <w:rFonts w:asciiTheme="majorBidi" w:eastAsia="Calibri" w:hAnsiTheme="majorBidi" w:cstheme="majorBidi"/>
          <w:noProof/>
          <w:sz w:val="24"/>
          <w:szCs w:val="24"/>
        </w:rPr>
        <w:drawing>
          <wp:inline distT="0" distB="0" distL="0" distR="0" wp14:anchorId="5F15F689" wp14:editId="689FBD49">
            <wp:extent cx="2400300" cy="590550"/>
            <wp:effectExtent l="0" t="0" r="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a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0300" cy="590550"/>
                    </a:xfrm>
                    <a:prstGeom prst="rect">
                      <a:avLst/>
                    </a:prstGeom>
                    <a:noFill/>
                    <a:ln>
                      <a:noFill/>
                    </a:ln>
                  </pic:spPr>
                </pic:pic>
              </a:graphicData>
            </a:graphic>
          </wp:inline>
        </w:drawing>
      </w:r>
    </w:p>
    <w:p w14:paraId="31CD3484" w14:textId="77777777" w:rsidR="006E3EBF" w:rsidRPr="00762850" w:rsidRDefault="006E3EBF" w:rsidP="006E3EBF">
      <w:pPr>
        <w:ind w:left="4320" w:firstLine="720"/>
        <w:rPr>
          <w:rFonts w:asciiTheme="majorBidi" w:hAnsiTheme="majorBidi" w:cstheme="majorBidi"/>
          <w:sz w:val="24"/>
          <w:szCs w:val="24"/>
          <w:lang w:val="es-ES"/>
        </w:rPr>
      </w:pPr>
      <w:r w:rsidRPr="00762850">
        <w:rPr>
          <w:rFonts w:asciiTheme="majorBidi" w:hAnsiTheme="majorBidi" w:cstheme="majorBidi"/>
          <w:sz w:val="24"/>
          <w:szCs w:val="24"/>
          <w:lang w:val="es-ES"/>
        </w:rPr>
        <w:t>Robert F. Gonzalez, Esq.</w:t>
      </w:r>
    </w:p>
    <w:p w14:paraId="28647CCD" w14:textId="77777777" w:rsidR="006E3EBF" w:rsidRPr="00762850" w:rsidRDefault="006E3EBF" w:rsidP="006E3EBF">
      <w:pPr>
        <w:ind w:left="5040"/>
        <w:rPr>
          <w:rFonts w:asciiTheme="majorBidi" w:hAnsiTheme="majorBidi" w:cstheme="majorBidi"/>
          <w:sz w:val="24"/>
          <w:szCs w:val="24"/>
          <w:lang w:val="es-US"/>
        </w:rPr>
      </w:pPr>
      <w:r w:rsidRPr="00762850">
        <w:rPr>
          <w:rFonts w:asciiTheme="majorBidi" w:hAnsiTheme="majorBidi" w:cstheme="majorBidi"/>
          <w:sz w:val="24"/>
          <w:szCs w:val="24"/>
          <w:lang w:val="es-US"/>
        </w:rPr>
        <w:t>Fla. Bar No. 68865</w:t>
      </w:r>
    </w:p>
    <w:p w14:paraId="32149DF0" w14:textId="77777777" w:rsidR="006E3EBF" w:rsidRPr="00762850" w:rsidRDefault="006E3EBF" w:rsidP="006E3EBF">
      <w:pPr>
        <w:ind w:left="5040"/>
        <w:rPr>
          <w:rFonts w:asciiTheme="majorBidi" w:hAnsiTheme="majorBidi" w:cstheme="majorBidi"/>
          <w:sz w:val="24"/>
          <w:szCs w:val="24"/>
          <w:lang w:val="es-US"/>
        </w:rPr>
      </w:pPr>
      <w:hyperlink r:id="rId8" w:history="1">
        <w:r w:rsidRPr="00762850">
          <w:rPr>
            <w:rStyle w:val="Hyperlink"/>
            <w:rFonts w:asciiTheme="majorBidi" w:hAnsiTheme="majorBidi" w:cstheme="majorBidi"/>
            <w:sz w:val="24"/>
            <w:szCs w:val="24"/>
            <w:lang w:val="es-US"/>
          </w:rPr>
          <w:t>pleadings@flinslaw.com</w:t>
        </w:r>
      </w:hyperlink>
    </w:p>
    <w:p w14:paraId="5BFBD561" w14:textId="77777777" w:rsidR="006E3EBF" w:rsidRPr="00762850" w:rsidRDefault="006E3EBF" w:rsidP="006E3EBF">
      <w:pPr>
        <w:ind w:left="5040"/>
        <w:rPr>
          <w:rFonts w:asciiTheme="majorBidi" w:hAnsiTheme="majorBidi" w:cstheme="majorBidi"/>
          <w:sz w:val="24"/>
          <w:szCs w:val="24"/>
          <w:lang w:val="es-US"/>
        </w:rPr>
      </w:pPr>
    </w:p>
    <w:p w14:paraId="6735D83B" w14:textId="77777777" w:rsidR="006E3EBF" w:rsidRPr="00762850" w:rsidRDefault="006E3EBF" w:rsidP="006E3EBF">
      <w:pPr>
        <w:rPr>
          <w:rFonts w:asciiTheme="majorBidi" w:hAnsiTheme="majorBidi" w:cstheme="majorBidi"/>
          <w:color w:val="0563C1"/>
          <w:sz w:val="24"/>
          <w:szCs w:val="24"/>
          <w:u w:val="single"/>
          <w:lang w:val="es-US"/>
        </w:rPr>
      </w:pPr>
    </w:p>
    <w:p w14:paraId="17B54227" w14:textId="77777777" w:rsidR="006E3EBF" w:rsidRPr="00762850" w:rsidRDefault="006E3EBF" w:rsidP="006E3EBF">
      <w:pPr>
        <w:suppressAutoHyphens/>
        <w:jc w:val="both"/>
        <w:rPr>
          <w:rFonts w:asciiTheme="majorBidi" w:hAnsiTheme="majorBidi" w:cstheme="majorBidi"/>
          <w:color w:val="0563C1" w:themeColor="hyperlink"/>
          <w:sz w:val="24"/>
          <w:szCs w:val="24"/>
          <w:u w:val="single"/>
          <w:lang w:val="es-US" w:eastAsia="x-none"/>
        </w:rPr>
      </w:pPr>
    </w:p>
    <w:p w14:paraId="1FB7892B" w14:textId="77777777" w:rsidR="006E3EBF" w:rsidRPr="00762850" w:rsidRDefault="006E3EBF" w:rsidP="006E3EBF">
      <w:pPr>
        <w:rPr>
          <w:rFonts w:asciiTheme="majorBidi" w:hAnsiTheme="majorBidi" w:cstheme="majorBidi"/>
          <w:sz w:val="24"/>
          <w:szCs w:val="24"/>
        </w:rPr>
      </w:pPr>
    </w:p>
    <w:p w14:paraId="393CD3A4" w14:textId="5F5B1EA7" w:rsidR="006A6D77" w:rsidRPr="006E3EBF" w:rsidRDefault="006A6D77" w:rsidP="006E3EBF"/>
    <w:sectPr w:rsidR="006A6D77" w:rsidRPr="006E3EBF">
      <w:footerReference w:type="default" r:id="rId9"/>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E3895" w14:textId="77777777" w:rsidR="00AE0E82" w:rsidRDefault="00AE0E82" w:rsidP="001F3B28">
      <w:r>
        <w:separator/>
      </w:r>
    </w:p>
  </w:endnote>
  <w:endnote w:type="continuationSeparator" w:id="0">
    <w:p w14:paraId="5D49F4A7" w14:textId="77777777" w:rsidR="00AE0E82" w:rsidRDefault="00AE0E82" w:rsidP="001F3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70492"/>
      <w:docPartObj>
        <w:docPartGallery w:val="Page Numbers (Bottom of Page)"/>
        <w:docPartUnique/>
      </w:docPartObj>
    </w:sdtPr>
    <w:sdtEndPr>
      <w:rPr>
        <w:noProof/>
      </w:rPr>
    </w:sdtEndPr>
    <w:sdtContent>
      <w:p w14:paraId="657E7706" w14:textId="77777777" w:rsidR="00246ED5" w:rsidRDefault="00725BC6">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FA9208F" w14:textId="77777777" w:rsidR="00CE0304" w:rsidRDefault="00AE0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B13EC" w14:textId="77777777" w:rsidR="00AE0E82" w:rsidRDefault="00AE0E82" w:rsidP="001F3B28">
      <w:r>
        <w:separator/>
      </w:r>
    </w:p>
  </w:footnote>
  <w:footnote w:type="continuationSeparator" w:id="0">
    <w:p w14:paraId="1A4CF5F8" w14:textId="77777777" w:rsidR="00AE0E82" w:rsidRDefault="00AE0E82" w:rsidP="001F3B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AD01FDC"/>
    <w:name w:val="ParaNumbers1"/>
    <w:lvl w:ilvl="0">
      <w:start w:val="1"/>
      <w:numFmt w:val="decimal"/>
      <w:pStyle w:val="Level1"/>
      <w:lvlText w:val="%1."/>
      <w:lvlJc w:val="left"/>
      <w:pPr>
        <w:ind w:left="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numFmt w:val="decimal"/>
      <w:lvlText w:val=""/>
      <w:lvlJc w:val="left"/>
      <w:pPr>
        <w:ind w:left="0" w:firstLine="0"/>
      </w:pPr>
    </w:lvl>
  </w:abstractNum>
  <w:abstractNum w:abstractNumId="1" w15:restartNumberingAfterBreak="0">
    <w:nsid w:val="4B9D18A8"/>
    <w:multiLevelType w:val="hybridMultilevel"/>
    <w:tmpl w:val="B61AB8EC"/>
    <w:lvl w:ilvl="0" w:tplc="BF6C4374">
      <w:start w:val="1"/>
      <w:numFmt w:val="decimal"/>
      <w:lvlText w:val="%1."/>
      <w:lvlJc w:val="left"/>
      <w:pPr>
        <w:ind w:left="2160" w:hanging="360"/>
      </w:pPr>
      <w:rPr>
        <w:rFonts w:ascii="Times New Roman" w:eastAsia="Times New Roman" w:hAnsi="Times New Roman" w:cs="Times New Roman"/>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73DB5F45"/>
    <w:multiLevelType w:val="hybridMultilevel"/>
    <w:tmpl w:val="EB5A67B6"/>
    <w:lvl w:ilvl="0" w:tplc="3FEE17B8">
      <w:start w:val="1"/>
      <w:numFmt w:val="upperRoman"/>
      <w:lvlText w:val="%1."/>
      <w:lvlJc w:val="left"/>
      <w:pPr>
        <w:ind w:left="1080" w:hanging="720"/>
      </w:pPr>
      <w:rPr>
        <w:rFonts w:hint="default"/>
        <w:b w:val="0"/>
        <w:bCs/>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decimal"/>
        <w:pStyle w:val="Level1"/>
        <w:lvlText w:val="%1."/>
        <w:lvlJc w:val="left"/>
        <w:pPr>
          <w:ind w:left="0" w:firstLine="0"/>
        </w:pPr>
      </w:lvl>
    </w:lvlOverride>
    <w:lvlOverride w:ilvl="1">
      <w:lvl w:ilvl="1">
        <w:start w:val="1"/>
        <w:numFmt w:val="lowerLetter"/>
        <w:lvlText w:val="%2."/>
        <w:lvlJc w:val="left"/>
        <w:pPr>
          <w:ind w:left="0" w:firstLine="0"/>
        </w:pPr>
      </w:lvl>
    </w:lvlOverride>
    <w:lvlOverride w:ilvl="2">
      <w:lvl w:ilvl="2">
        <w:start w:val="1"/>
        <w:numFmt w:val="lowerRoman"/>
        <w:lvlText w:val="%3."/>
        <w:lvlJc w:val="left"/>
        <w:pPr>
          <w:ind w:left="0" w:firstLine="0"/>
        </w:pPr>
      </w:lvl>
    </w:lvlOverride>
    <w:lvlOverride w:ilvl="3">
      <w:lvl w:ilvl="3">
        <w:start w:val="1"/>
        <w:numFmt w:val="decimal"/>
        <w:lvlText w:val="(%4)"/>
        <w:lvlJc w:val="left"/>
        <w:pPr>
          <w:ind w:left="0" w:firstLine="0"/>
        </w:pPr>
      </w:lvl>
    </w:lvlOverride>
    <w:lvlOverride w:ilvl="4">
      <w:lvl w:ilvl="4">
        <w:start w:val="1"/>
        <w:numFmt w:val="lowerLetter"/>
        <w:lvlText w:val="(%5)"/>
        <w:lvlJc w:val="left"/>
        <w:pPr>
          <w:ind w:left="0" w:firstLine="0"/>
        </w:pPr>
      </w:lvl>
    </w:lvlOverride>
    <w:lvlOverride w:ilvl="5">
      <w:lvl w:ilvl="5">
        <w:start w:val="1"/>
        <w:numFmt w:val="lowerRoman"/>
        <w:lvlText w:val="(%6)"/>
        <w:lvlJc w:val="left"/>
        <w:pPr>
          <w:ind w:left="0" w:firstLine="0"/>
        </w:pPr>
      </w:lvl>
    </w:lvlOverride>
    <w:lvlOverride w:ilvl="6">
      <w:lvl w:ilvl="6">
        <w:start w:val="1"/>
        <w:numFmt w:val="decimal"/>
        <w:lvlText w:val="%7)"/>
        <w:lvlJc w:val="left"/>
        <w:pPr>
          <w:ind w:left="0" w:firstLine="0"/>
        </w:pPr>
      </w:lvl>
    </w:lvlOverride>
    <w:lvlOverride w:ilvl="7">
      <w:lvl w:ilvl="7">
        <w:start w:val="1"/>
        <w:numFmt w:val="lowerLetter"/>
        <w:lvlText w:val="%8)"/>
        <w:lvlJc w:val="left"/>
        <w:pPr>
          <w:ind w:left="0" w:firstLine="0"/>
        </w:pPr>
      </w:lvl>
    </w:lvlOverride>
    <w:lvlOverride w:ilvl="8">
      <w:lvl w:ilvl="8">
        <w:numFmt w:val="decimal"/>
        <w:lvlText w:val=""/>
        <w:lvlJc w:val="left"/>
        <w:pPr>
          <w:ind w:left="0" w:firstLine="0"/>
        </w:pPr>
      </w:lvl>
    </w:lvlOverride>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67"/>
    <w:rsid w:val="000274A2"/>
    <w:rsid w:val="00034833"/>
    <w:rsid w:val="00056FCE"/>
    <w:rsid w:val="00076895"/>
    <w:rsid w:val="000C6A5F"/>
    <w:rsid w:val="000F6DDA"/>
    <w:rsid w:val="00116064"/>
    <w:rsid w:val="00122C19"/>
    <w:rsid w:val="001379DB"/>
    <w:rsid w:val="00143B0C"/>
    <w:rsid w:val="001519A7"/>
    <w:rsid w:val="0015630D"/>
    <w:rsid w:val="00180ABD"/>
    <w:rsid w:val="001A575C"/>
    <w:rsid w:val="001C546E"/>
    <w:rsid w:val="001E56E0"/>
    <w:rsid w:val="001F3B28"/>
    <w:rsid w:val="00273C84"/>
    <w:rsid w:val="00282825"/>
    <w:rsid w:val="0028323D"/>
    <w:rsid w:val="00293A4C"/>
    <w:rsid w:val="0029482B"/>
    <w:rsid w:val="002A21AB"/>
    <w:rsid w:val="002B17D5"/>
    <w:rsid w:val="002B7CC3"/>
    <w:rsid w:val="002C3769"/>
    <w:rsid w:val="002E5FFF"/>
    <w:rsid w:val="00305522"/>
    <w:rsid w:val="00322D4C"/>
    <w:rsid w:val="00326768"/>
    <w:rsid w:val="00331D40"/>
    <w:rsid w:val="00334794"/>
    <w:rsid w:val="00343FAC"/>
    <w:rsid w:val="0037409B"/>
    <w:rsid w:val="003C122A"/>
    <w:rsid w:val="003D5FA0"/>
    <w:rsid w:val="003F6114"/>
    <w:rsid w:val="004133E9"/>
    <w:rsid w:val="00422939"/>
    <w:rsid w:val="004839DC"/>
    <w:rsid w:val="00484DB0"/>
    <w:rsid w:val="004A04BF"/>
    <w:rsid w:val="004B436D"/>
    <w:rsid w:val="004C4EE3"/>
    <w:rsid w:val="00506324"/>
    <w:rsid w:val="00511039"/>
    <w:rsid w:val="00512227"/>
    <w:rsid w:val="00514516"/>
    <w:rsid w:val="00516260"/>
    <w:rsid w:val="0056558B"/>
    <w:rsid w:val="005B6359"/>
    <w:rsid w:val="005E0685"/>
    <w:rsid w:val="00602655"/>
    <w:rsid w:val="00607ED5"/>
    <w:rsid w:val="0063368A"/>
    <w:rsid w:val="0064653C"/>
    <w:rsid w:val="00647AB4"/>
    <w:rsid w:val="00690F93"/>
    <w:rsid w:val="006A4D67"/>
    <w:rsid w:val="006A6D77"/>
    <w:rsid w:val="006A7332"/>
    <w:rsid w:val="006E3EBF"/>
    <w:rsid w:val="007000F3"/>
    <w:rsid w:val="00725BC6"/>
    <w:rsid w:val="00737C12"/>
    <w:rsid w:val="0074558A"/>
    <w:rsid w:val="00786EDB"/>
    <w:rsid w:val="00793F47"/>
    <w:rsid w:val="007A0A71"/>
    <w:rsid w:val="007A399B"/>
    <w:rsid w:val="007D3D81"/>
    <w:rsid w:val="007E5232"/>
    <w:rsid w:val="007F658E"/>
    <w:rsid w:val="008057A3"/>
    <w:rsid w:val="00880271"/>
    <w:rsid w:val="008A3F05"/>
    <w:rsid w:val="008C0A76"/>
    <w:rsid w:val="008C7D1E"/>
    <w:rsid w:val="00914955"/>
    <w:rsid w:val="00972015"/>
    <w:rsid w:val="00976539"/>
    <w:rsid w:val="00990C63"/>
    <w:rsid w:val="009D5918"/>
    <w:rsid w:val="009F1F4D"/>
    <w:rsid w:val="00A227A4"/>
    <w:rsid w:val="00A67865"/>
    <w:rsid w:val="00A84B2B"/>
    <w:rsid w:val="00AA46BC"/>
    <w:rsid w:val="00AA7C85"/>
    <w:rsid w:val="00AB3C47"/>
    <w:rsid w:val="00AC6CC7"/>
    <w:rsid w:val="00AE0E82"/>
    <w:rsid w:val="00AE1DFF"/>
    <w:rsid w:val="00AF5D10"/>
    <w:rsid w:val="00B13E9F"/>
    <w:rsid w:val="00B22CB0"/>
    <w:rsid w:val="00B23896"/>
    <w:rsid w:val="00B2539C"/>
    <w:rsid w:val="00B27C14"/>
    <w:rsid w:val="00B75B90"/>
    <w:rsid w:val="00B8196B"/>
    <w:rsid w:val="00BA246F"/>
    <w:rsid w:val="00BB36CB"/>
    <w:rsid w:val="00BC7AF1"/>
    <w:rsid w:val="00BF0F26"/>
    <w:rsid w:val="00C423FD"/>
    <w:rsid w:val="00C718A7"/>
    <w:rsid w:val="00C83684"/>
    <w:rsid w:val="00CB0568"/>
    <w:rsid w:val="00CC608D"/>
    <w:rsid w:val="00CE37D6"/>
    <w:rsid w:val="00D16880"/>
    <w:rsid w:val="00D72B93"/>
    <w:rsid w:val="00D91021"/>
    <w:rsid w:val="00DF2284"/>
    <w:rsid w:val="00DF556F"/>
    <w:rsid w:val="00E202C7"/>
    <w:rsid w:val="00E85580"/>
    <w:rsid w:val="00ED3E9E"/>
    <w:rsid w:val="00EE1461"/>
    <w:rsid w:val="00EE4D4E"/>
    <w:rsid w:val="00EF0796"/>
    <w:rsid w:val="00EF421D"/>
    <w:rsid w:val="00F52D0F"/>
    <w:rsid w:val="00F5699E"/>
    <w:rsid w:val="00F9589E"/>
    <w:rsid w:val="00FA7CB8"/>
    <w:rsid w:val="00FD383D"/>
    <w:rsid w:val="00FD7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B6889"/>
  <w15:chartTrackingRefBased/>
  <w15:docId w15:val="{52AC6279-627B-42D4-AE86-483A3884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D77"/>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37409B"/>
    <w:pPr>
      <w:widowControl w:val="0"/>
      <w:autoSpaceDE w:val="0"/>
      <w:autoSpaceDN w:val="0"/>
      <w:ind w:left="140" w:right="114" w:firstLine="719"/>
      <w:jc w:val="both"/>
      <w:outlineLvl w:val="0"/>
    </w:pPr>
    <w:rPr>
      <w:b/>
      <w:bCs/>
    </w:rPr>
  </w:style>
  <w:style w:type="paragraph" w:styleId="Heading2">
    <w:name w:val="heading 2"/>
    <w:basedOn w:val="Normal"/>
    <w:link w:val="Heading2Char"/>
    <w:uiPriority w:val="9"/>
    <w:unhideWhenUsed/>
    <w:qFormat/>
    <w:rsid w:val="0037409B"/>
    <w:pPr>
      <w:widowControl w:val="0"/>
      <w:autoSpaceDE w:val="0"/>
      <w:autoSpaceDN w:val="0"/>
      <w:ind w:left="140"/>
      <w:jc w:val="both"/>
      <w:outlineLvl w:val="1"/>
    </w:pPr>
  </w:style>
  <w:style w:type="paragraph" w:styleId="Heading3">
    <w:name w:val="heading 3"/>
    <w:basedOn w:val="Normal"/>
    <w:next w:val="Normal"/>
    <w:link w:val="Heading3Char"/>
    <w:uiPriority w:val="9"/>
    <w:semiHidden/>
    <w:unhideWhenUsed/>
    <w:qFormat/>
    <w:rsid w:val="00CB056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3E9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6FCE"/>
    <w:rPr>
      <w:color w:val="0000FF"/>
      <w:u w:val="single"/>
    </w:rPr>
  </w:style>
  <w:style w:type="paragraph" w:styleId="BodyText">
    <w:name w:val="Body Text"/>
    <w:basedOn w:val="Normal"/>
    <w:link w:val="BodyTextChar"/>
    <w:qFormat/>
    <w:rsid w:val="00AB3C47"/>
    <w:pPr>
      <w:suppressAutoHyphens/>
      <w:spacing w:line="480" w:lineRule="auto"/>
      <w:jc w:val="both"/>
    </w:pPr>
    <w:rPr>
      <w:sz w:val="24"/>
    </w:rPr>
  </w:style>
  <w:style w:type="character" w:customStyle="1" w:styleId="BodyTextChar">
    <w:name w:val="Body Text Char"/>
    <w:basedOn w:val="DefaultParagraphFont"/>
    <w:link w:val="BodyText"/>
    <w:rsid w:val="00AB3C47"/>
    <w:rPr>
      <w:rFonts w:ascii="Times New Roman" w:eastAsia="Times New Roman" w:hAnsi="Times New Roman" w:cs="Times New Roman"/>
      <w:sz w:val="24"/>
      <w:szCs w:val="20"/>
    </w:rPr>
  </w:style>
  <w:style w:type="paragraph" w:styleId="ListParagraph">
    <w:name w:val="List Paragraph"/>
    <w:basedOn w:val="Normal"/>
    <w:uiPriority w:val="34"/>
    <w:qFormat/>
    <w:rsid w:val="00AB3C47"/>
    <w:pPr>
      <w:ind w:left="720"/>
      <w:contextualSpacing/>
    </w:pPr>
  </w:style>
  <w:style w:type="paragraph" w:styleId="NoSpacing">
    <w:name w:val="No Spacing"/>
    <w:uiPriority w:val="1"/>
    <w:qFormat/>
    <w:rsid w:val="007000F3"/>
    <w:pPr>
      <w:spacing w:after="0" w:line="240" w:lineRule="auto"/>
    </w:pPr>
    <w:rPr>
      <w:rFonts w:ascii="Times New Roman" w:eastAsia="Times New Roman" w:hAnsi="Times New Roman" w:cs="Times New Roman"/>
      <w:sz w:val="20"/>
      <w:szCs w:val="20"/>
    </w:rPr>
  </w:style>
  <w:style w:type="paragraph" w:styleId="Footer">
    <w:name w:val="footer"/>
    <w:basedOn w:val="Normal"/>
    <w:link w:val="FooterChar"/>
    <w:uiPriority w:val="99"/>
    <w:rsid w:val="00E85580"/>
    <w:pPr>
      <w:tabs>
        <w:tab w:val="center" w:pos="4320"/>
        <w:tab w:val="right" w:pos="8640"/>
      </w:tabs>
    </w:pPr>
  </w:style>
  <w:style w:type="character" w:customStyle="1" w:styleId="FooterChar">
    <w:name w:val="Footer Char"/>
    <w:basedOn w:val="DefaultParagraphFont"/>
    <w:link w:val="Footer"/>
    <w:uiPriority w:val="99"/>
    <w:rsid w:val="00E85580"/>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37409B"/>
    <w:rPr>
      <w:rFonts w:ascii="Times New Roman" w:eastAsia="Times New Roman" w:hAnsi="Times New Roman" w:cs="Times New Roman"/>
      <w:b/>
      <w:bCs/>
    </w:rPr>
  </w:style>
  <w:style w:type="character" w:customStyle="1" w:styleId="Heading2Char">
    <w:name w:val="Heading 2 Char"/>
    <w:basedOn w:val="DefaultParagraphFont"/>
    <w:link w:val="Heading2"/>
    <w:uiPriority w:val="9"/>
    <w:rsid w:val="0037409B"/>
    <w:rPr>
      <w:rFonts w:ascii="Times New Roman" w:eastAsia="Times New Roman" w:hAnsi="Times New Roman" w:cs="Times New Roman"/>
    </w:rPr>
  </w:style>
  <w:style w:type="paragraph" w:customStyle="1" w:styleId="TableParagraph">
    <w:name w:val="Table Paragraph"/>
    <w:basedOn w:val="Normal"/>
    <w:uiPriority w:val="1"/>
    <w:qFormat/>
    <w:rsid w:val="0037409B"/>
    <w:pPr>
      <w:widowControl w:val="0"/>
      <w:autoSpaceDE w:val="0"/>
      <w:autoSpaceDN w:val="0"/>
    </w:pPr>
  </w:style>
  <w:style w:type="paragraph" w:styleId="BodyTextIndent">
    <w:name w:val="Body Text Indent"/>
    <w:basedOn w:val="Normal"/>
    <w:link w:val="BodyTextIndentChar"/>
    <w:uiPriority w:val="99"/>
    <w:semiHidden/>
    <w:unhideWhenUsed/>
    <w:rsid w:val="00EE4D4E"/>
    <w:pPr>
      <w:spacing w:after="120"/>
      <w:ind w:left="360"/>
    </w:pPr>
  </w:style>
  <w:style w:type="character" w:customStyle="1" w:styleId="BodyTextIndentChar">
    <w:name w:val="Body Text Indent Char"/>
    <w:basedOn w:val="DefaultParagraphFont"/>
    <w:link w:val="BodyTextIndent"/>
    <w:uiPriority w:val="99"/>
    <w:semiHidden/>
    <w:rsid w:val="00EE4D4E"/>
  </w:style>
  <w:style w:type="paragraph" w:customStyle="1" w:styleId="SingleSpacing">
    <w:name w:val="Single Spacing"/>
    <w:basedOn w:val="Normal"/>
    <w:rsid w:val="00602655"/>
    <w:pPr>
      <w:spacing w:line="254" w:lineRule="exact"/>
    </w:pPr>
  </w:style>
  <w:style w:type="paragraph" w:customStyle="1" w:styleId="Level1">
    <w:name w:val="Level 1"/>
    <w:basedOn w:val="Normal"/>
    <w:rsid w:val="00FD72C7"/>
    <w:pPr>
      <w:widowControl w:val="0"/>
      <w:numPr>
        <w:numId w:val="1"/>
      </w:numPr>
      <w:autoSpaceDE w:val="0"/>
      <w:autoSpaceDN w:val="0"/>
      <w:adjustRightInd w:val="0"/>
      <w:outlineLvl w:val="0"/>
    </w:pPr>
    <w:rPr>
      <w:sz w:val="24"/>
      <w:szCs w:val="24"/>
    </w:rPr>
  </w:style>
  <w:style w:type="paragraph" w:customStyle="1" w:styleId="Default">
    <w:name w:val="Default"/>
    <w:rsid w:val="000274A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41">
    <w:name w:val="p41"/>
    <w:basedOn w:val="Normal"/>
    <w:rsid w:val="00034833"/>
    <w:pPr>
      <w:widowControl w:val="0"/>
      <w:autoSpaceDE w:val="0"/>
      <w:autoSpaceDN w:val="0"/>
      <w:adjustRightInd w:val="0"/>
      <w:spacing w:line="240" w:lineRule="atLeast"/>
      <w:ind w:left="576" w:firstLine="720"/>
    </w:pPr>
    <w:rPr>
      <w:szCs w:val="24"/>
    </w:rPr>
  </w:style>
  <w:style w:type="paragraph" w:customStyle="1" w:styleId="c74">
    <w:name w:val="c74"/>
    <w:basedOn w:val="Normal"/>
    <w:rsid w:val="00034833"/>
    <w:pPr>
      <w:widowControl w:val="0"/>
      <w:autoSpaceDE w:val="0"/>
      <w:autoSpaceDN w:val="0"/>
      <w:adjustRightInd w:val="0"/>
      <w:spacing w:line="240" w:lineRule="atLeast"/>
      <w:jc w:val="center"/>
    </w:pPr>
    <w:rPr>
      <w:szCs w:val="24"/>
    </w:rPr>
  </w:style>
  <w:style w:type="paragraph" w:customStyle="1" w:styleId="p42">
    <w:name w:val="p42"/>
    <w:basedOn w:val="Normal"/>
    <w:rsid w:val="00034833"/>
    <w:pPr>
      <w:widowControl w:val="0"/>
      <w:tabs>
        <w:tab w:val="left" w:pos="940"/>
        <w:tab w:val="left" w:pos="1580"/>
      </w:tabs>
      <w:autoSpaceDE w:val="0"/>
      <w:autoSpaceDN w:val="0"/>
      <w:adjustRightInd w:val="0"/>
      <w:spacing w:line="500" w:lineRule="atLeast"/>
      <w:ind w:left="432" w:firstLine="576"/>
    </w:pPr>
    <w:rPr>
      <w:szCs w:val="24"/>
    </w:rPr>
  </w:style>
  <w:style w:type="character" w:customStyle="1" w:styleId="Charges">
    <w:name w:val="Charges"/>
    <w:uiPriority w:val="99"/>
    <w:rsid w:val="00D91021"/>
    <w:rPr>
      <w:rFonts w:ascii="Times New Roman" w:hAnsi="Times New Roman"/>
      <w:sz w:val="22"/>
    </w:rPr>
  </w:style>
  <w:style w:type="character" w:customStyle="1" w:styleId="Heading3Char">
    <w:name w:val="Heading 3 Char"/>
    <w:basedOn w:val="DefaultParagraphFont"/>
    <w:link w:val="Heading3"/>
    <w:uiPriority w:val="9"/>
    <w:semiHidden/>
    <w:rsid w:val="00CB0568"/>
    <w:rPr>
      <w:rFonts w:asciiTheme="majorHAnsi" w:eastAsiaTheme="majorEastAsia" w:hAnsiTheme="majorHAnsi" w:cstheme="majorBidi"/>
      <w:color w:val="1F3763" w:themeColor="accent1" w:themeShade="7F"/>
      <w:sz w:val="24"/>
      <w:szCs w:val="24"/>
    </w:rPr>
  </w:style>
  <w:style w:type="character" w:customStyle="1" w:styleId="number">
    <w:name w:val="number"/>
    <w:basedOn w:val="DefaultParagraphFont"/>
    <w:rsid w:val="00CC608D"/>
  </w:style>
  <w:style w:type="character" w:customStyle="1" w:styleId="text">
    <w:name w:val="text"/>
    <w:basedOn w:val="DefaultParagraphFont"/>
    <w:rsid w:val="00CC608D"/>
  </w:style>
  <w:style w:type="paragraph" w:styleId="PlainText">
    <w:name w:val="Plain Text"/>
    <w:basedOn w:val="Normal"/>
    <w:link w:val="PlainTextChar"/>
    <w:uiPriority w:val="99"/>
    <w:unhideWhenUsed/>
    <w:rsid w:val="00512227"/>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51222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leadings@flinslaw.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2441</Words>
  <Characters>13013</Characters>
  <Application>Microsoft Office Word</Application>
  <DocSecurity>0</DocSecurity>
  <Lines>228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2022-02-20T04:51:00Z</dcterms:created>
  <dcterms:modified xsi:type="dcterms:W3CDTF">2022-02-20T04:51:00Z</dcterms:modified>
</cp:coreProperties>
</file>