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FF4A0" w14:textId="77777777" w:rsidR="003A7E72" w:rsidRPr="001D69D2" w:rsidRDefault="003A7E72" w:rsidP="003A7E72">
      <w:pPr>
        <w:ind w:left="720" w:right="720"/>
        <w:jc w:val="center"/>
        <w:rPr>
          <w:sz w:val="24"/>
          <w:szCs w:val="24"/>
        </w:rPr>
      </w:pPr>
      <w:r>
        <w:rPr>
          <w:sz w:val="24"/>
          <w:szCs w:val="24"/>
        </w:rPr>
        <w:t xml:space="preserve">         &lt;&lt;</w:t>
      </w:r>
      <w:r w:rsidRPr="001D69D2">
        <w:rPr>
          <w:sz w:val="24"/>
          <w:szCs w:val="24"/>
        </w:rPr>
        <w:t>COURT_NAME</w:t>
      </w:r>
      <w:r>
        <w:rPr>
          <w:sz w:val="24"/>
          <w:szCs w:val="24"/>
        </w:rPr>
        <w:t>&gt;&gt;</w:t>
      </w:r>
    </w:p>
    <w:p w14:paraId="1D78507B" w14:textId="77777777" w:rsidR="003A7E72" w:rsidRPr="001D69D2" w:rsidRDefault="003A7E72" w:rsidP="003A7E72">
      <w:pPr>
        <w:jc w:val="center"/>
        <w:rPr>
          <w:sz w:val="24"/>
          <w:szCs w:val="24"/>
        </w:rPr>
      </w:pPr>
    </w:p>
    <w:tbl>
      <w:tblPr>
        <w:tblStyle w:val="TableGrid"/>
        <w:tblW w:w="945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4410"/>
      </w:tblGrid>
      <w:tr w:rsidR="003A7E72" w:rsidRPr="001D69D2" w14:paraId="32A2F793" w14:textId="77777777" w:rsidTr="00B86712">
        <w:tc>
          <w:tcPr>
            <w:tcW w:w="5040" w:type="dxa"/>
          </w:tcPr>
          <w:p w14:paraId="2BB4348F" w14:textId="77777777" w:rsidR="003A7E72" w:rsidRPr="001D69D2" w:rsidRDefault="003A7E72" w:rsidP="00B86712">
            <w:pPr>
              <w:rPr>
                <w:sz w:val="24"/>
                <w:szCs w:val="24"/>
              </w:rPr>
            </w:pPr>
            <w:r>
              <w:rPr>
                <w:sz w:val="24"/>
                <w:szCs w:val="24"/>
              </w:rPr>
              <w:t>&lt;&lt;</w:t>
            </w:r>
            <w:r w:rsidRPr="001D69D2">
              <w:rPr>
                <w:sz w:val="24"/>
                <w:szCs w:val="24"/>
              </w:rPr>
              <w:t>PROVIDER_SUITNAME</w:t>
            </w:r>
            <w:r>
              <w:rPr>
                <w:sz w:val="24"/>
                <w:szCs w:val="24"/>
              </w:rPr>
              <w:t>&gt;&gt;</w:t>
            </w:r>
            <w:r w:rsidRPr="001D69D2">
              <w:rPr>
                <w:sz w:val="24"/>
                <w:szCs w:val="24"/>
              </w:rPr>
              <w:t xml:space="preserve">, </w:t>
            </w:r>
            <w:r w:rsidRPr="001D69D2">
              <w:rPr>
                <w:sz w:val="24"/>
                <w:szCs w:val="24"/>
              </w:rPr>
              <w:tab/>
            </w:r>
            <w:r w:rsidRPr="001D69D2">
              <w:rPr>
                <w:sz w:val="24"/>
                <w:szCs w:val="24"/>
              </w:rPr>
              <w:tab/>
            </w:r>
          </w:p>
          <w:p w14:paraId="3B511C6E" w14:textId="77777777" w:rsidR="003A7E72" w:rsidRPr="001D69D2" w:rsidRDefault="003A7E72" w:rsidP="00B86712">
            <w:pPr>
              <w:rPr>
                <w:sz w:val="24"/>
                <w:szCs w:val="24"/>
              </w:rPr>
            </w:pPr>
            <w:r w:rsidRPr="001D69D2">
              <w:rPr>
                <w:sz w:val="24"/>
                <w:szCs w:val="24"/>
              </w:rPr>
              <w:t xml:space="preserve">a/a/o </w:t>
            </w:r>
            <w:r>
              <w:rPr>
                <w:sz w:val="24"/>
                <w:szCs w:val="24"/>
              </w:rPr>
              <w:t>&lt;&lt;</w:t>
            </w:r>
            <w:r w:rsidRPr="001D69D2">
              <w:rPr>
                <w:sz w:val="24"/>
                <w:szCs w:val="24"/>
              </w:rPr>
              <w:t>INJUREDPARTY_NAME</w:t>
            </w:r>
            <w:r>
              <w:rPr>
                <w:sz w:val="24"/>
                <w:szCs w:val="24"/>
              </w:rPr>
              <w:t>&gt;&gt;</w:t>
            </w:r>
            <w:r w:rsidRPr="001D69D2">
              <w:rPr>
                <w:sz w:val="24"/>
                <w:szCs w:val="24"/>
              </w:rPr>
              <w:tab/>
              <w:t xml:space="preserve">                                            </w:t>
            </w:r>
          </w:p>
          <w:p w14:paraId="31BC7091" w14:textId="77777777" w:rsidR="003A7E72" w:rsidRPr="001D69D2" w:rsidRDefault="003A7E72" w:rsidP="00B86712">
            <w:pPr>
              <w:rPr>
                <w:sz w:val="24"/>
                <w:szCs w:val="24"/>
              </w:rPr>
            </w:pPr>
            <w:r w:rsidRPr="001D69D2">
              <w:rPr>
                <w:sz w:val="24"/>
                <w:szCs w:val="24"/>
              </w:rPr>
              <w:tab/>
            </w:r>
            <w:r w:rsidRPr="001D69D2">
              <w:rPr>
                <w:sz w:val="24"/>
                <w:szCs w:val="24"/>
              </w:rPr>
              <w:tab/>
            </w:r>
            <w:r w:rsidRPr="001D69D2">
              <w:rPr>
                <w:sz w:val="24"/>
                <w:szCs w:val="24"/>
              </w:rPr>
              <w:tab/>
              <w:t xml:space="preserve">                                </w:t>
            </w:r>
          </w:p>
          <w:p w14:paraId="253744E4" w14:textId="77777777" w:rsidR="003A7E72" w:rsidRPr="001D69D2" w:rsidRDefault="003A7E72" w:rsidP="00B86712">
            <w:pPr>
              <w:rPr>
                <w:sz w:val="24"/>
                <w:szCs w:val="24"/>
              </w:rPr>
            </w:pPr>
            <w:r w:rsidRPr="001D69D2">
              <w:rPr>
                <w:sz w:val="24"/>
                <w:szCs w:val="24"/>
              </w:rPr>
              <w:tab/>
              <w:t>Plaintiff,</w:t>
            </w:r>
          </w:p>
          <w:p w14:paraId="545AACFA" w14:textId="77777777" w:rsidR="003A7E72" w:rsidRPr="001D69D2" w:rsidRDefault="003A7E72" w:rsidP="00B86712">
            <w:pPr>
              <w:rPr>
                <w:sz w:val="24"/>
                <w:szCs w:val="24"/>
              </w:rPr>
            </w:pPr>
          </w:p>
          <w:p w14:paraId="35AADDF8" w14:textId="77777777" w:rsidR="003A7E72" w:rsidRPr="001D69D2" w:rsidRDefault="003A7E72" w:rsidP="00B86712">
            <w:pPr>
              <w:rPr>
                <w:sz w:val="24"/>
                <w:szCs w:val="24"/>
              </w:rPr>
            </w:pPr>
            <w:r w:rsidRPr="001D69D2">
              <w:rPr>
                <w:sz w:val="24"/>
                <w:szCs w:val="24"/>
              </w:rPr>
              <w:t>vs.</w:t>
            </w:r>
          </w:p>
          <w:p w14:paraId="77124330" w14:textId="77777777" w:rsidR="003A7E72" w:rsidRPr="001D69D2" w:rsidRDefault="003A7E72" w:rsidP="00B86712">
            <w:pPr>
              <w:rPr>
                <w:sz w:val="24"/>
                <w:szCs w:val="24"/>
              </w:rPr>
            </w:pPr>
          </w:p>
          <w:p w14:paraId="12A88F50" w14:textId="77777777" w:rsidR="003A7E72" w:rsidRPr="001D69D2" w:rsidRDefault="003A7E72" w:rsidP="00B86712">
            <w:pPr>
              <w:rPr>
                <w:sz w:val="24"/>
                <w:szCs w:val="24"/>
              </w:rPr>
            </w:pPr>
            <w:r>
              <w:rPr>
                <w:sz w:val="24"/>
                <w:szCs w:val="24"/>
              </w:rPr>
              <w:t>&lt;&lt;</w:t>
            </w:r>
            <w:r w:rsidRPr="001D69D2">
              <w:rPr>
                <w:sz w:val="24"/>
                <w:szCs w:val="24"/>
              </w:rPr>
              <w:t>INSURANCECOMPANY_SUITNAME</w:t>
            </w:r>
            <w:r>
              <w:rPr>
                <w:sz w:val="24"/>
                <w:szCs w:val="24"/>
              </w:rPr>
              <w:t>&gt;&gt;</w:t>
            </w:r>
          </w:p>
          <w:p w14:paraId="678EA1BD" w14:textId="77777777" w:rsidR="003A7E72" w:rsidRPr="001D69D2" w:rsidRDefault="003A7E72" w:rsidP="00B86712">
            <w:pPr>
              <w:rPr>
                <w:sz w:val="24"/>
                <w:szCs w:val="24"/>
              </w:rPr>
            </w:pPr>
          </w:p>
          <w:p w14:paraId="65DFB9E8" w14:textId="77777777" w:rsidR="003A7E72" w:rsidRPr="001D69D2" w:rsidRDefault="003A7E72" w:rsidP="00B86712">
            <w:pPr>
              <w:rPr>
                <w:sz w:val="24"/>
                <w:szCs w:val="24"/>
              </w:rPr>
            </w:pPr>
            <w:r w:rsidRPr="001D69D2">
              <w:rPr>
                <w:sz w:val="24"/>
                <w:szCs w:val="24"/>
              </w:rPr>
              <w:tab/>
              <w:t>Defendant.</w:t>
            </w:r>
          </w:p>
          <w:p w14:paraId="52EBE8D9" w14:textId="77777777" w:rsidR="003A7E72" w:rsidRPr="001D69D2" w:rsidRDefault="003A7E72" w:rsidP="00B86712">
            <w:pPr>
              <w:rPr>
                <w:sz w:val="24"/>
                <w:szCs w:val="24"/>
              </w:rPr>
            </w:pPr>
            <w:r w:rsidRPr="001D69D2">
              <w:rPr>
                <w:sz w:val="24"/>
                <w:szCs w:val="24"/>
              </w:rPr>
              <w:t>_____________________________________/</w:t>
            </w:r>
          </w:p>
          <w:p w14:paraId="3F50B86E" w14:textId="77777777" w:rsidR="003A7E72" w:rsidRPr="001D69D2" w:rsidRDefault="003A7E72" w:rsidP="00B86712">
            <w:pPr>
              <w:rPr>
                <w:sz w:val="24"/>
                <w:szCs w:val="24"/>
              </w:rPr>
            </w:pPr>
          </w:p>
        </w:tc>
        <w:tc>
          <w:tcPr>
            <w:tcW w:w="4410" w:type="dxa"/>
          </w:tcPr>
          <w:p w14:paraId="16C02782" w14:textId="77777777" w:rsidR="003A7E72" w:rsidRPr="001D69D2" w:rsidRDefault="003A7E72" w:rsidP="00B86712">
            <w:pPr>
              <w:rPr>
                <w:sz w:val="24"/>
                <w:szCs w:val="24"/>
              </w:rPr>
            </w:pPr>
            <w:r w:rsidRPr="001D69D2">
              <w:rPr>
                <w:sz w:val="24"/>
                <w:szCs w:val="24"/>
              </w:rPr>
              <w:t xml:space="preserve">Case No. </w:t>
            </w:r>
            <w:r>
              <w:rPr>
                <w:sz w:val="24"/>
                <w:szCs w:val="24"/>
              </w:rPr>
              <w:t>&lt;&lt;</w:t>
            </w:r>
            <w:r w:rsidRPr="001D69D2">
              <w:rPr>
                <w:sz w:val="24"/>
                <w:szCs w:val="24"/>
              </w:rPr>
              <w:t>INDEXORAAA_NUMBER</w:t>
            </w:r>
            <w:r>
              <w:rPr>
                <w:sz w:val="24"/>
                <w:szCs w:val="24"/>
              </w:rPr>
              <w:t>&gt;&gt;</w:t>
            </w:r>
            <w:r w:rsidRPr="001D69D2">
              <w:rPr>
                <w:sz w:val="24"/>
                <w:szCs w:val="24"/>
              </w:rPr>
              <w:br/>
            </w:r>
          </w:p>
          <w:p w14:paraId="64B86E02" w14:textId="77777777" w:rsidR="003A7E72" w:rsidRPr="001D69D2" w:rsidRDefault="003A7E72" w:rsidP="00B86712">
            <w:pPr>
              <w:rPr>
                <w:sz w:val="24"/>
                <w:szCs w:val="24"/>
              </w:rPr>
            </w:pPr>
          </w:p>
          <w:p w14:paraId="12611D05" w14:textId="77777777" w:rsidR="003A7E72" w:rsidRPr="001D69D2" w:rsidRDefault="003A7E72" w:rsidP="00B86712">
            <w:pPr>
              <w:rPr>
                <w:sz w:val="24"/>
                <w:szCs w:val="24"/>
              </w:rPr>
            </w:pPr>
          </w:p>
        </w:tc>
      </w:tr>
    </w:tbl>
    <w:p w14:paraId="31008311" w14:textId="77777777" w:rsidR="003A7E72" w:rsidRDefault="003A7E72" w:rsidP="003A7E72">
      <w:pPr>
        <w:suppressAutoHyphens/>
        <w:jc w:val="center"/>
        <w:rPr>
          <w:b/>
          <w:sz w:val="24"/>
          <w:szCs w:val="24"/>
          <w:u w:val="single"/>
        </w:rPr>
      </w:pPr>
      <w:r w:rsidRPr="005B6E3D">
        <w:rPr>
          <w:b/>
          <w:sz w:val="24"/>
          <w:szCs w:val="24"/>
          <w:u w:val="single"/>
        </w:rPr>
        <w:t xml:space="preserve">PLAINTIFF’S MOTION TO COMPEL BETTER </w:t>
      </w:r>
    </w:p>
    <w:p w14:paraId="7BB0F3A5" w14:textId="77777777" w:rsidR="003A7E72" w:rsidRDefault="003A7E72" w:rsidP="003A7E72">
      <w:pPr>
        <w:suppressAutoHyphens/>
        <w:jc w:val="center"/>
        <w:rPr>
          <w:b/>
          <w:sz w:val="24"/>
          <w:szCs w:val="24"/>
          <w:u w:val="single"/>
        </w:rPr>
      </w:pPr>
      <w:r w:rsidRPr="005B6E3D">
        <w:rPr>
          <w:b/>
          <w:sz w:val="24"/>
          <w:szCs w:val="24"/>
          <w:u w:val="single"/>
        </w:rPr>
        <w:t>RESPONSES TO DISCOVERY OVER OBJECTION</w:t>
      </w:r>
      <w:r>
        <w:rPr>
          <w:b/>
          <w:sz w:val="24"/>
          <w:szCs w:val="24"/>
          <w:u w:val="single"/>
        </w:rPr>
        <w:t xml:space="preserve"> </w:t>
      </w:r>
    </w:p>
    <w:p w14:paraId="4E80044A" w14:textId="77777777" w:rsidR="003A7E72" w:rsidRPr="005B6E3D" w:rsidRDefault="003A7E72" w:rsidP="003A7E72">
      <w:pPr>
        <w:suppressAutoHyphens/>
        <w:jc w:val="center"/>
        <w:rPr>
          <w:b/>
          <w:sz w:val="24"/>
          <w:szCs w:val="24"/>
          <w:u w:val="single"/>
        </w:rPr>
      </w:pPr>
      <w:r>
        <w:rPr>
          <w:b/>
          <w:sz w:val="24"/>
          <w:szCs w:val="24"/>
          <w:u w:val="single"/>
        </w:rPr>
        <w:t xml:space="preserve">OR IN THE ALTERNATIVE MOTION FOR IN CAMERA INSPECTION  </w:t>
      </w:r>
      <w:r w:rsidRPr="005B6E3D">
        <w:rPr>
          <w:b/>
          <w:sz w:val="24"/>
          <w:szCs w:val="24"/>
          <w:u w:val="single"/>
        </w:rPr>
        <w:t xml:space="preserve"> </w:t>
      </w:r>
    </w:p>
    <w:p w14:paraId="203174C2" w14:textId="77777777" w:rsidR="003A7E72" w:rsidRPr="00C3187B" w:rsidRDefault="003A7E72" w:rsidP="003A7E72">
      <w:pPr>
        <w:suppressAutoHyphens/>
        <w:jc w:val="center"/>
        <w:rPr>
          <w:b/>
          <w:sz w:val="24"/>
          <w:szCs w:val="24"/>
        </w:rPr>
      </w:pPr>
    </w:p>
    <w:p w14:paraId="24590335" w14:textId="77777777" w:rsidR="003A7E72" w:rsidRPr="00C3187B" w:rsidRDefault="003A7E72" w:rsidP="003A7E72">
      <w:pPr>
        <w:suppressAutoHyphens/>
        <w:spacing w:line="480" w:lineRule="auto"/>
        <w:jc w:val="both"/>
        <w:rPr>
          <w:spacing w:val="-3"/>
          <w:sz w:val="24"/>
          <w:szCs w:val="24"/>
        </w:rPr>
      </w:pPr>
      <w:r w:rsidRPr="00C3187B">
        <w:rPr>
          <w:sz w:val="24"/>
          <w:szCs w:val="24"/>
        </w:rPr>
        <w:tab/>
      </w:r>
      <w:r w:rsidRPr="00C3187B">
        <w:rPr>
          <w:sz w:val="24"/>
        </w:rPr>
        <w:t>Plaintiff</w:t>
      </w:r>
      <w:r w:rsidRPr="00C3187B">
        <w:rPr>
          <w:sz w:val="24"/>
          <w:szCs w:val="24"/>
        </w:rPr>
        <w:t xml:space="preserve">, </w:t>
      </w:r>
      <w:r w:rsidRPr="00B6159E">
        <w:rPr>
          <w:sz w:val="24"/>
        </w:rPr>
        <w:t>&lt;&lt;PROVIDER_SUITNAME&gt;&gt;</w:t>
      </w:r>
      <w:r w:rsidRPr="00C3187B">
        <w:rPr>
          <w:sz w:val="24"/>
          <w:szCs w:val="24"/>
        </w:rPr>
        <w:t xml:space="preserve">, by and through the undersigned counsel, hereby </w:t>
      </w:r>
      <w:r w:rsidRPr="00C3187B">
        <w:rPr>
          <w:spacing w:val="-3"/>
          <w:sz w:val="24"/>
          <w:szCs w:val="24"/>
        </w:rPr>
        <w:t xml:space="preserve">files this Motion to Compel Discovery as to Defendant, </w:t>
      </w:r>
      <w:r w:rsidRPr="00B6159E">
        <w:rPr>
          <w:spacing w:val="-3"/>
          <w:sz w:val="24"/>
          <w:szCs w:val="24"/>
        </w:rPr>
        <w:t>&lt;&lt;INSURANCECOMPANY_SUITNAME&gt;&gt;</w:t>
      </w:r>
      <w:r w:rsidRPr="00C3187B">
        <w:rPr>
          <w:spacing w:val="-3"/>
          <w:sz w:val="24"/>
          <w:szCs w:val="24"/>
        </w:rPr>
        <w:t>, and in support thereof further states:</w:t>
      </w:r>
    </w:p>
    <w:p w14:paraId="05DCBBBC" w14:textId="77777777" w:rsidR="003A7E72" w:rsidRPr="00C36D26" w:rsidRDefault="003A7E72" w:rsidP="00BE742C">
      <w:pPr>
        <w:pStyle w:val="ListParagraph"/>
        <w:numPr>
          <w:ilvl w:val="0"/>
          <w:numId w:val="3"/>
        </w:numPr>
        <w:suppressAutoHyphens/>
        <w:spacing w:line="480" w:lineRule="auto"/>
        <w:ind w:hanging="360"/>
        <w:jc w:val="both"/>
        <w:rPr>
          <w:spacing w:val="-3"/>
          <w:sz w:val="24"/>
          <w:szCs w:val="24"/>
        </w:rPr>
      </w:pPr>
      <w:r w:rsidRPr="00C36D26">
        <w:rPr>
          <w:spacing w:val="-3"/>
          <w:sz w:val="24"/>
          <w:szCs w:val="24"/>
        </w:rPr>
        <w:t xml:space="preserve">Discovery consisting of interrogatories, request for production and/or request for admissions were propounded upon Defendant, </w:t>
      </w:r>
      <w:r w:rsidRPr="00B6159E">
        <w:rPr>
          <w:spacing w:val="-3"/>
          <w:sz w:val="24"/>
          <w:szCs w:val="24"/>
        </w:rPr>
        <w:t>&lt;&lt;INSURANCECOMPANY_SUITNAME&gt;&gt;</w:t>
      </w:r>
      <w:r w:rsidRPr="00C36D26">
        <w:rPr>
          <w:spacing w:val="-3"/>
          <w:sz w:val="24"/>
          <w:szCs w:val="24"/>
        </w:rPr>
        <w:t xml:space="preserve">, on </w:t>
      </w:r>
      <w:r w:rsidRPr="00C36D26">
        <w:rPr>
          <w:spacing w:val="-3"/>
          <w:sz w:val="24"/>
          <w:szCs w:val="24"/>
          <w:highlight w:val="yellow"/>
        </w:rPr>
        <w:t>____</w:t>
      </w:r>
      <w:r w:rsidRPr="00C36D26">
        <w:rPr>
          <w:spacing w:val="-3"/>
          <w:sz w:val="24"/>
          <w:szCs w:val="24"/>
        </w:rPr>
        <w:t>.</w:t>
      </w:r>
    </w:p>
    <w:p w14:paraId="001AC69C" w14:textId="77777777" w:rsidR="003A7E72" w:rsidRPr="00C36D26" w:rsidRDefault="003A7E72" w:rsidP="00BE742C">
      <w:pPr>
        <w:pStyle w:val="ListParagraph"/>
        <w:numPr>
          <w:ilvl w:val="0"/>
          <w:numId w:val="3"/>
        </w:numPr>
        <w:suppressAutoHyphens/>
        <w:spacing w:line="480" w:lineRule="auto"/>
        <w:ind w:hanging="360"/>
        <w:jc w:val="both"/>
        <w:rPr>
          <w:spacing w:val="-3"/>
          <w:sz w:val="24"/>
          <w:szCs w:val="24"/>
        </w:rPr>
      </w:pPr>
      <w:r w:rsidRPr="00C36D26">
        <w:rPr>
          <w:sz w:val="24"/>
          <w:szCs w:val="24"/>
        </w:rPr>
        <w:t xml:space="preserve">That on ______________, Defendant, </w:t>
      </w:r>
      <w:r w:rsidRPr="00C36D26">
        <w:rPr>
          <w:spacing w:val="-3"/>
          <w:sz w:val="24"/>
          <w:szCs w:val="24"/>
        </w:rPr>
        <w:t>filed a response to the foregoing discovery.</w:t>
      </w:r>
    </w:p>
    <w:p w14:paraId="1E4201B3" w14:textId="77777777" w:rsidR="003A7E72" w:rsidRPr="00C36D26" w:rsidRDefault="003A7E72" w:rsidP="00BE742C">
      <w:pPr>
        <w:pStyle w:val="ListParagraph"/>
        <w:numPr>
          <w:ilvl w:val="0"/>
          <w:numId w:val="3"/>
        </w:numPr>
        <w:suppressAutoHyphens/>
        <w:spacing w:line="480" w:lineRule="auto"/>
        <w:ind w:hanging="360"/>
        <w:jc w:val="both"/>
        <w:rPr>
          <w:spacing w:val="-3"/>
          <w:sz w:val="24"/>
          <w:szCs w:val="24"/>
        </w:rPr>
      </w:pPr>
      <w:r w:rsidRPr="00C36D26">
        <w:rPr>
          <w:spacing w:val="-3"/>
          <w:sz w:val="24"/>
          <w:szCs w:val="24"/>
        </w:rPr>
        <w:t>The response to the foregoing discovery is non-responsive, incomplete, unduly vague or asserts objections that are not relevant for the following items:</w:t>
      </w:r>
    </w:p>
    <w:p w14:paraId="6547FE41" w14:textId="77777777" w:rsidR="003A7E72" w:rsidRPr="00C36D26" w:rsidRDefault="003A7E72" w:rsidP="00BE742C">
      <w:pPr>
        <w:pStyle w:val="ListParagraph"/>
        <w:numPr>
          <w:ilvl w:val="2"/>
          <w:numId w:val="2"/>
        </w:numPr>
        <w:suppressAutoHyphens/>
        <w:spacing w:line="480" w:lineRule="auto"/>
        <w:jc w:val="both"/>
        <w:rPr>
          <w:spacing w:val="-3"/>
          <w:sz w:val="24"/>
          <w:szCs w:val="24"/>
        </w:rPr>
      </w:pPr>
      <w:r w:rsidRPr="00C36D26">
        <w:rPr>
          <w:spacing w:val="-3"/>
          <w:sz w:val="24"/>
          <w:szCs w:val="24"/>
        </w:rPr>
        <w:t>------------</w:t>
      </w:r>
    </w:p>
    <w:p w14:paraId="15F1DDC1" w14:textId="77777777" w:rsidR="003A7E72" w:rsidRPr="00C36D26" w:rsidRDefault="003A7E72" w:rsidP="00BE742C">
      <w:pPr>
        <w:pStyle w:val="ListParagraph"/>
        <w:numPr>
          <w:ilvl w:val="2"/>
          <w:numId w:val="2"/>
        </w:numPr>
        <w:suppressAutoHyphens/>
        <w:spacing w:line="480" w:lineRule="auto"/>
        <w:jc w:val="both"/>
        <w:rPr>
          <w:spacing w:val="-3"/>
          <w:sz w:val="24"/>
          <w:szCs w:val="24"/>
        </w:rPr>
      </w:pPr>
      <w:r w:rsidRPr="00C36D26">
        <w:rPr>
          <w:spacing w:val="-3"/>
          <w:sz w:val="24"/>
          <w:szCs w:val="24"/>
        </w:rPr>
        <w:t>------------</w:t>
      </w:r>
    </w:p>
    <w:p w14:paraId="7AD4FC4B" w14:textId="77777777" w:rsidR="003A7E72" w:rsidRPr="00C36D26" w:rsidRDefault="003A7E72" w:rsidP="00BE742C">
      <w:pPr>
        <w:pStyle w:val="ListParagraph"/>
        <w:numPr>
          <w:ilvl w:val="2"/>
          <w:numId w:val="2"/>
        </w:numPr>
        <w:suppressAutoHyphens/>
        <w:spacing w:line="480" w:lineRule="auto"/>
        <w:jc w:val="both"/>
        <w:rPr>
          <w:spacing w:val="-3"/>
          <w:sz w:val="24"/>
          <w:szCs w:val="24"/>
        </w:rPr>
      </w:pPr>
      <w:r w:rsidRPr="00C36D26">
        <w:rPr>
          <w:spacing w:val="-3"/>
          <w:sz w:val="24"/>
          <w:szCs w:val="24"/>
        </w:rPr>
        <w:t>------------</w:t>
      </w:r>
    </w:p>
    <w:p w14:paraId="57DFB883" w14:textId="77777777" w:rsidR="003A7E72" w:rsidRPr="00C36D26" w:rsidRDefault="003A7E72" w:rsidP="00BE742C">
      <w:pPr>
        <w:pStyle w:val="ListParagraph"/>
        <w:numPr>
          <w:ilvl w:val="0"/>
          <w:numId w:val="3"/>
        </w:numPr>
        <w:suppressAutoHyphens/>
        <w:spacing w:line="480" w:lineRule="auto"/>
        <w:ind w:hanging="360"/>
        <w:jc w:val="both"/>
        <w:rPr>
          <w:spacing w:val="-3"/>
          <w:sz w:val="24"/>
          <w:szCs w:val="24"/>
        </w:rPr>
      </w:pPr>
      <w:r w:rsidRPr="00C36D26">
        <w:rPr>
          <w:spacing w:val="-3"/>
          <w:sz w:val="24"/>
          <w:szCs w:val="24"/>
        </w:rPr>
        <w:t xml:space="preserve">In addition to the above referenced objections, Defendant has also failed to provide the Plaintiff verified responses to interrogatories as required per the Florida Rules of Civil Procedure. </w:t>
      </w:r>
    </w:p>
    <w:p w14:paraId="3CB66FC1" w14:textId="77777777" w:rsidR="003A7E72" w:rsidRDefault="003A7E72" w:rsidP="00BE742C">
      <w:pPr>
        <w:pStyle w:val="ListParagraph"/>
        <w:numPr>
          <w:ilvl w:val="0"/>
          <w:numId w:val="3"/>
        </w:numPr>
        <w:suppressAutoHyphens/>
        <w:spacing w:line="480" w:lineRule="auto"/>
        <w:ind w:hanging="360"/>
        <w:jc w:val="both"/>
        <w:rPr>
          <w:spacing w:val="-3"/>
          <w:sz w:val="24"/>
          <w:szCs w:val="24"/>
        </w:rPr>
      </w:pPr>
      <w:r w:rsidRPr="00C36D26">
        <w:rPr>
          <w:spacing w:val="-3"/>
          <w:sz w:val="24"/>
          <w:szCs w:val="24"/>
        </w:rPr>
        <w:lastRenderedPageBreak/>
        <w:t xml:space="preserve">Plaintiff is entitled to full, </w:t>
      </w:r>
      <w:proofErr w:type="gramStart"/>
      <w:r w:rsidRPr="00C36D26">
        <w:rPr>
          <w:spacing w:val="-3"/>
          <w:sz w:val="24"/>
          <w:szCs w:val="24"/>
        </w:rPr>
        <w:t>complete</w:t>
      </w:r>
      <w:proofErr w:type="gramEnd"/>
      <w:r w:rsidRPr="00C36D26">
        <w:rPr>
          <w:spacing w:val="-3"/>
          <w:sz w:val="24"/>
          <w:szCs w:val="24"/>
        </w:rPr>
        <w:t xml:space="preserve"> and verified complete responses to the foregoing discovery requests as the same are relevant and material to the issues of this case and are not privileged.</w:t>
      </w:r>
      <w:r>
        <w:rPr>
          <w:spacing w:val="-3"/>
          <w:sz w:val="24"/>
          <w:szCs w:val="24"/>
        </w:rPr>
        <w:t xml:space="preserve"> Furthermore, Defendant have not met its burden of proving such documents being withheld are privilege. </w:t>
      </w:r>
    </w:p>
    <w:p w14:paraId="3DEA03C0" w14:textId="77777777" w:rsidR="003A7E72" w:rsidRDefault="003A7E72" w:rsidP="00BE742C">
      <w:pPr>
        <w:pStyle w:val="ListParagraph"/>
        <w:numPr>
          <w:ilvl w:val="0"/>
          <w:numId w:val="3"/>
        </w:numPr>
        <w:suppressAutoHyphens/>
        <w:spacing w:after="160" w:line="480" w:lineRule="auto"/>
        <w:ind w:hanging="360"/>
        <w:jc w:val="both"/>
        <w:rPr>
          <w:sz w:val="24"/>
          <w:szCs w:val="24"/>
        </w:rPr>
      </w:pPr>
      <w:r w:rsidRPr="00562B3A">
        <w:rPr>
          <w:sz w:val="24"/>
          <w:szCs w:val="24"/>
        </w:rPr>
        <w:t xml:space="preserve">It is well-settled that “under the work-product doctrine, documents prepared by or on behalf of a party </w:t>
      </w:r>
      <w:r w:rsidRPr="00562B3A">
        <w:rPr>
          <w:i/>
          <w:iCs/>
          <w:sz w:val="24"/>
          <w:szCs w:val="24"/>
        </w:rPr>
        <w:t xml:space="preserve">in anticipation of litigation </w:t>
      </w:r>
      <w:r w:rsidRPr="00562B3A">
        <w:rPr>
          <w:sz w:val="24"/>
          <w:szCs w:val="24"/>
        </w:rPr>
        <w:t xml:space="preserve">are not discoverable.” </w:t>
      </w:r>
      <w:r w:rsidRPr="00562B3A">
        <w:rPr>
          <w:sz w:val="24"/>
          <w:szCs w:val="24"/>
          <w:u w:val="single"/>
        </w:rPr>
        <w:t>Liberty Mut. Fire Ins. Co. v. Kaufman</w:t>
      </w:r>
      <w:r w:rsidRPr="00562B3A">
        <w:rPr>
          <w:sz w:val="24"/>
          <w:szCs w:val="24"/>
        </w:rPr>
        <w:t xml:space="preserve">, 885 So. 2d 905, 910 (Fla. 3d DCA 2004) (citing Fla. R. Civ. P. 1.280(b)(3)). </w:t>
      </w:r>
    </w:p>
    <w:p w14:paraId="559E9EE9" w14:textId="77777777" w:rsidR="003A7E72" w:rsidRDefault="003A7E72" w:rsidP="00BE742C">
      <w:pPr>
        <w:pStyle w:val="ListParagraph"/>
        <w:numPr>
          <w:ilvl w:val="0"/>
          <w:numId w:val="3"/>
        </w:numPr>
        <w:suppressAutoHyphens/>
        <w:spacing w:after="160" w:line="480" w:lineRule="auto"/>
        <w:ind w:hanging="360"/>
        <w:jc w:val="both"/>
        <w:rPr>
          <w:sz w:val="24"/>
          <w:szCs w:val="24"/>
        </w:rPr>
      </w:pPr>
      <w:r w:rsidRPr="00562B3A">
        <w:rPr>
          <w:sz w:val="24"/>
          <w:szCs w:val="24"/>
        </w:rPr>
        <w:t xml:space="preserve">However, it is equally established that the party asserting privilege has the burden to prove such a privilege should apply. </w:t>
      </w:r>
      <w:r w:rsidRPr="00562B3A">
        <w:rPr>
          <w:i/>
          <w:iCs/>
          <w:sz w:val="24"/>
          <w:szCs w:val="24"/>
        </w:rPr>
        <w:t>See, e.g.</w:t>
      </w:r>
      <w:r w:rsidRPr="00562B3A">
        <w:rPr>
          <w:sz w:val="24"/>
          <w:szCs w:val="24"/>
        </w:rPr>
        <w:t xml:space="preserve">, </w:t>
      </w:r>
      <w:r w:rsidRPr="00562B3A">
        <w:rPr>
          <w:sz w:val="24"/>
          <w:szCs w:val="24"/>
          <w:u w:val="single"/>
        </w:rPr>
        <w:t xml:space="preserve">Hartford Acc. &amp; </w:t>
      </w:r>
      <w:proofErr w:type="spellStart"/>
      <w:r w:rsidRPr="00562B3A">
        <w:rPr>
          <w:sz w:val="24"/>
          <w:szCs w:val="24"/>
          <w:u w:val="single"/>
        </w:rPr>
        <w:t>Indem</w:t>
      </w:r>
      <w:proofErr w:type="spellEnd"/>
      <w:r w:rsidRPr="00562B3A">
        <w:rPr>
          <w:sz w:val="24"/>
          <w:szCs w:val="24"/>
          <w:u w:val="single"/>
        </w:rPr>
        <w:t>. Co. v. McGann</w:t>
      </w:r>
      <w:r w:rsidRPr="00562B3A">
        <w:rPr>
          <w:i/>
          <w:iCs/>
          <w:sz w:val="24"/>
          <w:szCs w:val="24"/>
        </w:rPr>
        <w:t xml:space="preserve">, </w:t>
      </w:r>
      <w:r w:rsidRPr="00562B3A">
        <w:rPr>
          <w:sz w:val="24"/>
          <w:szCs w:val="24"/>
        </w:rPr>
        <w:t xml:space="preserve">402 So. 2d 1361, 1362 (Fla. 4th DCA 1981) (“If objection is made necessitating a court hearing, then in the case of a party objecting on grounds of the work product privilege, that party has the burden, first of showing the privilege.”); </w:t>
      </w:r>
      <w:r w:rsidRPr="00562B3A">
        <w:rPr>
          <w:i/>
          <w:iCs/>
          <w:sz w:val="24"/>
          <w:szCs w:val="24"/>
        </w:rPr>
        <w:t xml:space="preserve">see also </w:t>
      </w:r>
      <w:r w:rsidRPr="00562B3A">
        <w:rPr>
          <w:sz w:val="24"/>
          <w:szCs w:val="24"/>
          <w:u w:val="single"/>
        </w:rPr>
        <w:t>Kaufman</w:t>
      </w:r>
      <w:r w:rsidRPr="00562B3A">
        <w:rPr>
          <w:sz w:val="24"/>
          <w:szCs w:val="24"/>
        </w:rPr>
        <w:t xml:space="preserve">, 885 So. 2d at 910 (explaining that “the party objecting to the discovery ... maintains the burden to show that the materials were compiled in response to some event which foreseeably could be made the basis of a claim against the insurer”) (citation omitted). </w:t>
      </w:r>
      <w:r w:rsidRPr="00562B3A">
        <w:rPr>
          <w:b/>
          <w:bCs/>
          <w:sz w:val="24"/>
          <w:szCs w:val="24"/>
        </w:rPr>
        <w:t>And a party generally cannot carry this burden with a bare assertion that a specific document is held within its claim file.</w:t>
      </w:r>
      <w:r w:rsidRPr="00562B3A">
        <w:rPr>
          <w:sz w:val="24"/>
          <w:szCs w:val="24"/>
        </w:rPr>
        <w:t xml:space="preserve"> </w:t>
      </w:r>
      <w:r w:rsidRPr="00562B3A">
        <w:rPr>
          <w:sz w:val="24"/>
          <w:szCs w:val="24"/>
          <w:u w:val="single"/>
        </w:rPr>
        <w:t>Homeowners Choice Prop. &amp; Cas. Ins. Co. v. Avila</w:t>
      </w:r>
      <w:r w:rsidRPr="00562B3A">
        <w:rPr>
          <w:sz w:val="24"/>
          <w:szCs w:val="24"/>
        </w:rPr>
        <w:t>, 248So. 3d 180, 184 (Fla. 3d DCA 2018) (</w:t>
      </w:r>
      <w:r w:rsidRPr="00562B3A">
        <w:rPr>
          <w:i/>
          <w:iCs/>
          <w:sz w:val="24"/>
          <w:szCs w:val="24"/>
        </w:rPr>
        <w:t>finding there is no “claims file privilege</w:t>
      </w:r>
      <w:r w:rsidRPr="00562B3A">
        <w:rPr>
          <w:sz w:val="24"/>
          <w:szCs w:val="24"/>
        </w:rPr>
        <w:t>”).</w:t>
      </w:r>
    </w:p>
    <w:p w14:paraId="41433965" w14:textId="77777777" w:rsidR="003A7E72" w:rsidRPr="00970113" w:rsidRDefault="003A7E72" w:rsidP="00BE742C">
      <w:pPr>
        <w:pStyle w:val="ListParagraph"/>
        <w:numPr>
          <w:ilvl w:val="0"/>
          <w:numId w:val="3"/>
        </w:numPr>
        <w:suppressAutoHyphens/>
        <w:spacing w:after="160" w:line="480" w:lineRule="auto"/>
        <w:ind w:hanging="360"/>
        <w:jc w:val="both"/>
        <w:rPr>
          <w:sz w:val="24"/>
          <w:szCs w:val="24"/>
        </w:rPr>
      </w:pPr>
      <w:r w:rsidRPr="00970113">
        <w:rPr>
          <w:sz w:val="24"/>
          <w:szCs w:val="24"/>
          <w:shd w:val="clear" w:color="auto" w:fill="FFFFFF"/>
        </w:rPr>
        <w:t>Most courts agree that materials prepared, and information obtained in the routine and ordinary course of business, or pursuant to public requirements unrelated to litigation, are not entitled to protection.</w:t>
      </w:r>
      <w:r w:rsidRPr="00970113">
        <w:rPr>
          <w:sz w:val="24"/>
          <w:szCs w:val="24"/>
          <w:bdr w:val="none" w:sz="0" w:space="0" w:color="auto" w:frame="1"/>
          <w:shd w:val="clear" w:color="auto" w:fill="FFFFFF"/>
          <w:vertAlign w:val="superscript"/>
        </w:rPr>
        <w:t xml:space="preserve"> </w:t>
      </w:r>
      <w:r w:rsidRPr="00970113">
        <w:rPr>
          <w:sz w:val="24"/>
          <w:szCs w:val="24"/>
          <w:shd w:val="clear" w:color="auto" w:fill="FFFFFF"/>
        </w:rPr>
        <w:t xml:space="preserve">These courts generally accept the principle that the mere likelihood of litigation will not be enough to protect the materials and information from discovery. Thus, investigations and incident reports which follow an accident may not qualify as work product if they are required as part of the ordinary course of business. </w:t>
      </w:r>
    </w:p>
    <w:p w14:paraId="4AFDAEFC" w14:textId="77777777" w:rsidR="003A7E72" w:rsidRDefault="003A7E72" w:rsidP="00BE742C">
      <w:pPr>
        <w:pStyle w:val="ListParagraph"/>
        <w:numPr>
          <w:ilvl w:val="0"/>
          <w:numId w:val="3"/>
        </w:numPr>
        <w:suppressAutoHyphens/>
        <w:spacing w:after="160" w:line="480" w:lineRule="auto"/>
        <w:ind w:hanging="360"/>
        <w:jc w:val="both"/>
        <w:rPr>
          <w:sz w:val="24"/>
          <w:szCs w:val="24"/>
        </w:rPr>
      </w:pPr>
      <w:r w:rsidRPr="00E75A2A">
        <w:rPr>
          <w:spacing w:val="-3"/>
          <w:sz w:val="24"/>
          <w:szCs w:val="24"/>
        </w:rPr>
        <w:lastRenderedPageBreak/>
        <w:t>The 5</w:t>
      </w:r>
      <w:r w:rsidRPr="00E75A2A">
        <w:rPr>
          <w:spacing w:val="-3"/>
          <w:sz w:val="24"/>
          <w:szCs w:val="24"/>
          <w:vertAlign w:val="superscript"/>
        </w:rPr>
        <w:t>th</w:t>
      </w:r>
      <w:r w:rsidRPr="00E75A2A">
        <w:rPr>
          <w:spacing w:val="-3"/>
          <w:sz w:val="24"/>
          <w:szCs w:val="24"/>
        </w:rPr>
        <w:t xml:space="preserve"> DCA has held there is no such thing as a </w:t>
      </w:r>
      <w:r w:rsidRPr="00CB6459">
        <w:rPr>
          <w:b/>
          <w:bCs/>
          <w:spacing w:val="-3"/>
          <w:sz w:val="24"/>
          <w:szCs w:val="24"/>
        </w:rPr>
        <w:t>claim file privilege</w:t>
      </w:r>
      <w:r w:rsidRPr="00E75A2A">
        <w:rPr>
          <w:spacing w:val="-3"/>
          <w:sz w:val="24"/>
          <w:szCs w:val="24"/>
        </w:rPr>
        <w:t xml:space="preserve"> and categorical objections serving as the only basis for </w:t>
      </w:r>
      <w:r w:rsidRPr="00CB6459">
        <w:rPr>
          <w:b/>
          <w:bCs/>
          <w:spacing w:val="-3"/>
          <w:sz w:val="24"/>
          <w:szCs w:val="24"/>
        </w:rPr>
        <w:t>work product privilege</w:t>
      </w:r>
      <w:r w:rsidRPr="00E75A2A">
        <w:rPr>
          <w:spacing w:val="-3"/>
          <w:sz w:val="24"/>
          <w:szCs w:val="24"/>
        </w:rPr>
        <w:t xml:space="preserve"> is not sufficient. </w:t>
      </w:r>
      <w:r w:rsidRPr="00E75A2A">
        <w:rPr>
          <w:sz w:val="24"/>
          <w:szCs w:val="24"/>
          <w:u w:val="single"/>
        </w:rPr>
        <w:t>Avatar Property &amp; Casualty Insurance Company v. Simmons</w:t>
      </w:r>
      <w:r w:rsidRPr="00E75A2A">
        <w:rPr>
          <w:sz w:val="24"/>
          <w:szCs w:val="24"/>
        </w:rPr>
        <w:t>, 298 So.3d 1252 (Fla. 5</w:t>
      </w:r>
      <w:r w:rsidRPr="00E75A2A">
        <w:rPr>
          <w:sz w:val="24"/>
          <w:szCs w:val="24"/>
          <w:vertAlign w:val="superscript"/>
        </w:rPr>
        <w:t>th</w:t>
      </w:r>
      <w:r w:rsidRPr="00E75A2A">
        <w:rPr>
          <w:sz w:val="24"/>
          <w:szCs w:val="24"/>
        </w:rPr>
        <w:t xml:space="preserve"> DCA 2020).</w:t>
      </w:r>
      <w:r w:rsidRPr="00E75A2A">
        <w:rPr>
          <w:b/>
          <w:bCs/>
          <w:sz w:val="24"/>
          <w:szCs w:val="24"/>
        </w:rPr>
        <w:t xml:space="preserve"> </w:t>
      </w:r>
      <w:r w:rsidRPr="00CB6459">
        <w:rPr>
          <w:sz w:val="24"/>
          <w:szCs w:val="24"/>
        </w:rPr>
        <w:t>The 5</w:t>
      </w:r>
      <w:r w:rsidRPr="00CB6459">
        <w:rPr>
          <w:sz w:val="24"/>
          <w:szCs w:val="24"/>
          <w:vertAlign w:val="superscript"/>
        </w:rPr>
        <w:t>th</w:t>
      </w:r>
      <w:r w:rsidRPr="00CB6459">
        <w:rPr>
          <w:sz w:val="24"/>
          <w:szCs w:val="24"/>
        </w:rPr>
        <w:t xml:space="preserve"> DCA</w:t>
      </w:r>
      <w:r>
        <w:rPr>
          <w:b/>
          <w:bCs/>
          <w:sz w:val="24"/>
          <w:szCs w:val="24"/>
        </w:rPr>
        <w:t xml:space="preserve"> </w:t>
      </w:r>
      <w:r>
        <w:rPr>
          <w:sz w:val="24"/>
          <w:szCs w:val="24"/>
        </w:rPr>
        <w:t>ordered</w:t>
      </w:r>
      <w:r>
        <w:rPr>
          <w:b/>
          <w:bCs/>
          <w:sz w:val="24"/>
          <w:szCs w:val="24"/>
        </w:rPr>
        <w:t xml:space="preserve"> </w:t>
      </w:r>
      <w:r w:rsidRPr="00F5369C">
        <w:rPr>
          <w:sz w:val="24"/>
          <w:szCs w:val="24"/>
        </w:rPr>
        <w:t>Avatar Property &amp; Casualty Insurance Company</w:t>
      </w:r>
      <w:r>
        <w:rPr>
          <w:sz w:val="24"/>
          <w:szCs w:val="24"/>
        </w:rPr>
        <w:t xml:space="preserve"> to turn over photographs within the insurers clam file after the </w:t>
      </w:r>
      <w:r w:rsidRPr="004759EB">
        <w:rPr>
          <w:sz w:val="24"/>
          <w:szCs w:val="24"/>
        </w:rPr>
        <w:t xml:space="preserve">insurer </w:t>
      </w:r>
      <w:r>
        <w:rPr>
          <w:sz w:val="24"/>
          <w:szCs w:val="24"/>
        </w:rPr>
        <w:t xml:space="preserve">did not meet its burden of </w:t>
      </w:r>
      <w:r w:rsidRPr="004759EB">
        <w:rPr>
          <w:sz w:val="24"/>
          <w:szCs w:val="24"/>
        </w:rPr>
        <w:t>prov</w:t>
      </w:r>
      <w:r>
        <w:rPr>
          <w:sz w:val="24"/>
          <w:szCs w:val="24"/>
        </w:rPr>
        <w:t>ing</w:t>
      </w:r>
      <w:r w:rsidRPr="004759EB">
        <w:rPr>
          <w:sz w:val="24"/>
          <w:szCs w:val="24"/>
        </w:rPr>
        <w:t xml:space="preserve"> that work-product privilege applied to </w:t>
      </w:r>
      <w:r>
        <w:rPr>
          <w:sz w:val="24"/>
          <w:szCs w:val="24"/>
        </w:rPr>
        <w:t xml:space="preserve">the </w:t>
      </w:r>
      <w:r w:rsidRPr="004759EB">
        <w:rPr>
          <w:sz w:val="24"/>
          <w:szCs w:val="24"/>
        </w:rPr>
        <w:t>photographs</w:t>
      </w:r>
      <w:r>
        <w:rPr>
          <w:sz w:val="24"/>
          <w:szCs w:val="24"/>
        </w:rPr>
        <w:t>. The carrier</w:t>
      </w:r>
      <w:r w:rsidRPr="004759EB">
        <w:rPr>
          <w:sz w:val="24"/>
          <w:szCs w:val="24"/>
        </w:rPr>
        <w:t xml:space="preserve"> never attempted to demonstrate</w:t>
      </w:r>
      <w:r>
        <w:rPr>
          <w:sz w:val="24"/>
          <w:szCs w:val="24"/>
        </w:rPr>
        <w:t xml:space="preserve"> </w:t>
      </w:r>
      <w:r w:rsidRPr="004759EB">
        <w:rPr>
          <w:sz w:val="24"/>
          <w:szCs w:val="24"/>
        </w:rPr>
        <w:t>that photographs were prepared in anticipation of litigation and did not attempt to establish basis for work-product</w:t>
      </w:r>
      <w:r>
        <w:rPr>
          <w:sz w:val="24"/>
          <w:szCs w:val="24"/>
        </w:rPr>
        <w:t xml:space="preserve"> </w:t>
      </w:r>
      <w:r w:rsidRPr="004759EB">
        <w:rPr>
          <w:sz w:val="24"/>
          <w:szCs w:val="24"/>
        </w:rPr>
        <w:t>privilege with documentary evidence, such as a supporting affidavit</w:t>
      </w:r>
      <w:r>
        <w:rPr>
          <w:sz w:val="24"/>
          <w:szCs w:val="24"/>
        </w:rPr>
        <w:t xml:space="preserve">. </w:t>
      </w:r>
      <w:r w:rsidRPr="00562B3A">
        <w:rPr>
          <w:sz w:val="24"/>
          <w:szCs w:val="24"/>
          <w:u w:val="single"/>
        </w:rPr>
        <w:t>Id</w:t>
      </w:r>
      <w:r>
        <w:rPr>
          <w:sz w:val="24"/>
          <w:szCs w:val="24"/>
        </w:rPr>
        <w:t xml:space="preserve">. </w:t>
      </w:r>
    </w:p>
    <w:p w14:paraId="012EC47B" w14:textId="77777777" w:rsidR="003A7E72" w:rsidRDefault="003A7E72" w:rsidP="00BE742C">
      <w:pPr>
        <w:pStyle w:val="ListParagraph"/>
        <w:numPr>
          <w:ilvl w:val="0"/>
          <w:numId w:val="3"/>
        </w:numPr>
        <w:suppressAutoHyphens/>
        <w:spacing w:after="160" w:line="480" w:lineRule="auto"/>
        <w:ind w:hanging="360"/>
        <w:jc w:val="both"/>
        <w:rPr>
          <w:sz w:val="24"/>
          <w:szCs w:val="24"/>
        </w:rPr>
      </w:pPr>
      <w:r w:rsidRPr="0038179E">
        <w:rPr>
          <w:sz w:val="24"/>
          <w:szCs w:val="24"/>
        </w:rPr>
        <w:t xml:space="preserve">Generally, an insurer’s claim file constitutes work product and is protected from discovery </w:t>
      </w:r>
      <w:r w:rsidRPr="00E2562E">
        <w:rPr>
          <w:b/>
          <w:bCs/>
          <w:sz w:val="24"/>
          <w:szCs w:val="24"/>
        </w:rPr>
        <w:t>prior to a determination of coverage</w:t>
      </w:r>
      <w:r w:rsidRPr="00620678">
        <w:rPr>
          <w:sz w:val="24"/>
          <w:szCs w:val="24"/>
        </w:rPr>
        <w:t xml:space="preserve">. </w:t>
      </w:r>
      <w:r w:rsidRPr="00620678">
        <w:rPr>
          <w:sz w:val="24"/>
          <w:szCs w:val="24"/>
          <w:u w:val="single"/>
        </w:rPr>
        <w:t>Superior Ins. Co. v. Holden</w:t>
      </w:r>
      <w:r w:rsidRPr="00620678">
        <w:rPr>
          <w:sz w:val="24"/>
          <w:szCs w:val="24"/>
        </w:rPr>
        <w:t xml:space="preserve">, 642 So. 2d [1139,] 1140 </w:t>
      </w:r>
      <w:r>
        <w:rPr>
          <w:sz w:val="24"/>
          <w:szCs w:val="24"/>
        </w:rPr>
        <w:t>(</w:t>
      </w:r>
      <w:r w:rsidRPr="00620678">
        <w:rPr>
          <w:sz w:val="24"/>
          <w:szCs w:val="24"/>
        </w:rPr>
        <w:t>Fla. 4th DCA 1994</w:t>
      </w:r>
      <w:r>
        <w:rPr>
          <w:sz w:val="24"/>
          <w:szCs w:val="24"/>
        </w:rPr>
        <w:t>)</w:t>
      </w:r>
      <w:r w:rsidRPr="00620678">
        <w:rPr>
          <w:sz w:val="24"/>
          <w:szCs w:val="24"/>
        </w:rPr>
        <w:t>.</w:t>
      </w:r>
    </w:p>
    <w:p w14:paraId="7A34485F" w14:textId="77777777" w:rsidR="003A7E72" w:rsidRPr="00E2562E" w:rsidRDefault="003A7E72" w:rsidP="00BE742C">
      <w:pPr>
        <w:pStyle w:val="ListParagraph"/>
        <w:numPr>
          <w:ilvl w:val="0"/>
          <w:numId w:val="3"/>
        </w:numPr>
        <w:suppressAutoHyphens/>
        <w:spacing w:after="160" w:line="480" w:lineRule="auto"/>
        <w:ind w:hanging="360"/>
        <w:jc w:val="both"/>
        <w:rPr>
          <w:sz w:val="24"/>
          <w:szCs w:val="24"/>
        </w:rPr>
      </w:pPr>
      <w:r w:rsidRPr="00F5369C">
        <w:rPr>
          <w:sz w:val="24"/>
          <w:szCs w:val="24"/>
          <w:shd w:val="clear" w:color="auto" w:fill="FFFFFF"/>
        </w:rPr>
        <w:t xml:space="preserve">In the alternative, if the court find the request documents are privilege, Plaintiff request an </w:t>
      </w:r>
      <w:r>
        <w:rPr>
          <w:sz w:val="24"/>
          <w:szCs w:val="24"/>
          <w:shd w:val="clear" w:color="auto" w:fill="FFFFFF"/>
        </w:rPr>
        <w:t>in-camera</w:t>
      </w:r>
      <w:r w:rsidRPr="00F5369C">
        <w:rPr>
          <w:sz w:val="24"/>
          <w:szCs w:val="24"/>
          <w:shd w:val="clear" w:color="auto" w:fill="FFFFFF"/>
        </w:rPr>
        <w:t xml:space="preserve"> inspection. “When a party asserts the work-product privilege, Florida law requires that the trial court hold an in-camera inspection of the discovery at issue in order to rule on the applicability of the privilege.” </w:t>
      </w:r>
      <w:r w:rsidRPr="00E2562E">
        <w:rPr>
          <w:rStyle w:val="Emphasis"/>
          <w:sz w:val="24"/>
          <w:szCs w:val="24"/>
          <w:u w:val="single"/>
          <w:bdr w:val="none" w:sz="0" w:space="0" w:color="auto" w:frame="1"/>
          <w:shd w:val="clear" w:color="auto" w:fill="FFFFFF"/>
        </w:rPr>
        <w:t>Marshalls of M.A., Inc. v. Witter</w:t>
      </w:r>
      <w:r w:rsidRPr="00E2562E">
        <w:rPr>
          <w:sz w:val="24"/>
          <w:szCs w:val="24"/>
          <w:shd w:val="clear" w:color="auto" w:fill="FFFFFF"/>
        </w:rPr>
        <w:t>, No. 3D15-2685, 2016 WL 403212, at *1 (Fla.</w:t>
      </w:r>
      <w:r>
        <w:rPr>
          <w:sz w:val="24"/>
          <w:szCs w:val="24"/>
          <w:shd w:val="clear" w:color="auto" w:fill="FFFFFF"/>
        </w:rPr>
        <w:t xml:space="preserve"> 3rd</w:t>
      </w:r>
      <w:r w:rsidRPr="00E2562E">
        <w:rPr>
          <w:sz w:val="24"/>
          <w:szCs w:val="24"/>
          <w:shd w:val="clear" w:color="auto" w:fill="FFFFFF"/>
        </w:rPr>
        <w:t xml:space="preserve"> DCA 2016)</w:t>
      </w:r>
      <w:r>
        <w:rPr>
          <w:sz w:val="24"/>
          <w:szCs w:val="24"/>
          <w:shd w:val="clear" w:color="auto" w:fill="FFFFFF"/>
        </w:rPr>
        <w:t xml:space="preserve"> </w:t>
      </w:r>
      <w:r w:rsidRPr="00E2562E">
        <w:rPr>
          <w:sz w:val="24"/>
          <w:szCs w:val="24"/>
          <w:shd w:val="clear" w:color="auto" w:fill="FFFFFF"/>
        </w:rPr>
        <w:t>A trial court’s failure to conduct an in-camera inspection will constitute a departure from the essential requirements of the law.</w:t>
      </w:r>
      <w:r>
        <w:rPr>
          <w:sz w:val="24"/>
          <w:szCs w:val="24"/>
          <w:shd w:val="clear" w:color="auto" w:fill="FFFFFF"/>
        </w:rPr>
        <w:t xml:space="preserve"> </w:t>
      </w:r>
      <w:r w:rsidRPr="00E2562E">
        <w:rPr>
          <w:sz w:val="24"/>
          <w:szCs w:val="24"/>
          <w:u w:val="single"/>
          <w:shd w:val="clear" w:color="auto" w:fill="FFFFFF"/>
        </w:rPr>
        <w:t>Id</w:t>
      </w:r>
      <w:r>
        <w:rPr>
          <w:sz w:val="24"/>
          <w:szCs w:val="24"/>
          <w:shd w:val="clear" w:color="auto" w:fill="FFFFFF"/>
        </w:rPr>
        <w:t>.</w:t>
      </w:r>
    </w:p>
    <w:p w14:paraId="42C94C5D" w14:textId="77777777" w:rsidR="003A7E72" w:rsidRPr="0038179E" w:rsidRDefault="003A7E72" w:rsidP="003A7E72">
      <w:pPr>
        <w:suppressAutoHyphens/>
        <w:spacing w:line="480" w:lineRule="auto"/>
        <w:ind w:firstLine="720"/>
        <w:jc w:val="both"/>
        <w:rPr>
          <w:spacing w:val="-3"/>
          <w:sz w:val="24"/>
          <w:szCs w:val="24"/>
        </w:rPr>
      </w:pPr>
      <w:r w:rsidRPr="0038179E">
        <w:rPr>
          <w:sz w:val="24"/>
          <w:szCs w:val="24"/>
        </w:rPr>
        <w:t xml:space="preserve">WHEREFORE, </w:t>
      </w:r>
      <w:r w:rsidRPr="0038179E">
        <w:rPr>
          <w:sz w:val="24"/>
        </w:rPr>
        <w:t>Plaintiff</w:t>
      </w:r>
      <w:r w:rsidRPr="0038179E">
        <w:rPr>
          <w:sz w:val="24"/>
          <w:szCs w:val="24"/>
        </w:rPr>
        <w:t xml:space="preserve">, </w:t>
      </w:r>
      <w:r w:rsidRPr="00B6159E">
        <w:rPr>
          <w:sz w:val="24"/>
          <w:szCs w:val="24"/>
        </w:rPr>
        <w:t>&lt;&lt;PROVIDER_SUITNAME&gt;&gt;</w:t>
      </w:r>
      <w:r w:rsidRPr="0038179E">
        <w:rPr>
          <w:sz w:val="24"/>
        </w:rPr>
        <w:t xml:space="preserve">, </w:t>
      </w:r>
      <w:r w:rsidRPr="0038179E">
        <w:rPr>
          <w:spacing w:val="-3"/>
          <w:sz w:val="24"/>
          <w:szCs w:val="24"/>
        </w:rPr>
        <w:t xml:space="preserve">requests the Court to enter an Order to compel Defendant, </w:t>
      </w:r>
      <w:r w:rsidRPr="00B6159E">
        <w:rPr>
          <w:sz w:val="24"/>
          <w:szCs w:val="24"/>
        </w:rPr>
        <w:t>&lt;&lt;INSURANCECOMPANY_SUITNAME&gt;&gt;</w:t>
      </w:r>
      <w:r w:rsidRPr="0038179E">
        <w:rPr>
          <w:spacing w:val="-3"/>
          <w:sz w:val="24"/>
          <w:szCs w:val="24"/>
        </w:rPr>
        <w:t>, to file better responses to the discovery, overrule the Defendant’s objections referenced herein, file verified response to interrogatories or in the alternative grant Plaintiff’s request for an on-camera inspection and grant such other further relief that is just and appropriate under the circumstances.</w:t>
      </w:r>
    </w:p>
    <w:p w14:paraId="3F8367B9" w14:textId="77777777" w:rsidR="003A7E72" w:rsidRPr="00C3187B" w:rsidRDefault="003A7E72" w:rsidP="003A7E72">
      <w:pPr>
        <w:suppressAutoHyphens/>
        <w:spacing w:line="480" w:lineRule="auto"/>
        <w:jc w:val="center"/>
        <w:rPr>
          <w:b/>
          <w:sz w:val="24"/>
          <w:szCs w:val="24"/>
          <w:u w:val="single"/>
        </w:rPr>
      </w:pPr>
      <w:r w:rsidRPr="00C3187B">
        <w:rPr>
          <w:b/>
          <w:sz w:val="24"/>
          <w:szCs w:val="24"/>
          <w:u w:val="single"/>
        </w:rPr>
        <w:t>CERTIFICATE OF SERVICE</w:t>
      </w:r>
    </w:p>
    <w:p w14:paraId="2F2EF92D" w14:textId="77777777" w:rsidR="003A7E72" w:rsidRPr="00C3187B" w:rsidRDefault="003A7E72" w:rsidP="003A7E72">
      <w:pPr>
        <w:keepNext/>
        <w:spacing w:line="480" w:lineRule="auto"/>
        <w:ind w:firstLine="720"/>
        <w:jc w:val="both"/>
        <w:rPr>
          <w:sz w:val="24"/>
          <w:szCs w:val="24"/>
        </w:rPr>
      </w:pPr>
      <w:r w:rsidRPr="00C3187B">
        <w:rPr>
          <w:sz w:val="24"/>
          <w:szCs w:val="24"/>
        </w:rPr>
        <w:lastRenderedPageBreak/>
        <w:t xml:space="preserve">I HEREBY CERTIFY that on </w:t>
      </w:r>
      <w:r w:rsidRPr="00C3187B">
        <w:rPr>
          <w:sz w:val="24"/>
          <w:szCs w:val="24"/>
        </w:rPr>
        <w:fldChar w:fldCharType="begin"/>
      </w:r>
      <w:r w:rsidRPr="00C3187B">
        <w:rPr>
          <w:sz w:val="24"/>
          <w:szCs w:val="24"/>
        </w:rPr>
        <w:instrText xml:space="preserve"> DATE \@ "MMMM d, yyyy" </w:instrText>
      </w:r>
      <w:r w:rsidRPr="00C3187B">
        <w:rPr>
          <w:sz w:val="24"/>
          <w:szCs w:val="24"/>
        </w:rPr>
        <w:fldChar w:fldCharType="separate"/>
      </w:r>
      <w:r>
        <w:rPr>
          <w:noProof/>
          <w:sz w:val="24"/>
          <w:szCs w:val="24"/>
        </w:rPr>
        <w:t>February 19, 2022</w:t>
      </w:r>
      <w:r w:rsidRPr="00C3187B">
        <w:rPr>
          <w:sz w:val="24"/>
          <w:szCs w:val="24"/>
        </w:rPr>
        <w:fldChar w:fldCharType="end"/>
      </w:r>
      <w:r w:rsidRPr="00C3187B">
        <w:rPr>
          <w:sz w:val="24"/>
          <w:szCs w:val="24"/>
        </w:rPr>
        <w:t>, a true and correct copy of the foregoing was filed and served on the Defendant through Florida Courts E-Filing Portal.</w:t>
      </w:r>
    </w:p>
    <w:p w14:paraId="381A0C70" w14:textId="77777777" w:rsidR="003A7E72" w:rsidRPr="00E2562E" w:rsidRDefault="003A7E72" w:rsidP="003A7E72">
      <w:pPr>
        <w:suppressAutoHyphens/>
        <w:ind w:left="4320" w:firstLine="720"/>
        <w:jc w:val="both"/>
        <w:rPr>
          <w:sz w:val="24"/>
          <w:szCs w:val="24"/>
          <w:lang w:eastAsia="x-none"/>
        </w:rPr>
      </w:pPr>
      <w:r w:rsidRPr="00E2562E">
        <w:rPr>
          <w:b/>
          <w:bCs/>
          <w:sz w:val="24"/>
          <w:szCs w:val="24"/>
          <w:lang w:eastAsia="x-none"/>
        </w:rPr>
        <w:t>Florida Insurance Law Group</w:t>
      </w:r>
      <w:r w:rsidRPr="00E2562E">
        <w:rPr>
          <w:b/>
          <w:bCs/>
          <w:sz w:val="24"/>
          <w:szCs w:val="24"/>
          <w:lang w:val="x-none" w:eastAsia="x-none"/>
        </w:rPr>
        <w:t xml:space="preserve">, </w:t>
      </w:r>
      <w:r w:rsidRPr="00E2562E">
        <w:rPr>
          <w:b/>
          <w:bCs/>
          <w:sz w:val="24"/>
          <w:szCs w:val="24"/>
          <w:lang w:eastAsia="x-none"/>
        </w:rPr>
        <w:t>LLC</w:t>
      </w:r>
    </w:p>
    <w:p w14:paraId="5A5BFD67" w14:textId="77777777" w:rsidR="003A7E72" w:rsidRPr="00E2562E" w:rsidRDefault="003A7E72" w:rsidP="003A7E72">
      <w:pPr>
        <w:suppressAutoHyphens/>
        <w:ind w:left="4320" w:firstLine="720"/>
        <w:jc w:val="both"/>
        <w:rPr>
          <w:sz w:val="24"/>
          <w:szCs w:val="24"/>
          <w:lang w:eastAsia="x-none"/>
        </w:rPr>
      </w:pPr>
      <w:r w:rsidRPr="00E2562E">
        <w:rPr>
          <w:sz w:val="24"/>
          <w:szCs w:val="24"/>
          <w:lang w:eastAsia="x-none"/>
        </w:rPr>
        <w:t>8724 Sunset Drive. #260, Miami, FL 33173</w:t>
      </w:r>
      <w:r w:rsidRPr="00E2562E">
        <w:rPr>
          <w:sz w:val="24"/>
          <w:szCs w:val="24"/>
          <w:lang w:eastAsia="x-none"/>
        </w:rPr>
        <w:tab/>
      </w:r>
    </w:p>
    <w:p w14:paraId="161534A8" w14:textId="77777777" w:rsidR="003A7E72" w:rsidRPr="00E2562E" w:rsidRDefault="003A7E72" w:rsidP="003A7E72">
      <w:pPr>
        <w:suppressAutoHyphens/>
        <w:ind w:left="4320" w:firstLine="720"/>
        <w:jc w:val="both"/>
        <w:rPr>
          <w:sz w:val="24"/>
          <w:szCs w:val="24"/>
          <w:lang w:eastAsia="x-none"/>
        </w:rPr>
      </w:pPr>
      <w:r w:rsidRPr="00E2562E">
        <w:rPr>
          <w:sz w:val="24"/>
          <w:szCs w:val="24"/>
          <w:lang w:eastAsia="x-none"/>
        </w:rPr>
        <w:t>Tel. (305) 906-4262</w:t>
      </w:r>
    </w:p>
    <w:p w14:paraId="4691DB83" w14:textId="77777777" w:rsidR="003A7E72" w:rsidRPr="00E2562E" w:rsidRDefault="003A7E72" w:rsidP="003A7E72">
      <w:pPr>
        <w:suppressAutoHyphens/>
        <w:ind w:left="4320" w:firstLine="720"/>
        <w:jc w:val="both"/>
        <w:rPr>
          <w:rFonts w:ascii="Freestyle Script" w:hAnsi="Freestyle Script"/>
          <w:color w:val="0070C0"/>
          <w:sz w:val="56"/>
          <w:szCs w:val="56"/>
          <w:lang w:val="es-ES" w:eastAsia="x-none"/>
        </w:rPr>
      </w:pPr>
      <w:r w:rsidRPr="00E2562E">
        <w:rPr>
          <w:rFonts w:ascii="Freestyle Script" w:eastAsia="Calibri" w:hAnsi="Freestyle Script"/>
          <w:noProof/>
          <w:color w:val="0070C0"/>
          <w:sz w:val="56"/>
          <w:szCs w:val="56"/>
        </w:rPr>
        <w:t>Laxavier Simmons</w:t>
      </w:r>
    </w:p>
    <w:p w14:paraId="649EF932" w14:textId="77777777" w:rsidR="003A7E72" w:rsidRPr="00E2562E" w:rsidRDefault="003A7E72" w:rsidP="003A7E72">
      <w:pPr>
        <w:suppressAutoHyphens/>
        <w:ind w:left="5040"/>
        <w:jc w:val="both"/>
        <w:rPr>
          <w:sz w:val="24"/>
          <w:szCs w:val="24"/>
          <w:lang w:val="es-ES" w:eastAsia="x-none"/>
        </w:rPr>
      </w:pPr>
      <w:r w:rsidRPr="00E2562E">
        <w:rPr>
          <w:sz w:val="24"/>
          <w:szCs w:val="24"/>
          <w:lang w:val="es-ES" w:eastAsia="x-none"/>
        </w:rPr>
        <w:t>Laxavier Simmons, Esq.</w:t>
      </w:r>
    </w:p>
    <w:p w14:paraId="41CACD61" w14:textId="77777777" w:rsidR="003A7E72" w:rsidRPr="00E2562E" w:rsidRDefault="003A7E72" w:rsidP="003A7E72">
      <w:pPr>
        <w:suppressAutoHyphens/>
        <w:ind w:left="4320" w:firstLine="720"/>
        <w:jc w:val="both"/>
        <w:rPr>
          <w:sz w:val="24"/>
          <w:szCs w:val="24"/>
          <w:lang w:val="es-US" w:eastAsia="x-none"/>
        </w:rPr>
      </w:pPr>
      <w:r w:rsidRPr="00E2562E">
        <w:rPr>
          <w:sz w:val="24"/>
          <w:szCs w:val="24"/>
          <w:lang w:val="es-US" w:eastAsia="x-none"/>
        </w:rPr>
        <w:t>Fla. Bar No. 1015938</w:t>
      </w:r>
    </w:p>
    <w:p w14:paraId="1C35D064" w14:textId="77777777" w:rsidR="003A7E72" w:rsidRPr="00E2562E" w:rsidRDefault="003A7E72" w:rsidP="003A7E72">
      <w:pPr>
        <w:suppressAutoHyphens/>
        <w:ind w:left="4320" w:firstLine="720"/>
        <w:jc w:val="both"/>
        <w:rPr>
          <w:color w:val="0563C1"/>
          <w:sz w:val="24"/>
          <w:szCs w:val="24"/>
          <w:u w:val="single"/>
          <w:lang w:val="es-US"/>
        </w:rPr>
      </w:pPr>
      <w:hyperlink r:id="rId7" w:history="1">
        <w:r w:rsidRPr="00E2562E">
          <w:rPr>
            <w:color w:val="0563C1"/>
            <w:sz w:val="24"/>
            <w:szCs w:val="24"/>
            <w:u w:val="single"/>
            <w:lang w:val="es-US"/>
          </w:rPr>
          <w:t>Pleadings@flinslaw.com</w:t>
        </w:r>
      </w:hyperlink>
    </w:p>
    <w:p w14:paraId="5788511C" w14:textId="77777777" w:rsidR="003A7E72" w:rsidRPr="00E2562E" w:rsidRDefault="003A7E72" w:rsidP="003A7E72">
      <w:pPr>
        <w:suppressAutoHyphens/>
        <w:ind w:left="4320" w:firstLine="720"/>
        <w:jc w:val="both"/>
        <w:rPr>
          <w:color w:val="0563C1"/>
          <w:sz w:val="24"/>
          <w:szCs w:val="24"/>
          <w:u w:val="single"/>
          <w:lang w:val="es-US" w:eastAsia="x-none"/>
        </w:rPr>
      </w:pPr>
      <w:hyperlink r:id="rId8" w:history="1">
        <w:r w:rsidRPr="00E2562E">
          <w:rPr>
            <w:color w:val="0563C1" w:themeColor="hyperlink"/>
            <w:sz w:val="24"/>
            <w:szCs w:val="24"/>
            <w:u w:val="single"/>
            <w:lang w:val="es-US"/>
          </w:rPr>
          <w:t>Laxavier@flinslaw.com</w:t>
        </w:r>
      </w:hyperlink>
      <w:r w:rsidRPr="00E2562E">
        <w:rPr>
          <w:color w:val="0563C1"/>
          <w:sz w:val="24"/>
          <w:szCs w:val="24"/>
          <w:u w:val="single"/>
          <w:lang w:val="es-US"/>
        </w:rPr>
        <w:t xml:space="preserve"> </w:t>
      </w:r>
    </w:p>
    <w:p w14:paraId="239C95A3" w14:textId="77777777" w:rsidR="003A7E72" w:rsidRPr="00C3187B" w:rsidRDefault="003A7E72" w:rsidP="003A7E72"/>
    <w:p w14:paraId="4925485C" w14:textId="77777777" w:rsidR="003A7E72" w:rsidRDefault="003A7E72" w:rsidP="003A7E72"/>
    <w:p w14:paraId="393CD3A4" w14:textId="5F5B1EA7" w:rsidR="006A6D77" w:rsidRPr="003A7E72" w:rsidRDefault="006A6D77" w:rsidP="003A7E72"/>
    <w:sectPr w:rsidR="006A6D77" w:rsidRPr="003A7E72">
      <w:footerReference w:type="default" r:id="rId9"/>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FEB62" w14:textId="77777777" w:rsidR="00BE742C" w:rsidRDefault="00BE742C" w:rsidP="001F3B28">
      <w:r>
        <w:separator/>
      </w:r>
    </w:p>
  </w:endnote>
  <w:endnote w:type="continuationSeparator" w:id="0">
    <w:p w14:paraId="1F841C70" w14:textId="77777777" w:rsidR="00BE742C" w:rsidRDefault="00BE742C"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reestyle Script">
    <w:panose1 w:val="030804020302050B04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0492"/>
      <w:docPartObj>
        <w:docPartGallery w:val="Page Numbers (Bottom of Page)"/>
        <w:docPartUnique/>
      </w:docPartObj>
    </w:sdtPr>
    <w:sdtEndPr>
      <w:rPr>
        <w:noProof/>
      </w:rPr>
    </w:sdtEndPr>
    <w:sdtContent>
      <w:p w14:paraId="657E7706" w14:textId="77777777" w:rsidR="00246ED5" w:rsidRDefault="00725B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FA9208F" w14:textId="77777777" w:rsidR="00CE0304" w:rsidRDefault="00BE7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D3BF6" w14:textId="77777777" w:rsidR="00BE742C" w:rsidRDefault="00BE742C" w:rsidP="001F3B28">
      <w:r>
        <w:separator/>
      </w:r>
    </w:p>
  </w:footnote>
  <w:footnote w:type="continuationSeparator" w:id="0">
    <w:p w14:paraId="7B9BA8E8" w14:textId="77777777" w:rsidR="00BE742C" w:rsidRDefault="00BE742C"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abstractNum w:abstractNumId="1" w15:restartNumberingAfterBreak="0">
    <w:nsid w:val="229E30F6"/>
    <w:multiLevelType w:val="hybridMultilevel"/>
    <w:tmpl w:val="1FEE7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3309E1"/>
    <w:multiLevelType w:val="hybridMultilevel"/>
    <w:tmpl w:val="9EA248EA"/>
    <w:lvl w:ilvl="0" w:tplc="1982DCCA">
      <w:start w:val="1"/>
      <w:numFmt w:val="decimal"/>
      <w:lvlText w:val="%1."/>
      <w:lvlJc w:val="left"/>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274A2"/>
    <w:rsid w:val="00034833"/>
    <w:rsid w:val="00056FCE"/>
    <w:rsid w:val="00076895"/>
    <w:rsid w:val="000C6A5F"/>
    <w:rsid w:val="000F6DDA"/>
    <w:rsid w:val="00116064"/>
    <w:rsid w:val="00122C19"/>
    <w:rsid w:val="001379DB"/>
    <w:rsid w:val="00143B0C"/>
    <w:rsid w:val="001519A7"/>
    <w:rsid w:val="0015630D"/>
    <w:rsid w:val="00180ABD"/>
    <w:rsid w:val="001A575C"/>
    <w:rsid w:val="001C546E"/>
    <w:rsid w:val="001E56E0"/>
    <w:rsid w:val="001F3B28"/>
    <w:rsid w:val="00273C84"/>
    <w:rsid w:val="00282825"/>
    <w:rsid w:val="0028323D"/>
    <w:rsid w:val="00293A4C"/>
    <w:rsid w:val="0029482B"/>
    <w:rsid w:val="002A21AB"/>
    <w:rsid w:val="002B17D5"/>
    <w:rsid w:val="002B7CC3"/>
    <w:rsid w:val="002C3769"/>
    <w:rsid w:val="002E5FFF"/>
    <w:rsid w:val="00305522"/>
    <w:rsid w:val="00322D4C"/>
    <w:rsid w:val="00326768"/>
    <w:rsid w:val="00331D40"/>
    <w:rsid w:val="00334794"/>
    <w:rsid w:val="00343FAC"/>
    <w:rsid w:val="0037409B"/>
    <w:rsid w:val="003A315D"/>
    <w:rsid w:val="003A7E72"/>
    <w:rsid w:val="003C122A"/>
    <w:rsid w:val="003D5FA0"/>
    <w:rsid w:val="003F6114"/>
    <w:rsid w:val="004133E9"/>
    <w:rsid w:val="00422939"/>
    <w:rsid w:val="004839DC"/>
    <w:rsid w:val="00484DB0"/>
    <w:rsid w:val="004A04BF"/>
    <w:rsid w:val="004B436D"/>
    <w:rsid w:val="004C4EE3"/>
    <w:rsid w:val="00506324"/>
    <w:rsid w:val="00511039"/>
    <w:rsid w:val="00512227"/>
    <w:rsid w:val="00514516"/>
    <w:rsid w:val="00516260"/>
    <w:rsid w:val="0056558B"/>
    <w:rsid w:val="005B6359"/>
    <w:rsid w:val="005E0685"/>
    <w:rsid w:val="00602655"/>
    <w:rsid w:val="00607ED5"/>
    <w:rsid w:val="0063368A"/>
    <w:rsid w:val="0064653C"/>
    <w:rsid w:val="00647AB4"/>
    <w:rsid w:val="00690F93"/>
    <w:rsid w:val="006A4D67"/>
    <w:rsid w:val="006A6D77"/>
    <w:rsid w:val="006A7332"/>
    <w:rsid w:val="006E3EBF"/>
    <w:rsid w:val="007000F3"/>
    <w:rsid w:val="00725BC6"/>
    <w:rsid w:val="00737C12"/>
    <w:rsid w:val="0074558A"/>
    <w:rsid w:val="00786EDB"/>
    <w:rsid w:val="00793F47"/>
    <w:rsid w:val="007A0A71"/>
    <w:rsid w:val="007A399B"/>
    <w:rsid w:val="007D3D81"/>
    <w:rsid w:val="007E5232"/>
    <w:rsid w:val="007F658E"/>
    <w:rsid w:val="008057A3"/>
    <w:rsid w:val="00880271"/>
    <w:rsid w:val="008A3F05"/>
    <w:rsid w:val="008C0A76"/>
    <w:rsid w:val="008C7D1E"/>
    <w:rsid w:val="00914955"/>
    <w:rsid w:val="00972015"/>
    <w:rsid w:val="00976539"/>
    <w:rsid w:val="00990C63"/>
    <w:rsid w:val="009D5918"/>
    <w:rsid w:val="009F1F4D"/>
    <w:rsid w:val="00A227A4"/>
    <w:rsid w:val="00A67865"/>
    <w:rsid w:val="00A84B2B"/>
    <w:rsid w:val="00AA46BC"/>
    <w:rsid w:val="00AA7C85"/>
    <w:rsid w:val="00AB3C47"/>
    <w:rsid w:val="00AC6CC7"/>
    <w:rsid w:val="00AE1DFF"/>
    <w:rsid w:val="00AF5D10"/>
    <w:rsid w:val="00B13E9F"/>
    <w:rsid w:val="00B22CB0"/>
    <w:rsid w:val="00B23896"/>
    <w:rsid w:val="00B2539C"/>
    <w:rsid w:val="00B27C14"/>
    <w:rsid w:val="00B75B90"/>
    <w:rsid w:val="00B8196B"/>
    <w:rsid w:val="00BA246F"/>
    <w:rsid w:val="00BB36CB"/>
    <w:rsid w:val="00BC7AF1"/>
    <w:rsid w:val="00BE742C"/>
    <w:rsid w:val="00BF0F26"/>
    <w:rsid w:val="00C423FD"/>
    <w:rsid w:val="00C718A7"/>
    <w:rsid w:val="00C83684"/>
    <w:rsid w:val="00CB0568"/>
    <w:rsid w:val="00CC608D"/>
    <w:rsid w:val="00CE37D6"/>
    <w:rsid w:val="00D16880"/>
    <w:rsid w:val="00D72B93"/>
    <w:rsid w:val="00D91021"/>
    <w:rsid w:val="00DF2284"/>
    <w:rsid w:val="00DF556F"/>
    <w:rsid w:val="00E202C7"/>
    <w:rsid w:val="00E85580"/>
    <w:rsid w:val="00ED3E9E"/>
    <w:rsid w:val="00EE1461"/>
    <w:rsid w:val="00EE4D4E"/>
    <w:rsid w:val="00EF0796"/>
    <w:rsid w:val="00EF421D"/>
    <w:rsid w:val="00F52D0F"/>
    <w:rsid w:val="00F5699E"/>
    <w:rsid w:val="00F9589E"/>
    <w:rsid w:val="00FA7CB8"/>
    <w:rsid w:val="00FD383D"/>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D77"/>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paragraph" w:styleId="Heading3">
    <w:name w:val="heading 3"/>
    <w:basedOn w:val="Normal"/>
    <w:next w:val="Normal"/>
    <w:link w:val="Heading3Char"/>
    <w:uiPriority w:val="9"/>
    <w:semiHidden/>
    <w:unhideWhenUsed/>
    <w:qFormat/>
    <w:rsid w:val="00CB056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1"/>
      </w:numPr>
      <w:autoSpaceDE w:val="0"/>
      <w:autoSpaceDN w:val="0"/>
      <w:adjustRightInd w:val="0"/>
      <w:outlineLvl w:val="0"/>
    </w:pPr>
    <w:rPr>
      <w:sz w:val="24"/>
      <w:szCs w:val="24"/>
    </w:rPr>
  </w:style>
  <w:style w:type="paragraph" w:customStyle="1" w:styleId="Default">
    <w:name w:val="Default"/>
    <w:rsid w:val="000274A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41">
    <w:name w:val="p41"/>
    <w:basedOn w:val="Normal"/>
    <w:rsid w:val="00034833"/>
    <w:pPr>
      <w:widowControl w:val="0"/>
      <w:autoSpaceDE w:val="0"/>
      <w:autoSpaceDN w:val="0"/>
      <w:adjustRightInd w:val="0"/>
      <w:spacing w:line="240" w:lineRule="atLeast"/>
      <w:ind w:left="576" w:firstLine="720"/>
    </w:pPr>
    <w:rPr>
      <w:szCs w:val="24"/>
    </w:rPr>
  </w:style>
  <w:style w:type="paragraph" w:customStyle="1" w:styleId="c74">
    <w:name w:val="c74"/>
    <w:basedOn w:val="Normal"/>
    <w:rsid w:val="00034833"/>
    <w:pPr>
      <w:widowControl w:val="0"/>
      <w:autoSpaceDE w:val="0"/>
      <w:autoSpaceDN w:val="0"/>
      <w:adjustRightInd w:val="0"/>
      <w:spacing w:line="240" w:lineRule="atLeast"/>
      <w:jc w:val="center"/>
    </w:pPr>
    <w:rPr>
      <w:szCs w:val="24"/>
    </w:rPr>
  </w:style>
  <w:style w:type="paragraph" w:customStyle="1" w:styleId="p42">
    <w:name w:val="p42"/>
    <w:basedOn w:val="Normal"/>
    <w:rsid w:val="00034833"/>
    <w:pPr>
      <w:widowControl w:val="0"/>
      <w:tabs>
        <w:tab w:val="left" w:pos="940"/>
        <w:tab w:val="left" w:pos="1580"/>
      </w:tabs>
      <w:autoSpaceDE w:val="0"/>
      <w:autoSpaceDN w:val="0"/>
      <w:adjustRightInd w:val="0"/>
      <w:spacing w:line="500" w:lineRule="atLeast"/>
      <w:ind w:left="432" w:firstLine="576"/>
    </w:pPr>
    <w:rPr>
      <w:szCs w:val="24"/>
    </w:rPr>
  </w:style>
  <w:style w:type="character" w:customStyle="1" w:styleId="Charges">
    <w:name w:val="Charges"/>
    <w:uiPriority w:val="99"/>
    <w:rsid w:val="00D91021"/>
    <w:rPr>
      <w:rFonts w:ascii="Times New Roman" w:hAnsi="Times New Roman"/>
      <w:sz w:val="22"/>
    </w:rPr>
  </w:style>
  <w:style w:type="character" w:customStyle="1" w:styleId="Heading3Char">
    <w:name w:val="Heading 3 Char"/>
    <w:basedOn w:val="DefaultParagraphFont"/>
    <w:link w:val="Heading3"/>
    <w:uiPriority w:val="9"/>
    <w:semiHidden/>
    <w:rsid w:val="00CB0568"/>
    <w:rPr>
      <w:rFonts w:asciiTheme="majorHAnsi" w:eastAsiaTheme="majorEastAsia" w:hAnsiTheme="majorHAnsi" w:cstheme="majorBidi"/>
      <w:color w:val="1F3763" w:themeColor="accent1" w:themeShade="7F"/>
      <w:sz w:val="24"/>
      <w:szCs w:val="24"/>
    </w:rPr>
  </w:style>
  <w:style w:type="character" w:customStyle="1" w:styleId="number">
    <w:name w:val="number"/>
    <w:basedOn w:val="DefaultParagraphFont"/>
    <w:rsid w:val="00CC608D"/>
  </w:style>
  <w:style w:type="character" w:customStyle="1" w:styleId="text">
    <w:name w:val="text"/>
    <w:basedOn w:val="DefaultParagraphFont"/>
    <w:rsid w:val="00CC608D"/>
  </w:style>
  <w:style w:type="paragraph" w:styleId="PlainText">
    <w:name w:val="Plain Text"/>
    <w:basedOn w:val="Normal"/>
    <w:link w:val="PlainTextChar"/>
    <w:uiPriority w:val="99"/>
    <w:unhideWhenUsed/>
    <w:rsid w:val="00512227"/>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12227"/>
    <w:rPr>
      <w:rFonts w:ascii="Consolas" w:hAnsi="Consolas"/>
      <w:sz w:val="21"/>
      <w:szCs w:val="21"/>
    </w:rPr>
  </w:style>
  <w:style w:type="character" w:styleId="Emphasis">
    <w:name w:val="Emphasis"/>
    <w:basedOn w:val="DefaultParagraphFont"/>
    <w:uiPriority w:val="20"/>
    <w:qFormat/>
    <w:rsid w:val="003A7E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xavier@flinslaw.com" TargetMode="External"/><Relationship Id="rId3" Type="http://schemas.openxmlformats.org/officeDocument/2006/relationships/settings" Target="settings.xml"/><Relationship Id="rId7" Type="http://schemas.openxmlformats.org/officeDocument/2006/relationships/hyperlink" Target="mailto:Pleadings@flinsla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868</Words>
  <Characters>4883</Characters>
  <Application>Microsoft Office Word</Application>
  <DocSecurity>0</DocSecurity>
  <Lines>97</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2022-02-20T04:52:00Z</dcterms:created>
  <dcterms:modified xsi:type="dcterms:W3CDTF">2022-02-20T04:52:00Z</dcterms:modified>
</cp:coreProperties>
</file>